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448210">
      <w:pPr>
        <w:spacing w:line="240" w:lineRule="auto"/>
        <w:ind w:firstLine="0" w:firstLineChars="0"/>
        <w:jc w:val="left"/>
        <w:rPr>
          <w:rFonts w:eastAsia="楷体_GB2312" w:cs="Times New Roman"/>
          <w:kern w:val="0"/>
          <w:sz w:val="20"/>
          <w:szCs w:val="20"/>
        </w:rPr>
      </w:pPr>
    </w:p>
    <w:p w14:paraId="313EA0B1">
      <w:pPr>
        <w:pStyle w:val="21"/>
        <w:ind w:firstLine="0" w:firstLineChars="0"/>
        <w:rPr>
          <w:rFonts w:cs="Times New Roman"/>
        </w:rPr>
      </w:pPr>
    </w:p>
    <w:p w14:paraId="4AA769F6">
      <w:pPr>
        <w:pStyle w:val="21"/>
        <w:ind w:firstLine="0" w:firstLineChars="0"/>
        <w:rPr>
          <w:rFonts w:cs="Times New Roman"/>
        </w:rPr>
      </w:pPr>
    </w:p>
    <w:p w14:paraId="1398DD09">
      <w:pPr>
        <w:widowControl/>
        <w:spacing w:line="240" w:lineRule="auto"/>
        <w:ind w:firstLine="0" w:firstLineChars="0"/>
        <w:rPr>
          <w:rFonts w:hint="eastAsia" w:ascii="方正小标宋简体" w:hAnsi="方正小标宋简体" w:eastAsia="方正小标宋简体" w:cs="方正小标宋简体"/>
          <w:kern w:val="0"/>
          <w:sz w:val="52"/>
          <w:szCs w:val="52"/>
        </w:rPr>
      </w:pPr>
    </w:p>
    <w:p w14:paraId="6A644D80">
      <w:pPr>
        <w:widowControl/>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桓仁满族自治县黑沟乡国土空间</w:t>
      </w:r>
    </w:p>
    <w:p w14:paraId="24FE2049">
      <w:pPr>
        <w:widowControl/>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总体规划</w:t>
      </w:r>
    </w:p>
    <w:p w14:paraId="442962DE">
      <w:pPr>
        <w:widowControl/>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（2021-2035年）</w:t>
      </w:r>
    </w:p>
    <w:p w14:paraId="02C2AA08">
      <w:pPr>
        <w:spacing w:line="240" w:lineRule="auto"/>
        <w:ind w:firstLine="0" w:firstLineChars="0"/>
        <w:jc w:val="center"/>
        <w:rPr>
          <w:rFonts w:eastAsia="方正小标宋简体" w:cs="Times New Roman"/>
          <w:sz w:val="44"/>
          <w:szCs w:val="44"/>
        </w:rPr>
      </w:pPr>
    </w:p>
    <w:p w14:paraId="01019E0C">
      <w:pPr>
        <w:spacing w:line="240" w:lineRule="auto"/>
        <w:ind w:firstLine="0" w:firstLineChars="0"/>
        <w:jc w:val="center"/>
        <w:rPr>
          <w:rFonts w:eastAsia="方正小标宋简体" w:cs="Times New Roman"/>
          <w:sz w:val="44"/>
          <w:szCs w:val="44"/>
        </w:rPr>
      </w:pPr>
    </w:p>
    <w:p w14:paraId="3618DB20">
      <w:pPr>
        <w:spacing w:line="240" w:lineRule="auto"/>
        <w:ind w:firstLine="0" w:firstLineChars="0"/>
        <w:jc w:val="center"/>
        <w:rPr>
          <w:rFonts w:eastAsia="楷体_GB2312" w:cs="Times New Roman"/>
          <w:sz w:val="36"/>
          <w:szCs w:val="36"/>
        </w:rPr>
      </w:pPr>
    </w:p>
    <w:p w14:paraId="729B1DE7">
      <w:pPr>
        <w:ind w:firstLine="0" w:firstLineChars="0"/>
        <w:rPr>
          <w:rFonts w:cs="Times New Roman"/>
        </w:rPr>
      </w:pPr>
    </w:p>
    <w:p w14:paraId="43D7185C">
      <w:pPr>
        <w:ind w:firstLine="0" w:firstLineChars="0"/>
        <w:rPr>
          <w:rFonts w:cs="Times New Roman"/>
        </w:rPr>
      </w:pPr>
    </w:p>
    <w:p w14:paraId="2DCE5B90">
      <w:pPr>
        <w:ind w:firstLine="0" w:firstLineChars="0"/>
        <w:rPr>
          <w:rFonts w:cs="Times New Roman"/>
        </w:rPr>
      </w:pPr>
    </w:p>
    <w:p w14:paraId="609B6A7E">
      <w:pPr>
        <w:ind w:firstLine="0" w:firstLineChars="0"/>
        <w:rPr>
          <w:rFonts w:cs="Times New Roman"/>
        </w:rPr>
      </w:pPr>
    </w:p>
    <w:p w14:paraId="4551530B">
      <w:pPr>
        <w:ind w:firstLine="0" w:firstLineChars="0"/>
        <w:rPr>
          <w:rFonts w:cs="Times New Roman"/>
        </w:rPr>
      </w:pPr>
    </w:p>
    <w:p w14:paraId="5BEB9CB8">
      <w:pPr>
        <w:ind w:firstLine="0" w:firstLineChars="0"/>
        <w:rPr>
          <w:rFonts w:cs="Times New Roman"/>
        </w:rPr>
      </w:pPr>
    </w:p>
    <w:p w14:paraId="78E822DF">
      <w:pPr>
        <w:ind w:firstLine="0" w:firstLineChars="0"/>
        <w:rPr>
          <w:rFonts w:cs="Times New Roman"/>
        </w:rPr>
      </w:pPr>
    </w:p>
    <w:p w14:paraId="7C8EB1A8">
      <w:pPr>
        <w:ind w:firstLine="0" w:firstLineChars="0"/>
        <w:rPr>
          <w:rFonts w:cs="Times New Roman"/>
        </w:rPr>
      </w:pPr>
    </w:p>
    <w:p w14:paraId="0942628F">
      <w:pPr>
        <w:ind w:firstLine="0" w:firstLineChars="0"/>
        <w:rPr>
          <w:rFonts w:cs="Times New Roman"/>
        </w:rPr>
      </w:pPr>
    </w:p>
    <w:p w14:paraId="52CBCA69">
      <w:pPr>
        <w:ind w:firstLine="0" w:firstLineChars="0"/>
        <w:jc w:val="center"/>
        <w:rPr>
          <w:rFonts w:eastAsia="楷体_GB2312" w:cs="Times New Roman"/>
          <w:szCs w:val="32"/>
        </w:rPr>
      </w:pPr>
      <w:r>
        <w:rPr>
          <w:rFonts w:hint="eastAsia" w:eastAsia="楷体_GB2312" w:cs="Times New Roman"/>
          <w:szCs w:val="32"/>
        </w:rPr>
        <w:t>黑沟</w:t>
      </w:r>
      <w:r>
        <w:rPr>
          <w:rFonts w:eastAsia="楷体_GB2312" w:cs="Times New Roman"/>
          <w:szCs w:val="32"/>
        </w:rPr>
        <w:t>乡人民政府</w:t>
      </w:r>
    </w:p>
    <w:p w14:paraId="6F20FC67">
      <w:pPr>
        <w:spacing w:line="240" w:lineRule="auto"/>
        <w:ind w:firstLine="0" w:firstLineChars="0"/>
        <w:jc w:val="center"/>
        <w:rPr>
          <w:rFonts w:eastAsia="楷体_GB2312" w:cs="Times New Roman"/>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cols w:space="425" w:num="1"/>
          <w:docGrid w:type="lines" w:linePitch="312" w:charSpace="0"/>
        </w:sectPr>
      </w:pPr>
      <w:r>
        <w:rPr>
          <w:rFonts w:eastAsia="楷体_GB2312" w:cs="Times New Roman"/>
          <w:szCs w:val="32"/>
        </w:rPr>
        <w:t>202</w:t>
      </w:r>
      <w:r>
        <w:rPr>
          <w:rFonts w:hint="eastAsia" w:eastAsia="楷体_GB2312" w:cs="Times New Roman"/>
          <w:szCs w:val="32"/>
        </w:rPr>
        <w:t>5</w:t>
      </w:r>
      <w:r>
        <w:rPr>
          <w:rFonts w:eastAsia="楷体_GB2312" w:cs="Times New Roman"/>
          <w:szCs w:val="32"/>
        </w:rPr>
        <w:t>年</w:t>
      </w:r>
      <w:r>
        <w:rPr>
          <w:rFonts w:hint="eastAsia" w:eastAsia="楷体_GB2312" w:cs="Times New Roman"/>
          <w:szCs w:val="32"/>
        </w:rPr>
        <w:t>12</w:t>
      </w:r>
      <w:r>
        <w:rPr>
          <w:rFonts w:eastAsia="楷体_GB2312" w:cs="Times New Roman"/>
          <w:szCs w:val="32"/>
        </w:rPr>
        <w:t>月</w:t>
      </w:r>
    </w:p>
    <w:p w14:paraId="5F7FE896">
      <w:pPr>
        <w:ind w:firstLine="400"/>
        <w:rPr>
          <w:rFonts w:eastAsia="楷体_GB2312" w:cs="Times New Roman"/>
          <w:kern w:val="0"/>
          <w:sz w:val="20"/>
          <w:szCs w:val="20"/>
        </w:rPr>
      </w:pPr>
    </w:p>
    <w:p w14:paraId="490AB55B">
      <w:pPr>
        <w:spacing w:line="240" w:lineRule="auto"/>
        <w:ind w:firstLine="0" w:firstLineChars="0"/>
        <w:jc w:val="left"/>
        <w:rPr>
          <w:rFonts w:eastAsia="楷体_GB2312" w:cs="Times New Roman"/>
          <w:kern w:val="0"/>
          <w:sz w:val="20"/>
          <w:szCs w:val="20"/>
        </w:rPr>
      </w:pPr>
    </w:p>
    <w:p w14:paraId="3ADC4F5B">
      <w:pPr>
        <w:ind w:firstLine="0" w:firstLineChars="0"/>
        <w:jc w:val="center"/>
        <w:rPr>
          <w:rFonts w:eastAsia="方正小标宋简体" w:cs="Times New Roman"/>
          <w:sz w:val="52"/>
          <w:szCs w:val="52"/>
        </w:rPr>
      </w:pPr>
    </w:p>
    <w:p w14:paraId="30DD3418">
      <w:pPr>
        <w:ind w:firstLine="0" w:firstLineChars="0"/>
        <w:jc w:val="center"/>
        <w:rPr>
          <w:rFonts w:eastAsia="方正小标宋简体" w:cs="Times New Roman"/>
          <w:sz w:val="52"/>
          <w:szCs w:val="52"/>
        </w:rPr>
      </w:pPr>
    </w:p>
    <w:p w14:paraId="312454FC">
      <w:pPr>
        <w:widowControl/>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桓仁满族自治县黑沟乡国土空间</w:t>
      </w:r>
    </w:p>
    <w:p w14:paraId="59DD2056">
      <w:pPr>
        <w:widowControl/>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总体规划</w:t>
      </w:r>
    </w:p>
    <w:p w14:paraId="132E6673">
      <w:pPr>
        <w:widowControl/>
        <w:spacing w:line="240" w:lineRule="auto"/>
        <w:ind w:firstLine="0" w:firstLineChars="0"/>
        <w:jc w:val="center"/>
        <w:rPr>
          <w:rFonts w:hint="eastAsia" w:ascii="方正小标宋简体" w:hAnsi="方正小标宋简体" w:eastAsia="方正小标宋简体" w:cs="方正小标宋简体"/>
          <w:kern w:val="0"/>
          <w:sz w:val="52"/>
          <w:szCs w:val="52"/>
        </w:rPr>
      </w:pPr>
      <w:r>
        <w:rPr>
          <w:rFonts w:hint="eastAsia" w:ascii="方正小标宋简体" w:hAnsi="方正小标宋简体" w:eastAsia="方正小标宋简体" w:cs="方正小标宋简体"/>
          <w:kern w:val="0"/>
          <w:sz w:val="52"/>
          <w:szCs w:val="52"/>
        </w:rPr>
        <w:t>（2021-2035年）</w:t>
      </w:r>
    </w:p>
    <w:p w14:paraId="761D1022">
      <w:pPr>
        <w:spacing w:line="240" w:lineRule="auto"/>
        <w:ind w:firstLine="0" w:firstLineChars="0"/>
        <w:jc w:val="center"/>
        <w:rPr>
          <w:rFonts w:eastAsia="方正小标宋简体" w:cs="Times New Roman"/>
          <w:sz w:val="44"/>
          <w:szCs w:val="44"/>
        </w:rPr>
      </w:pPr>
      <w:r>
        <w:rPr>
          <w:rFonts w:eastAsia="方正小标宋简体" w:cs="Times New Roman"/>
          <w:sz w:val="44"/>
          <w:szCs w:val="44"/>
        </w:rPr>
        <w:t>文</w:t>
      </w:r>
      <w:r>
        <w:rPr>
          <w:rFonts w:hint="eastAsia" w:eastAsia="方正小标宋简体" w:cs="Times New Roman"/>
          <w:sz w:val="44"/>
          <w:szCs w:val="44"/>
        </w:rPr>
        <w:t xml:space="preserve"> </w:t>
      </w:r>
      <w:r>
        <w:rPr>
          <w:rFonts w:eastAsia="方正小标宋简体" w:cs="Times New Roman"/>
          <w:sz w:val="44"/>
          <w:szCs w:val="44"/>
        </w:rPr>
        <w:t>本</w:t>
      </w:r>
    </w:p>
    <w:p w14:paraId="5400D7B2">
      <w:pPr>
        <w:spacing w:line="240" w:lineRule="auto"/>
        <w:ind w:firstLine="0" w:firstLineChars="0"/>
        <w:jc w:val="center"/>
        <w:rPr>
          <w:rFonts w:eastAsia="楷体_GB2312" w:cs="Times New Roman"/>
          <w:sz w:val="36"/>
          <w:szCs w:val="36"/>
        </w:rPr>
      </w:pPr>
    </w:p>
    <w:p w14:paraId="3F5F9E82">
      <w:pPr>
        <w:ind w:firstLine="0" w:firstLineChars="0"/>
        <w:rPr>
          <w:rFonts w:cs="Times New Roman"/>
        </w:rPr>
      </w:pPr>
    </w:p>
    <w:p w14:paraId="5250A8B5">
      <w:pPr>
        <w:ind w:firstLine="0" w:firstLineChars="0"/>
        <w:rPr>
          <w:rFonts w:cs="Times New Roman"/>
        </w:rPr>
      </w:pPr>
    </w:p>
    <w:p w14:paraId="7B650C87">
      <w:pPr>
        <w:ind w:firstLine="0" w:firstLineChars="0"/>
        <w:rPr>
          <w:rFonts w:cs="Times New Roman"/>
        </w:rPr>
      </w:pPr>
    </w:p>
    <w:p w14:paraId="6E9EA302">
      <w:pPr>
        <w:ind w:firstLine="0" w:firstLineChars="0"/>
        <w:rPr>
          <w:rFonts w:cs="Times New Roman"/>
        </w:rPr>
      </w:pPr>
    </w:p>
    <w:p w14:paraId="56E06941">
      <w:pPr>
        <w:ind w:firstLine="0" w:firstLineChars="0"/>
        <w:rPr>
          <w:rFonts w:cs="Times New Roman"/>
        </w:rPr>
      </w:pPr>
    </w:p>
    <w:p w14:paraId="7A32C13F">
      <w:pPr>
        <w:ind w:firstLine="0" w:firstLineChars="0"/>
        <w:rPr>
          <w:rFonts w:cs="Times New Roman"/>
        </w:rPr>
      </w:pPr>
    </w:p>
    <w:p w14:paraId="082C778A">
      <w:pPr>
        <w:ind w:firstLine="0" w:firstLineChars="0"/>
        <w:rPr>
          <w:rFonts w:cs="Times New Roman"/>
        </w:rPr>
      </w:pPr>
    </w:p>
    <w:p w14:paraId="2CF2A11B">
      <w:pPr>
        <w:ind w:firstLine="0" w:firstLineChars="0"/>
        <w:rPr>
          <w:rFonts w:cs="Times New Roman"/>
        </w:rPr>
      </w:pPr>
    </w:p>
    <w:p w14:paraId="731B5695">
      <w:pPr>
        <w:ind w:firstLine="0" w:firstLineChars="0"/>
        <w:rPr>
          <w:rFonts w:cs="Times New Roman"/>
        </w:rPr>
      </w:pPr>
    </w:p>
    <w:p w14:paraId="7AD580CB">
      <w:pPr>
        <w:ind w:firstLine="0" w:firstLineChars="0"/>
        <w:rPr>
          <w:rFonts w:cs="Times New Roman"/>
        </w:rPr>
      </w:pPr>
    </w:p>
    <w:p w14:paraId="6BBAF6E3">
      <w:pPr>
        <w:spacing w:line="240" w:lineRule="auto"/>
        <w:ind w:firstLine="0" w:firstLineChars="0"/>
        <w:jc w:val="center"/>
        <w:rPr>
          <w:rFonts w:eastAsia="楷体_GB2312" w:cs="Times New Roman"/>
          <w:szCs w:val="32"/>
        </w:rPr>
      </w:pPr>
      <w:r>
        <w:rPr>
          <w:rFonts w:hint="eastAsia" w:eastAsia="楷体_GB2312" w:cs="Times New Roman"/>
          <w:szCs w:val="32"/>
        </w:rPr>
        <w:t>黑沟</w:t>
      </w:r>
      <w:r>
        <w:rPr>
          <w:rFonts w:eastAsia="楷体_GB2312" w:cs="Times New Roman"/>
          <w:szCs w:val="32"/>
        </w:rPr>
        <w:t>乡人民政府</w:t>
      </w:r>
    </w:p>
    <w:p w14:paraId="7E9E4824">
      <w:pPr>
        <w:spacing w:line="240" w:lineRule="auto"/>
        <w:ind w:firstLine="0" w:firstLineChars="0"/>
        <w:jc w:val="center"/>
        <w:rPr>
          <w:rFonts w:eastAsia="楷体_GB2312" w:cs="Times New Roman"/>
          <w:szCs w:val="32"/>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797" w:bottom="1440" w:left="1797" w:header="851" w:footer="992" w:gutter="0"/>
          <w:cols w:space="425" w:num="1"/>
          <w:docGrid w:type="lines" w:linePitch="312" w:charSpace="0"/>
        </w:sectPr>
      </w:pPr>
      <w:r>
        <w:rPr>
          <w:rFonts w:eastAsia="楷体_GB2312" w:cs="Times New Roman"/>
          <w:szCs w:val="32"/>
        </w:rPr>
        <w:t>202</w:t>
      </w:r>
      <w:r>
        <w:rPr>
          <w:rFonts w:hint="eastAsia" w:eastAsia="楷体_GB2312" w:cs="Times New Roman"/>
          <w:szCs w:val="32"/>
        </w:rPr>
        <w:t>5</w:t>
      </w:r>
      <w:r>
        <w:rPr>
          <w:rFonts w:eastAsia="楷体_GB2312" w:cs="Times New Roman"/>
          <w:szCs w:val="32"/>
        </w:rPr>
        <w:t>年</w:t>
      </w:r>
      <w:r>
        <w:rPr>
          <w:rFonts w:hint="eastAsia" w:eastAsia="楷体_GB2312" w:cs="Times New Roman"/>
          <w:szCs w:val="32"/>
        </w:rPr>
        <w:t>12</w:t>
      </w:r>
      <w:r>
        <w:rPr>
          <w:rFonts w:eastAsia="楷体_GB2312" w:cs="Times New Roman"/>
          <w:szCs w:val="32"/>
        </w:rPr>
        <w:t>月</w:t>
      </w:r>
    </w:p>
    <w:p w14:paraId="194279A7">
      <w:pPr>
        <w:ind w:firstLine="800"/>
        <w:jc w:val="center"/>
        <w:rPr>
          <w:rFonts w:eastAsia="方正小标宋简体" w:cs="Times New Roman"/>
          <w:sz w:val="40"/>
          <w:szCs w:val="40"/>
        </w:rPr>
      </w:pPr>
      <w:r>
        <w:rPr>
          <w:rFonts w:eastAsia="方正小标宋简体" w:cs="Times New Roman"/>
          <w:sz w:val="40"/>
          <w:szCs w:val="40"/>
        </w:rPr>
        <w:t>目录</w:t>
      </w:r>
    </w:p>
    <w:p w14:paraId="3DB5ED71">
      <w:pPr>
        <w:pStyle w:val="11"/>
        <w:rPr>
          <w:rFonts w:hint="eastAsia" w:asciiTheme="minorHAnsi" w:hAnsiTheme="minorHAnsi" w:eastAsiaTheme="minorEastAsia"/>
          <w:sz w:val="22"/>
          <w:szCs w:val="24"/>
          <w14:ligatures w14:val="standardContextual"/>
        </w:rPr>
      </w:pPr>
      <w:r>
        <w:rPr>
          <w:rFonts w:ascii="Times New Roman" w:hAnsi="Times New Roman" w:cs="Times New Roman"/>
        </w:rPr>
        <w:fldChar w:fldCharType="begin"/>
      </w:r>
      <w:r>
        <w:rPr>
          <w:rFonts w:ascii="Times New Roman" w:hAnsi="Times New Roman" w:cs="Times New Roman"/>
        </w:rPr>
        <w:instrText xml:space="preserve"> TOC \o "1-2" \h \z \u </w:instrText>
      </w:r>
      <w:r>
        <w:rPr>
          <w:rFonts w:ascii="Times New Roman" w:hAnsi="Times New Roman" w:cs="Times New Roman"/>
        </w:rPr>
        <w:fldChar w:fldCharType="separate"/>
      </w:r>
      <w:r>
        <w:fldChar w:fldCharType="begin"/>
      </w:r>
      <w:r>
        <w:instrText xml:space="preserve"> HYPERLINK \l "_Toc220921252" </w:instrText>
      </w:r>
      <w:r>
        <w:fldChar w:fldCharType="separate"/>
      </w:r>
      <w:r>
        <w:rPr>
          <w:rStyle w:val="18"/>
          <w:rFonts w:hint="eastAsia" w:ascii="Times New Roman" w:hAnsi="Times New Roman" w:cs="Times New Roman"/>
        </w:rPr>
        <w:t>第一章总则</w:t>
      </w:r>
      <w:r>
        <w:rPr>
          <w:rFonts w:hint="eastAsia"/>
        </w:rPr>
        <w:tab/>
      </w:r>
      <w:r>
        <w:rPr>
          <w:rFonts w:hint="eastAsia"/>
        </w:rPr>
        <w:fldChar w:fldCharType="begin"/>
      </w:r>
      <w:r>
        <w:rPr>
          <w:rFonts w:hint="eastAsia"/>
        </w:rPr>
        <w:instrText xml:space="preserve"> </w:instrText>
      </w:r>
      <w:r>
        <w:instrText xml:space="preserve">PAGEREF _Toc220921252 \h</w:instrText>
      </w:r>
      <w:r>
        <w:rPr>
          <w:rFonts w:hint="eastAsia"/>
        </w:rPr>
        <w:instrText xml:space="preserve"> </w:instrText>
      </w:r>
      <w:r>
        <w:rPr>
          <w:rFonts w:hint="eastAsia"/>
        </w:rPr>
        <w:fldChar w:fldCharType="separate"/>
      </w:r>
      <w:r>
        <w:rPr>
          <w:rFonts w:hint="eastAsia"/>
        </w:rPr>
        <w:t>1</w:t>
      </w:r>
      <w:r>
        <w:rPr>
          <w:rFonts w:hint="eastAsia"/>
        </w:rPr>
        <w:fldChar w:fldCharType="end"/>
      </w:r>
      <w:r>
        <w:rPr>
          <w:rFonts w:hint="eastAsia"/>
        </w:rPr>
        <w:fldChar w:fldCharType="end"/>
      </w:r>
    </w:p>
    <w:p w14:paraId="0762E8F0">
      <w:pPr>
        <w:pStyle w:val="11"/>
        <w:rPr>
          <w:rFonts w:hint="eastAsia" w:asciiTheme="minorHAnsi" w:hAnsiTheme="minorHAnsi" w:eastAsiaTheme="minorEastAsia"/>
          <w:sz w:val="22"/>
          <w:szCs w:val="24"/>
          <w14:ligatures w14:val="standardContextual"/>
        </w:rPr>
      </w:pPr>
      <w:r>
        <w:fldChar w:fldCharType="begin"/>
      </w:r>
      <w:r>
        <w:instrText xml:space="preserve"> HYPERLINK \l "_Toc220921253" </w:instrText>
      </w:r>
      <w:r>
        <w:fldChar w:fldCharType="separate"/>
      </w:r>
      <w:r>
        <w:rPr>
          <w:rStyle w:val="18"/>
          <w:rFonts w:hint="eastAsia"/>
        </w:rPr>
        <w:t>第二章现状分析与问题识别</w:t>
      </w:r>
      <w:r>
        <w:rPr>
          <w:rFonts w:hint="eastAsia"/>
        </w:rPr>
        <w:tab/>
      </w:r>
      <w:r>
        <w:rPr>
          <w:rFonts w:hint="eastAsia"/>
        </w:rPr>
        <w:fldChar w:fldCharType="begin"/>
      </w:r>
      <w:r>
        <w:rPr>
          <w:rFonts w:hint="eastAsia"/>
        </w:rPr>
        <w:instrText xml:space="preserve"> </w:instrText>
      </w:r>
      <w:r>
        <w:instrText xml:space="preserve">PAGEREF _Toc220921253 \h</w:instrText>
      </w:r>
      <w:r>
        <w:rPr>
          <w:rFonts w:hint="eastAsia"/>
        </w:rPr>
        <w:instrText xml:space="preserve"> </w:instrText>
      </w:r>
      <w:r>
        <w:rPr>
          <w:rFonts w:hint="eastAsia"/>
        </w:rPr>
        <w:fldChar w:fldCharType="separate"/>
      </w:r>
      <w:r>
        <w:rPr>
          <w:rFonts w:hint="eastAsia"/>
        </w:rPr>
        <w:t>6</w:t>
      </w:r>
      <w:r>
        <w:rPr>
          <w:rFonts w:hint="eastAsia"/>
        </w:rPr>
        <w:fldChar w:fldCharType="end"/>
      </w:r>
      <w:r>
        <w:rPr>
          <w:rFonts w:hint="eastAsia"/>
        </w:rPr>
        <w:fldChar w:fldCharType="end"/>
      </w:r>
    </w:p>
    <w:p w14:paraId="788EED57">
      <w:pPr>
        <w:pStyle w:val="12"/>
        <w:tabs>
          <w:tab w:val="left" w:pos="2260"/>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"_Toc220921254" </w:instrText>
      </w:r>
      <w:r>
        <w:fldChar w:fldCharType="separate"/>
      </w:r>
      <w:r>
        <w:rPr>
          <w:rStyle w:val="18"/>
          <w:rFonts w:hint="eastAsia" w:cs="Times New Roman"/>
        </w:rPr>
        <w:t>第一节</w:t>
      </w:r>
      <w:r>
        <w:rPr>
          <w:rFonts w:hint="eastAsia" w:asciiTheme="minorHAnsi" w:hAnsiTheme="minorHAnsi" w:eastAsiaTheme="minorEastAsia"/>
          <w:sz w:val="22"/>
          <w:szCs w:val="24"/>
          <w14:ligatures w14:val="standardContextual"/>
        </w:rPr>
        <w:tab/>
      </w:r>
      <w:r>
        <w:rPr>
          <w:rStyle w:val="18"/>
          <w:rFonts w:hint="eastAsia" w:cs="Times New Roman"/>
        </w:rPr>
        <w:t>区域概况</w:t>
      </w:r>
      <w:r>
        <w:rPr>
          <w:rFonts w:hint="eastAsia"/>
        </w:rPr>
        <w:tab/>
      </w:r>
      <w:r>
        <w:rPr>
          <w:rFonts w:hint="eastAsia"/>
        </w:rPr>
        <w:fldChar w:fldCharType="begin"/>
      </w:r>
      <w:r>
        <w:rPr>
          <w:rFonts w:hint="eastAsia"/>
        </w:rPr>
        <w:instrText xml:space="preserve"> </w:instrText>
      </w:r>
      <w:r>
        <w:instrText xml:space="preserve">PAGEREF _Toc220921254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1E341E9D">
      <w:pPr>
        <w:pStyle w:val="12"/>
        <w:tabs>
          <w:tab w:val="left" w:pos="2260"/>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"_Toc220921255" </w:instrText>
      </w:r>
      <w:r>
        <w:fldChar w:fldCharType="separate"/>
      </w:r>
      <w:r>
        <w:rPr>
          <w:rStyle w:val="18"/>
          <w:rFonts w:hint="eastAsia" w:cs="Times New Roman"/>
        </w:rPr>
        <w:t>第二节</w:t>
      </w:r>
      <w:r>
        <w:rPr>
          <w:rFonts w:hint="eastAsia" w:asciiTheme="minorHAnsi" w:hAnsiTheme="minorHAnsi" w:eastAsiaTheme="minorEastAsia"/>
          <w:sz w:val="22"/>
          <w:szCs w:val="24"/>
          <w14:ligatures w14:val="standardContextual"/>
        </w:rPr>
        <w:tab/>
      </w:r>
      <w:r>
        <w:rPr>
          <w:rStyle w:val="18"/>
          <w:rFonts w:hint="eastAsia" w:cs="Times New Roman"/>
        </w:rPr>
        <w:t>问题和风险挑战</w:t>
      </w:r>
      <w:r>
        <w:rPr>
          <w:rFonts w:hint="eastAsia"/>
        </w:rPr>
        <w:tab/>
      </w:r>
      <w:r>
        <w:rPr>
          <w:rFonts w:hint="eastAsia"/>
        </w:rPr>
        <w:fldChar w:fldCharType="begin"/>
      </w:r>
      <w:r>
        <w:rPr>
          <w:rFonts w:hint="eastAsia"/>
        </w:rPr>
        <w:instrText xml:space="preserve"> </w:instrText>
      </w:r>
      <w:r>
        <w:instrText xml:space="preserve">PAGEREF _Toc220921255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50873830">
      <w:pPr>
        <w:pStyle w:val="12"/>
        <w:tabs>
          <w:tab w:val="left" w:pos="2260"/>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"_Toc220921256" </w:instrText>
      </w:r>
      <w:r>
        <w:fldChar w:fldCharType="separate"/>
      </w:r>
      <w:r>
        <w:rPr>
          <w:rStyle w:val="18"/>
          <w:rFonts w:hint="eastAsia" w:cs="Times New Roman"/>
        </w:rPr>
        <w:t>第三节</w:t>
      </w:r>
      <w:r>
        <w:rPr>
          <w:rFonts w:hint="eastAsia" w:asciiTheme="minorHAnsi" w:hAnsiTheme="minorHAnsi" w:eastAsiaTheme="minorEastAsia"/>
          <w:sz w:val="22"/>
          <w:szCs w:val="24"/>
          <w14:ligatures w14:val="standardContextual"/>
        </w:rPr>
        <w:tab/>
      </w:r>
      <w:r>
        <w:rPr>
          <w:rStyle w:val="18"/>
          <w:rFonts w:hint="eastAsia" w:cs="Times New Roman"/>
        </w:rPr>
        <w:t>机遇使命</w:t>
      </w:r>
      <w:r>
        <w:rPr>
          <w:rFonts w:hint="eastAsia"/>
        </w:rPr>
        <w:tab/>
      </w:r>
      <w:r>
        <w:rPr>
          <w:rFonts w:hint="eastAsia"/>
        </w:rPr>
        <w:fldChar w:fldCharType="begin"/>
      </w:r>
      <w:r>
        <w:rPr>
          <w:rFonts w:hint="eastAsia"/>
        </w:rPr>
        <w:instrText xml:space="preserve"> </w:instrText>
      </w:r>
      <w:r>
        <w:instrText xml:space="preserve">PAGEREF _Toc220921256 \h</w:instrText>
      </w:r>
      <w:r>
        <w:rPr>
          <w:rFonts w:hint="eastAsia"/>
        </w:rPr>
        <w:instrText xml:space="preserve"> </w:instrText>
      </w:r>
      <w:r>
        <w:rPr>
          <w:rFonts w:hint="eastAsia"/>
        </w:rPr>
        <w:fldChar w:fldCharType="separate"/>
      </w:r>
      <w:r>
        <w:t>11</w:t>
      </w:r>
      <w:r>
        <w:rPr>
          <w:rFonts w:hint="eastAsia"/>
        </w:rPr>
        <w:fldChar w:fldCharType="end"/>
      </w:r>
      <w:r>
        <w:rPr>
          <w:rFonts w:hint="eastAsia"/>
        </w:rPr>
        <w:fldChar w:fldCharType="end"/>
      </w:r>
    </w:p>
    <w:p w14:paraId="6E836A64">
      <w:pPr>
        <w:pStyle w:val="11"/>
        <w:rPr>
          <w:rFonts w:hint="eastAsia" w:asciiTheme="minorHAnsi" w:hAnsiTheme="minorHAnsi" w:eastAsiaTheme="minorEastAsia"/>
          <w:sz w:val="22"/>
          <w:szCs w:val="24"/>
          <w14:ligatures w14:val="standardContextual"/>
        </w:rPr>
      </w:pPr>
      <w:r>
        <w:fldChar w:fldCharType="begin"/>
      </w:r>
      <w:r>
        <w:instrText xml:space="preserve"> HYPERLINK \l "_Toc220921257" </w:instrText>
      </w:r>
      <w:r>
        <w:fldChar w:fldCharType="separate"/>
      </w:r>
      <w:r>
        <w:rPr>
          <w:rStyle w:val="18"/>
          <w:rFonts w:hint="eastAsia" w:ascii="Times New Roman" w:hAnsi="Times New Roman" w:cs="Times New Roman"/>
        </w:rPr>
        <w:t>第三章发展定位与目标</w:t>
      </w:r>
      <w:r>
        <w:rPr>
          <w:rFonts w:hint="eastAsia"/>
        </w:rPr>
        <w:tab/>
      </w:r>
      <w:r>
        <w:rPr>
          <w:rFonts w:hint="eastAsia"/>
        </w:rPr>
        <w:fldChar w:fldCharType="begin"/>
      </w:r>
      <w:r>
        <w:rPr>
          <w:rFonts w:hint="eastAsia"/>
        </w:rPr>
        <w:instrText xml:space="preserve"> </w:instrText>
      </w:r>
      <w:r>
        <w:instrText xml:space="preserve">PAGEREF _Toc220921257 \h</w:instrText>
      </w:r>
      <w:r>
        <w:rPr>
          <w:rFonts w:hint="eastAsia"/>
        </w:rPr>
        <w:instrText xml:space="preserve"> </w:instrText>
      </w:r>
      <w:r>
        <w:rPr>
          <w:rFonts w:hint="eastAsia"/>
        </w:rPr>
        <w:fldChar w:fldCharType="separate"/>
      </w:r>
      <w:r>
        <w:rPr>
          <w:rFonts w:hint="eastAsia"/>
        </w:rPr>
        <w:t>13</w:t>
      </w:r>
      <w:r>
        <w:rPr>
          <w:rFonts w:hint="eastAsia"/>
        </w:rPr>
        <w:fldChar w:fldCharType="end"/>
      </w:r>
      <w:r>
        <w:rPr>
          <w:rFonts w:hint="eastAsia"/>
        </w:rPr>
        <w:fldChar w:fldCharType="end"/>
      </w:r>
    </w:p>
    <w:p w14:paraId="4295802E">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"_Toc220921258" </w:instrText>
      </w:r>
      <w:r>
        <w:fldChar w:fldCharType="separate"/>
      </w:r>
      <w:r>
        <w:rPr>
          <w:rStyle w:val="18"/>
          <w:rFonts w:hint="eastAsia" w:cs="Times New Roman"/>
        </w:rPr>
        <w:t>第一节乡镇功能定位</w:t>
      </w:r>
      <w:r>
        <w:rPr>
          <w:rFonts w:hint="eastAsia"/>
        </w:rPr>
        <w:tab/>
      </w:r>
      <w:r>
        <w:rPr>
          <w:rFonts w:hint="eastAsia"/>
        </w:rPr>
        <w:fldChar w:fldCharType="begin"/>
      </w:r>
      <w:r>
        <w:rPr>
          <w:rFonts w:hint="eastAsia"/>
        </w:rPr>
        <w:instrText xml:space="preserve"> </w:instrText>
      </w:r>
      <w:r>
        <w:instrText xml:space="preserve">PAGEREF _Toc220921258 \h</w:instrText>
      </w:r>
      <w:r>
        <w:rPr>
          <w:rFonts w:hint="eastAsia"/>
        </w:rPr>
        <w:instrText xml:space="preserve"> </w:instrText>
      </w:r>
      <w:r>
        <w:rPr>
          <w:rFonts w:hint="eastAsia"/>
        </w:rPr>
        <w:fldChar w:fldCharType="separate"/>
      </w:r>
      <w:r>
        <w:t>13</w:t>
      </w:r>
      <w:r>
        <w:rPr>
          <w:rFonts w:hint="eastAsia"/>
        </w:rPr>
        <w:fldChar w:fldCharType="end"/>
      </w:r>
      <w:r>
        <w:rPr>
          <w:rFonts w:hint="eastAsia"/>
        </w:rPr>
        <w:fldChar w:fldCharType="end"/>
      </w:r>
    </w:p>
    <w:p w14:paraId="7C63364E">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"_Toc220921259" </w:instrText>
      </w:r>
      <w:r>
        <w:fldChar w:fldCharType="separate"/>
      </w:r>
      <w:r>
        <w:rPr>
          <w:rStyle w:val="18"/>
          <w:rFonts w:hint="eastAsia" w:cs="Times New Roman"/>
        </w:rPr>
        <w:t>第二节国土空间开发保护目标</w:t>
      </w:r>
      <w:r>
        <w:rPr>
          <w:rFonts w:hint="eastAsia"/>
        </w:rPr>
        <w:tab/>
      </w:r>
      <w:r>
        <w:rPr>
          <w:rFonts w:hint="eastAsia"/>
        </w:rPr>
        <w:fldChar w:fldCharType="begin"/>
      </w:r>
      <w:r>
        <w:rPr>
          <w:rFonts w:hint="eastAsia"/>
        </w:rPr>
        <w:instrText xml:space="preserve"> </w:instrText>
      </w:r>
      <w:r>
        <w:instrText xml:space="preserve">PAGEREF _Toc220921259 \h</w:instrText>
      </w:r>
      <w:r>
        <w:rPr>
          <w:rFonts w:hint="eastAsia"/>
        </w:rPr>
        <w:instrText xml:space="preserve"> </w:instrText>
      </w:r>
      <w:r>
        <w:rPr>
          <w:rFonts w:hint="eastAsia"/>
        </w:rPr>
        <w:fldChar w:fldCharType="separate"/>
      </w:r>
      <w:r>
        <w:t>14</w:t>
      </w:r>
      <w:r>
        <w:rPr>
          <w:rFonts w:hint="eastAsia"/>
        </w:rPr>
        <w:fldChar w:fldCharType="end"/>
      </w:r>
      <w:r>
        <w:rPr>
          <w:rFonts w:hint="eastAsia"/>
        </w:rPr>
        <w:fldChar w:fldCharType="end"/>
      </w:r>
    </w:p>
    <w:p w14:paraId="05274720">
      <w:pPr>
        <w:pStyle w:val="11"/>
        <w:rPr>
          <w:rFonts w:hint="eastAsia" w:asciiTheme="minorHAnsi" w:hAnsiTheme="minorHAnsi" w:eastAsiaTheme="minorEastAsia"/>
          <w:sz w:val="22"/>
          <w:szCs w:val="24"/>
          <w14:ligatures w14:val="standardContextual"/>
        </w:rPr>
      </w:pPr>
      <w:r>
        <w:fldChar w:fldCharType="begin"/>
      </w:r>
      <w:r>
        <w:instrText xml:space="preserve"> HYPERLINK \l "_Toc220921260" </w:instrText>
      </w:r>
      <w:r>
        <w:fldChar w:fldCharType="separate"/>
      </w:r>
      <w:r>
        <w:rPr>
          <w:rStyle w:val="18"/>
          <w:rFonts w:hint="eastAsia" w:ascii="Times New Roman" w:hAnsi="Times New Roman" w:cs="Times New Roman"/>
        </w:rPr>
        <w:t>第四章国土空间开发保护格局</w:t>
      </w:r>
      <w:r>
        <w:rPr>
          <w:rFonts w:hint="eastAsia"/>
        </w:rPr>
        <w:tab/>
      </w:r>
      <w:r>
        <w:rPr>
          <w:rFonts w:hint="eastAsia"/>
        </w:rPr>
        <w:fldChar w:fldCharType="begin"/>
      </w:r>
      <w:r>
        <w:rPr>
          <w:rFonts w:hint="eastAsia"/>
        </w:rPr>
        <w:instrText xml:space="preserve"> </w:instrText>
      </w:r>
      <w:r>
        <w:instrText xml:space="preserve">PAGEREF _Toc220921260 \h</w:instrText>
      </w:r>
      <w:r>
        <w:rPr>
          <w:rFonts w:hint="eastAsia"/>
        </w:rPr>
        <w:instrText xml:space="preserve"> </w:instrText>
      </w:r>
      <w:r>
        <w:rPr>
          <w:rFonts w:hint="eastAsia"/>
        </w:rPr>
        <w:fldChar w:fldCharType="separate"/>
      </w:r>
      <w:r>
        <w:rPr>
          <w:rFonts w:hint="eastAsia"/>
        </w:rPr>
        <w:t>18</w:t>
      </w:r>
      <w:r>
        <w:rPr>
          <w:rFonts w:hint="eastAsia"/>
        </w:rPr>
        <w:fldChar w:fldCharType="end"/>
      </w:r>
      <w:r>
        <w:rPr>
          <w:rFonts w:hint="eastAsia"/>
        </w:rPr>
        <w:fldChar w:fldCharType="end"/>
      </w:r>
    </w:p>
    <w:p w14:paraId="4EE0429B">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"_Toc220921261" </w:instrText>
      </w:r>
      <w:r>
        <w:fldChar w:fldCharType="separate"/>
      </w:r>
      <w:r>
        <w:rPr>
          <w:rStyle w:val="18"/>
          <w:rFonts w:hint="eastAsia" w:cs="Times New Roman"/>
        </w:rPr>
        <w:t>第一节总体格局</w:t>
      </w:r>
      <w:r>
        <w:rPr>
          <w:rFonts w:hint="eastAsia"/>
        </w:rPr>
        <w:tab/>
      </w:r>
      <w:r>
        <w:rPr>
          <w:rFonts w:hint="eastAsia"/>
        </w:rPr>
        <w:fldChar w:fldCharType="begin"/>
      </w:r>
      <w:r>
        <w:rPr>
          <w:rFonts w:hint="eastAsia"/>
        </w:rPr>
        <w:instrText xml:space="preserve"> </w:instrText>
      </w:r>
      <w:r>
        <w:instrText xml:space="preserve">PAGEREF _Toc220921261 \h</w:instrText>
      </w:r>
      <w:r>
        <w:rPr>
          <w:rFonts w:hint="eastAsia"/>
        </w:rPr>
        <w:instrText xml:space="preserve"> </w:instrText>
      </w:r>
      <w:r>
        <w:rPr>
          <w:rFonts w:hint="eastAsia"/>
        </w:rPr>
        <w:fldChar w:fldCharType="separate"/>
      </w:r>
      <w:r>
        <w:t>18</w:t>
      </w:r>
      <w:r>
        <w:rPr>
          <w:rFonts w:hint="eastAsia"/>
        </w:rPr>
        <w:fldChar w:fldCharType="end"/>
      </w:r>
      <w:r>
        <w:rPr>
          <w:rFonts w:hint="eastAsia"/>
        </w:rPr>
        <w:fldChar w:fldCharType="end"/>
      </w:r>
    </w:p>
    <w:p w14:paraId="0C68260E">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"_Toc220921262" </w:instrText>
      </w:r>
      <w:r>
        <w:fldChar w:fldCharType="separate"/>
      </w:r>
      <w:r>
        <w:rPr>
          <w:rStyle w:val="18"/>
          <w:rFonts w:hint="eastAsia" w:cs="Times New Roman"/>
        </w:rPr>
        <w:t>第二节重要控制线划定</w:t>
      </w:r>
      <w:r>
        <w:rPr>
          <w:rFonts w:hint="eastAsia"/>
        </w:rPr>
        <w:tab/>
      </w:r>
      <w:r>
        <w:rPr>
          <w:rFonts w:hint="eastAsia"/>
        </w:rPr>
        <w:fldChar w:fldCharType="begin"/>
      </w:r>
      <w:r>
        <w:rPr>
          <w:rFonts w:hint="eastAsia"/>
        </w:rPr>
        <w:instrText xml:space="preserve"> </w:instrText>
      </w:r>
      <w:r>
        <w:instrText xml:space="preserve">PAGEREF _Toc220921262 \h</w:instrText>
      </w:r>
      <w:r>
        <w:rPr>
          <w:rFonts w:hint="eastAsia"/>
        </w:rPr>
        <w:instrText xml:space="preserve"> </w:instrText>
      </w:r>
      <w:r>
        <w:rPr>
          <w:rFonts w:hint="eastAsia"/>
        </w:rPr>
        <w:fldChar w:fldCharType="separate"/>
      </w:r>
      <w:r>
        <w:t>19</w:t>
      </w:r>
      <w:r>
        <w:rPr>
          <w:rFonts w:hint="eastAsia"/>
        </w:rPr>
        <w:fldChar w:fldCharType="end"/>
      </w:r>
      <w:r>
        <w:rPr>
          <w:rFonts w:hint="eastAsia"/>
        </w:rPr>
        <w:fldChar w:fldCharType="end"/>
      </w:r>
    </w:p>
    <w:p w14:paraId="1288903A">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"_Toc220921263" </w:instrText>
      </w:r>
      <w:r>
        <w:fldChar w:fldCharType="separate"/>
      </w:r>
      <w:r>
        <w:rPr>
          <w:rStyle w:val="18"/>
          <w:rFonts w:hint="eastAsia" w:cs="Times New Roman"/>
        </w:rPr>
        <w:t>第三节规划分区</w:t>
      </w:r>
      <w:r>
        <w:rPr>
          <w:rFonts w:hint="eastAsia"/>
        </w:rPr>
        <w:tab/>
      </w:r>
      <w:r>
        <w:rPr>
          <w:rFonts w:hint="eastAsia"/>
        </w:rPr>
        <w:fldChar w:fldCharType="begin"/>
      </w:r>
      <w:r>
        <w:rPr>
          <w:rFonts w:hint="eastAsia"/>
        </w:rPr>
        <w:instrText xml:space="preserve"> </w:instrText>
      </w:r>
      <w:r>
        <w:instrText xml:space="preserve">PAGEREF _Toc220921263 \h</w:instrText>
      </w:r>
      <w:r>
        <w:rPr>
          <w:rFonts w:hint="eastAsia"/>
        </w:rPr>
        <w:instrText xml:space="preserve"> </w:instrText>
      </w:r>
      <w:r>
        <w:rPr>
          <w:rFonts w:hint="eastAsia"/>
        </w:rPr>
        <w:fldChar w:fldCharType="separate"/>
      </w:r>
      <w:r>
        <w:t>22</w:t>
      </w:r>
      <w:r>
        <w:rPr>
          <w:rFonts w:hint="eastAsia"/>
        </w:rPr>
        <w:fldChar w:fldCharType="end"/>
      </w:r>
      <w:r>
        <w:rPr>
          <w:rFonts w:hint="eastAsia"/>
        </w:rPr>
        <w:fldChar w:fldCharType="end"/>
      </w:r>
    </w:p>
    <w:p w14:paraId="1C11A9D5">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"_Toc220921264" </w:instrText>
      </w:r>
      <w:r>
        <w:fldChar w:fldCharType="separate"/>
      </w:r>
      <w:r>
        <w:rPr>
          <w:rStyle w:val="18"/>
          <w:rFonts w:hint="eastAsia" w:cs="Times New Roman"/>
        </w:rPr>
        <w:t>第四节国土空间用途结构优化</w:t>
      </w:r>
      <w:r>
        <w:rPr>
          <w:rFonts w:hint="eastAsia"/>
        </w:rPr>
        <w:tab/>
      </w:r>
      <w:r>
        <w:rPr>
          <w:rFonts w:hint="eastAsia"/>
        </w:rPr>
        <w:fldChar w:fldCharType="begin"/>
      </w:r>
      <w:r>
        <w:rPr>
          <w:rFonts w:hint="eastAsia"/>
        </w:rPr>
        <w:instrText xml:space="preserve"> </w:instrText>
      </w:r>
      <w:r>
        <w:instrText xml:space="preserve">PAGEREF _Toc220921264 \h</w:instrText>
      </w:r>
      <w:r>
        <w:rPr>
          <w:rFonts w:hint="eastAsia"/>
        </w:rPr>
        <w:instrText xml:space="preserve"> </w:instrText>
      </w:r>
      <w:r>
        <w:rPr>
          <w:rFonts w:hint="eastAsia"/>
        </w:rPr>
        <w:fldChar w:fldCharType="separate"/>
      </w:r>
      <w:r>
        <w:t>23</w:t>
      </w:r>
      <w:r>
        <w:rPr>
          <w:rFonts w:hint="eastAsia"/>
        </w:rPr>
        <w:fldChar w:fldCharType="end"/>
      </w:r>
      <w:r>
        <w:rPr>
          <w:rFonts w:hint="eastAsia"/>
        </w:rPr>
        <w:fldChar w:fldCharType="end"/>
      </w:r>
    </w:p>
    <w:p w14:paraId="6CAD2306">
      <w:pPr>
        <w:pStyle w:val="11"/>
        <w:rPr>
          <w:rFonts w:hint="eastAsia" w:asciiTheme="minorHAnsi" w:hAnsiTheme="minorHAnsi" w:eastAsiaTheme="minorEastAsia"/>
          <w:sz w:val="22"/>
          <w:szCs w:val="24"/>
          <w14:ligatures w14:val="standardContextual"/>
        </w:rPr>
      </w:pPr>
      <w:r>
        <w:fldChar w:fldCharType="begin"/>
      </w:r>
      <w:r>
        <w:instrText xml:space="preserve"> HYPERLINK \l "_Toc220921265" </w:instrText>
      </w:r>
      <w:r>
        <w:fldChar w:fldCharType="separate"/>
      </w:r>
      <w:r>
        <w:rPr>
          <w:rStyle w:val="18"/>
          <w:rFonts w:hint="eastAsia" w:ascii="Times New Roman" w:hAnsi="Times New Roman" w:cs="Times New Roman"/>
        </w:rPr>
        <w:t>第五章资源保护与利用</w:t>
      </w:r>
      <w:r>
        <w:rPr>
          <w:rFonts w:hint="eastAsia"/>
        </w:rPr>
        <w:tab/>
      </w:r>
      <w:r>
        <w:rPr>
          <w:rFonts w:hint="eastAsia"/>
        </w:rPr>
        <w:fldChar w:fldCharType="begin"/>
      </w:r>
      <w:r>
        <w:rPr>
          <w:rFonts w:hint="eastAsia"/>
        </w:rPr>
        <w:instrText xml:space="preserve"> </w:instrText>
      </w:r>
      <w:r>
        <w:instrText xml:space="preserve">PAGEREF _Toc220921265 \h</w:instrText>
      </w:r>
      <w:r>
        <w:rPr>
          <w:rFonts w:hint="eastAsia"/>
        </w:rPr>
        <w:instrText xml:space="preserve"> </w:instrText>
      </w:r>
      <w:r>
        <w:rPr>
          <w:rFonts w:hint="eastAsia"/>
        </w:rPr>
        <w:fldChar w:fldCharType="separate"/>
      </w:r>
      <w:r>
        <w:rPr>
          <w:rFonts w:hint="eastAsia"/>
        </w:rPr>
        <w:t>27</w:t>
      </w:r>
      <w:r>
        <w:rPr>
          <w:rFonts w:hint="eastAsia"/>
        </w:rPr>
        <w:fldChar w:fldCharType="end"/>
      </w:r>
      <w:r>
        <w:rPr>
          <w:rFonts w:hint="eastAsia"/>
        </w:rPr>
        <w:fldChar w:fldCharType="end"/>
      </w:r>
    </w:p>
    <w:p w14:paraId="4925846E">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"_Toc220921266" </w:instrText>
      </w:r>
      <w:r>
        <w:fldChar w:fldCharType="separate"/>
      </w:r>
      <w:r>
        <w:rPr>
          <w:rStyle w:val="18"/>
          <w:rFonts w:hint="eastAsia" w:cs="Times New Roman"/>
        </w:rPr>
        <w:t>第一节耕地资源</w:t>
      </w:r>
      <w:r>
        <w:rPr>
          <w:rFonts w:hint="eastAsia"/>
        </w:rPr>
        <w:tab/>
      </w:r>
      <w:r>
        <w:rPr>
          <w:rFonts w:hint="eastAsia"/>
        </w:rPr>
        <w:fldChar w:fldCharType="begin"/>
      </w:r>
      <w:r>
        <w:rPr>
          <w:rFonts w:hint="eastAsia"/>
        </w:rPr>
        <w:instrText xml:space="preserve"> </w:instrText>
      </w:r>
      <w:r>
        <w:instrText xml:space="preserve">PAGEREF _Toc220921266 \h</w:instrText>
      </w:r>
      <w:r>
        <w:rPr>
          <w:rFonts w:hint="eastAsia"/>
        </w:rPr>
        <w:instrText xml:space="preserve"> </w:instrText>
      </w:r>
      <w:r>
        <w:rPr>
          <w:rFonts w:hint="eastAsia"/>
        </w:rPr>
        <w:fldChar w:fldCharType="separate"/>
      </w:r>
      <w:r>
        <w:t>27</w:t>
      </w:r>
      <w:r>
        <w:rPr>
          <w:rFonts w:hint="eastAsia"/>
        </w:rPr>
        <w:fldChar w:fldCharType="end"/>
      </w:r>
      <w:r>
        <w:rPr>
          <w:rFonts w:hint="eastAsia"/>
        </w:rPr>
        <w:fldChar w:fldCharType="end"/>
      </w:r>
    </w:p>
    <w:p w14:paraId="3F56557D">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"_Toc220921267" </w:instrText>
      </w:r>
      <w:r>
        <w:fldChar w:fldCharType="separate"/>
      </w:r>
      <w:r>
        <w:rPr>
          <w:rStyle w:val="18"/>
          <w:rFonts w:hint="eastAsia" w:cs="Times New Roman"/>
        </w:rPr>
        <w:t>第二节水资源</w:t>
      </w:r>
      <w:r>
        <w:rPr>
          <w:rFonts w:hint="eastAsia"/>
        </w:rPr>
        <w:tab/>
      </w:r>
      <w:r>
        <w:rPr>
          <w:rFonts w:hint="eastAsia"/>
        </w:rPr>
        <w:fldChar w:fldCharType="begin"/>
      </w:r>
      <w:r>
        <w:rPr>
          <w:rFonts w:hint="eastAsia"/>
        </w:rPr>
        <w:instrText xml:space="preserve"> </w:instrText>
      </w:r>
      <w:r>
        <w:instrText xml:space="preserve">PAGEREF _Toc220921267 \h</w:instrText>
      </w:r>
      <w:r>
        <w:rPr>
          <w:rFonts w:hint="eastAsia"/>
        </w:rPr>
        <w:instrText xml:space="preserve"> </w:instrText>
      </w:r>
      <w:r>
        <w:rPr>
          <w:rFonts w:hint="eastAsia"/>
        </w:rPr>
        <w:fldChar w:fldCharType="separate"/>
      </w:r>
      <w:r>
        <w:t>28</w:t>
      </w:r>
      <w:r>
        <w:rPr>
          <w:rFonts w:hint="eastAsia"/>
        </w:rPr>
        <w:fldChar w:fldCharType="end"/>
      </w:r>
      <w:r>
        <w:rPr>
          <w:rFonts w:hint="eastAsia"/>
        </w:rPr>
        <w:fldChar w:fldCharType="end"/>
      </w:r>
    </w:p>
    <w:p w14:paraId="6E1A7AF8">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"_Toc220921268" </w:instrText>
      </w:r>
      <w:r>
        <w:fldChar w:fldCharType="separate"/>
      </w:r>
      <w:r>
        <w:rPr>
          <w:rStyle w:val="18"/>
          <w:rFonts w:hint="eastAsia" w:cs="Times New Roman"/>
        </w:rPr>
        <w:t>第三节湿地资源</w:t>
      </w:r>
      <w:r>
        <w:rPr>
          <w:rFonts w:hint="eastAsia"/>
        </w:rPr>
        <w:tab/>
      </w:r>
      <w:r>
        <w:rPr>
          <w:rFonts w:hint="eastAsia"/>
        </w:rPr>
        <w:fldChar w:fldCharType="begin"/>
      </w:r>
      <w:r>
        <w:rPr>
          <w:rFonts w:hint="eastAsia"/>
        </w:rPr>
        <w:instrText xml:space="preserve"> </w:instrText>
      </w:r>
      <w:r>
        <w:instrText xml:space="preserve">PAGEREF _Toc220921268 \h</w:instrText>
      </w:r>
      <w:r>
        <w:rPr>
          <w:rFonts w:hint="eastAsia"/>
        </w:rPr>
        <w:instrText xml:space="preserve"> </w:instrText>
      </w:r>
      <w:r>
        <w:rPr>
          <w:rFonts w:hint="eastAsia"/>
        </w:rPr>
        <w:fldChar w:fldCharType="separate"/>
      </w:r>
      <w:r>
        <w:t>29</w:t>
      </w:r>
      <w:r>
        <w:rPr>
          <w:rFonts w:hint="eastAsia"/>
        </w:rPr>
        <w:fldChar w:fldCharType="end"/>
      </w:r>
      <w:r>
        <w:rPr>
          <w:rFonts w:hint="eastAsia"/>
        </w:rPr>
        <w:fldChar w:fldCharType="end"/>
      </w:r>
    </w:p>
    <w:p w14:paraId="08EC5EC7">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"_Toc220921269" </w:instrText>
      </w:r>
      <w:r>
        <w:fldChar w:fldCharType="separate"/>
      </w:r>
      <w:r>
        <w:rPr>
          <w:rStyle w:val="18"/>
          <w:rFonts w:hint="eastAsia" w:cs="Times New Roman"/>
        </w:rPr>
        <w:t>第四节林草资源</w:t>
      </w:r>
      <w:r>
        <w:rPr>
          <w:rFonts w:hint="eastAsia"/>
        </w:rPr>
        <w:tab/>
      </w:r>
      <w:r>
        <w:rPr>
          <w:rFonts w:hint="eastAsia"/>
        </w:rPr>
        <w:fldChar w:fldCharType="begin"/>
      </w:r>
      <w:r>
        <w:rPr>
          <w:rFonts w:hint="eastAsia"/>
        </w:rPr>
        <w:instrText xml:space="preserve"> </w:instrText>
      </w:r>
      <w:r>
        <w:instrText xml:space="preserve">PAGEREF _Toc220921269 \h</w:instrText>
      </w:r>
      <w:r>
        <w:rPr>
          <w:rFonts w:hint="eastAsia"/>
        </w:rPr>
        <w:instrText xml:space="preserve"> </w:instrText>
      </w:r>
      <w:r>
        <w:rPr>
          <w:rFonts w:hint="eastAsia"/>
        </w:rPr>
        <w:fldChar w:fldCharType="separate"/>
      </w:r>
      <w:r>
        <w:t>30</w:t>
      </w:r>
      <w:r>
        <w:rPr>
          <w:rFonts w:hint="eastAsia"/>
        </w:rPr>
        <w:fldChar w:fldCharType="end"/>
      </w:r>
      <w:r>
        <w:rPr>
          <w:rFonts w:hint="eastAsia"/>
        </w:rPr>
        <w:fldChar w:fldCharType="end"/>
      </w:r>
    </w:p>
    <w:p w14:paraId="6EFCB44F">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"_Toc220921270" </w:instrText>
      </w:r>
      <w:r>
        <w:fldChar w:fldCharType="separate"/>
      </w:r>
      <w:r>
        <w:rPr>
          <w:rStyle w:val="18"/>
          <w:rFonts w:hint="eastAsia" w:cs="Times New Roman"/>
        </w:rPr>
        <w:t>第五节矿产资源</w:t>
      </w:r>
      <w:r>
        <w:rPr>
          <w:rFonts w:hint="eastAsia"/>
        </w:rPr>
        <w:tab/>
      </w:r>
      <w:r>
        <w:rPr>
          <w:rFonts w:hint="eastAsia"/>
        </w:rPr>
        <w:fldChar w:fldCharType="begin"/>
      </w:r>
      <w:r>
        <w:rPr>
          <w:rFonts w:hint="eastAsia"/>
        </w:rPr>
        <w:instrText xml:space="preserve"> </w:instrText>
      </w:r>
      <w:r>
        <w:instrText xml:space="preserve">PAGEREF _Toc220921270 \h</w:instrText>
      </w:r>
      <w:r>
        <w:rPr>
          <w:rFonts w:hint="eastAsia"/>
        </w:rPr>
        <w:instrText xml:space="preserve"> </w:instrText>
      </w:r>
      <w:r>
        <w:rPr>
          <w:rFonts w:hint="eastAsia"/>
        </w:rPr>
        <w:fldChar w:fldCharType="separate"/>
      </w:r>
      <w:r>
        <w:t>31</w:t>
      </w:r>
      <w:r>
        <w:rPr>
          <w:rFonts w:hint="eastAsia"/>
        </w:rPr>
        <w:fldChar w:fldCharType="end"/>
      </w:r>
      <w:r>
        <w:rPr>
          <w:rFonts w:hint="eastAsia"/>
        </w:rPr>
        <w:fldChar w:fldCharType="end"/>
      </w:r>
    </w:p>
    <w:p w14:paraId="6F9E277E">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"_Toc220921271" </w:instrText>
      </w:r>
      <w:r>
        <w:fldChar w:fldCharType="separate"/>
      </w:r>
      <w:r>
        <w:rPr>
          <w:rStyle w:val="18"/>
          <w:rFonts w:hint="eastAsia" w:cs="Times New Roman"/>
        </w:rPr>
        <w:t>第六节历史文化资源</w:t>
      </w:r>
      <w:r>
        <w:rPr>
          <w:rFonts w:hint="eastAsia"/>
        </w:rPr>
        <w:tab/>
      </w:r>
      <w:r>
        <w:rPr>
          <w:rFonts w:hint="eastAsia"/>
        </w:rPr>
        <w:fldChar w:fldCharType="begin"/>
      </w:r>
      <w:r>
        <w:rPr>
          <w:rFonts w:hint="eastAsia"/>
        </w:rPr>
        <w:instrText xml:space="preserve"> </w:instrText>
      </w:r>
      <w:r>
        <w:instrText xml:space="preserve">PAGEREF _Toc220921271 \h</w:instrText>
      </w:r>
      <w:r>
        <w:rPr>
          <w:rFonts w:hint="eastAsia"/>
        </w:rPr>
        <w:instrText xml:space="preserve"> </w:instrText>
      </w:r>
      <w:r>
        <w:rPr>
          <w:rFonts w:hint="eastAsia"/>
        </w:rPr>
        <w:fldChar w:fldCharType="separate"/>
      </w:r>
      <w:r>
        <w:t>32</w:t>
      </w:r>
      <w:r>
        <w:rPr>
          <w:rFonts w:hint="eastAsia"/>
        </w:rPr>
        <w:fldChar w:fldCharType="end"/>
      </w:r>
      <w:r>
        <w:rPr>
          <w:rFonts w:hint="eastAsia"/>
        </w:rPr>
        <w:fldChar w:fldCharType="end"/>
      </w:r>
    </w:p>
    <w:p w14:paraId="215E0316">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"_Toc220921272" </w:instrText>
      </w:r>
      <w:r>
        <w:fldChar w:fldCharType="separate"/>
      </w:r>
      <w:r>
        <w:rPr>
          <w:rStyle w:val="18"/>
          <w:rFonts w:hint="eastAsia" w:cs="Times New Roman"/>
        </w:rPr>
        <w:t>第七节其他自然资源</w:t>
      </w:r>
      <w:r>
        <w:rPr>
          <w:rFonts w:hint="eastAsia"/>
        </w:rPr>
        <w:tab/>
      </w:r>
      <w:r>
        <w:rPr>
          <w:rFonts w:hint="eastAsia"/>
        </w:rPr>
        <w:fldChar w:fldCharType="begin"/>
      </w:r>
      <w:r>
        <w:rPr>
          <w:rFonts w:hint="eastAsia"/>
        </w:rPr>
        <w:instrText xml:space="preserve"> </w:instrText>
      </w:r>
      <w:r>
        <w:instrText xml:space="preserve">PAGEREF _Toc220921272 \h</w:instrText>
      </w:r>
      <w:r>
        <w:rPr>
          <w:rFonts w:hint="eastAsia"/>
        </w:rPr>
        <w:instrText xml:space="preserve"> </w:instrText>
      </w:r>
      <w:r>
        <w:rPr>
          <w:rFonts w:hint="eastAsia"/>
        </w:rPr>
        <w:fldChar w:fldCharType="separate"/>
      </w:r>
      <w:r>
        <w:t>33</w:t>
      </w:r>
      <w:r>
        <w:rPr>
          <w:rFonts w:hint="eastAsia"/>
        </w:rPr>
        <w:fldChar w:fldCharType="end"/>
      </w:r>
      <w:r>
        <w:rPr>
          <w:rFonts w:hint="eastAsia"/>
        </w:rPr>
        <w:fldChar w:fldCharType="end"/>
      </w:r>
    </w:p>
    <w:p w14:paraId="2EA935A4">
      <w:pPr>
        <w:pStyle w:val="11"/>
        <w:rPr>
          <w:rFonts w:hint="eastAsia" w:asciiTheme="minorHAnsi" w:hAnsiTheme="minorHAnsi" w:eastAsiaTheme="minorEastAsia"/>
          <w:sz w:val="22"/>
          <w:szCs w:val="24"/>
          <w14:ligatures w14:val="standardContextual"/>
        </w:rPr>
      </w:pPr>
      <w:r>
        <w:fldChar w:fldCharType="begin"/>
      </w:r>
      <w:r>
        <w:instrText xml:space="preserve"> HYPERLINK \l "_Toc220921273" </w:instrText>
      </w:r>
      <w:r>
        <w:fldChar w:fldCharType="separate"/>
      </w:r>
      <w:r>
        <w:rPr>
          <w:rStyle w:val="18"/>
          <w:rFonts w:hint="eastAsia" w:ascii="Times New Roman" w:hAnsi="Times New Roman" w:cs="Times New Roman"/>
        </w:rPr>
        <w:t>第六章镇村统筹发展</w:t>
      </w:r>
      <w:r>
        <w:rPr>
          <w:rFonts w:hint="eastAsia"/>
        </w:rPr>
        <w:tab/>
      </w:r>
      <w:r>
        <w:rPr>
          <w:rFonts w:hint="eastAsia"/>
        </w:rPr>
        <w:fldChar w:fldCharType="begin"/>
      </w:r>
      <w:r>
        <w:rPr>
          <w:rFonts w:hint="eastAsia"/>
        </w:rPr>
        <w:instrText xml:space="preserve"> </w:instrText>
      </w:r>
      <w:r>
        <w:instrText xml:space="preserve">PAGEREF _Toc220921273 \h</w:instrText>
      </w:r>
      <w:r>
        <w:rPr>
          <w:rFonts w:hint="eastAsia"/>
        </w:rPr>
        <w:instrText xml:space="preserve"> </w:instrText>
      </w:r>
      <w:r>
        <w:rPr>
          <w:rFonts w:hint="eastAsia"/>
        </w:rPr>
        <w:fldChar w:fldCharType="separate"/>
      </w:r>
      <w:r>
        <w:rPr>
          <w:rFonts w:hint="eastAsia"/>
        </w:rPr>
        <w:t>35</w:t>
      </w:r>
      <w:r>
        <w:rPr>
          <w:rFonts w:hint="eastAsia"/>
        </w:rPr>
        <w:fldChar w:fldCharType="end"/>
      </w:r>
      <w:r>
        <w:rPr>
          <w:rFonts w:hint="eastAsia"/>
        </w:rPr>
        <w:fldChar w:fldCharType="end"/>
      </w:r>
    </w:p>
    <w:p w14:paraId="2C7B9578">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"_Toc220921274" </w:instrText>
      </w:r>
      <w:r>
        <w:fldChar w:fldCharType="separate"/>
      </w:r>
      <w:r>
        <w:rPr>
          <w:rStyle w:val="18"/>
          <w:rFonts w:hint="eastAsia" w:cs="Times New Roman"/>
        </w:rPr>
        <w:t>第一节镇村体系</w:t>
      </w:r>
      <w:r>
        <w:rPr>
          <w:rFonts w:hint="eastAsia"/>
        </w:rPr>
        <w:tab/>
      </w:r>
      <w:r>
        <w:rPr>
          <w:rFonts w:hint="eastAsia"/>
        </w:rPr>
        <w:fldChar w:fldCharType="begin"/>
      </w:r>
      <w:r>
        <w:rPr>
          <w:rFonts w:hint="eastAsia"/>
        </w:rPr>
        <w:instrText xml:space="preserve"> </w:instrText>
      </w:r>
      <w:r>
        <w:instrText xml:space="preserve">PAGEREF _Toc220921274 \h</w:instrText>
      </w:r>
      <w:r>
        <w:rPr>
          <w:rFonts w:hint="eastAsia"/>
        </w:rPr>
        <w:instrText xml:space="preserve"> </w:instrText>
      </w:r>
      <w:r>
        <w:rPr>
          <w:rFonts w:hint="eastAsia"/>
        </w:rPr>
        <w:fldChar w:fldCharType="separate"/>
      </w:r>
      <w:r>
        <w:t>35</w:t>
      </w:r>
      <w:r>
        <w:rPr>
          <w:rFonts w:hint="eastAsia"/>
        </w:rPr>
        <w:fldChar w:fldCharType="end"/>
      </w:r>
      <w:r>
        <w:rPr>
          <w:rFonts w:hint="eastAsia"/>
        </w:rPr>
        <w:fldChar w:fldCharType="end"/>
      </w:r>
    </w:p>
    <w:p w14:paraId="1C21DB9C">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"_Toc220921275" </w:instrText>
      </w:r>
      <w:r>
        <w:fldChar w:fldCharType="separate"/>
      </w:r>
      <w:r>
        <w:rPr>
          <w:rStyle w:val="18"/>
          <w:rFonts w:hint="eastAsia" w:cs="Times New Roman"/>
        </w:rPr>
        <w:t>第二节村庄布局</w:t>
      </w:r>
      <w:r>
        <w:rPr>
          <w:rFonts w:hint="eastAsia"/>
        </w:rPr>
        <w:tab/>
      </w:r>
      <w:r>
        <w:rPr>
          <w:rFonts w:hint="eastAsia"/>
        </w:rPr>
        <w:fldChar w:fldCharType="begin"/>
      </w:r>
      <w:r>
        <w:rPr>
          <w:rFonts w:hint="eastAsia"/>
        </w:rPr>
        <w:instrText xml:space="preserve"> </w:instrText>
      </w:r>
      <w:r>
        <w:instrText xml:space="preserve">PAGEREF _Toc220921275 \h</w:instrText>
      </w:r>
      <w:r>
        <w:rPr>
          <w:rFonts w:hint="eastAsia"/>
        </w:rPr>
        <w:instrText xml:space="preserve"> </w:instrText>
      </w:r>
      <w:r>
        <w:rPr>
          <w:rFonts w:hint="eastAsia"/>
        </w:rPr>
        <w:fldChar w:fldCharType="separate"/>
      </w:r>
      <w:r>
        <w:t>36</w:t>
      </w:r>
      <w:r>
        <w:rPr>
          <w:rFonts w:hint="eastAsia"/>
        </w:rPr>
        <w:fldChar w:fldCharType="end"/>
      </w:r>
      <w:r>
        <w:rPr>
          <w:rFonts w:hint="eastAsia"/>
        </w:rPr>
        <w:fldChar w:fldCharType="end"/>
      </w:r>
    </w:p>
    <w:p w14:paraId="59F2C04B">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"_Toc220921276" </w:instrText>
      </w:r>
      <w:r>
        <w:fldChar w:fldCharType="separate"/>
      </w:r>
      <w:r>
        <w:rPr>
          <w:rStyle w:val="18"/>
          <w:rFonts w:hint="eastAsia" w:cs="Times New Roman"/>
        </w:rPr>
        <w:t>第三节产业布局</w:t>
      </w:r>
      <w:r>
        <w:rPr>
          <w:rFonts w:hint="eastAsia"/>
        </w:rPr>
        <w:tab/>
      </w:r>
      <w:r>
        <w:rPr>
          <w:rFonts w:hint="eastAsia"/>
        </w:rPr>
        <w:fldChar w:fldCharType="begin"/>
      </w:r>
      <w:r>
        <w:rPr>
          <w:rFonts w:hint="eastAsia"/>
        </w:rPr>
        <w:instrText xml:space="preserve"> </w:instrText>
      </w:r>
      <w:r>
        <w:instrText xml:space="preserve">PAGEREF _Toc220921276 \h</w:instrText>
      </w:r>
      <w:r>
        <w:rPr>
          <w:rFonts w:hint="eastAsia"/>
        </w:rPr>
        <w:instrText xml:space="preserve"> </w:instrText>
      </w:r>
      <w:r>
        <w:rPr>
          <w:rFonts w:hint="eastAsia"/>
        </w:rPr>
        <w:fldChar w:fldCharType="separate"/>
      </w:r>
      <w:r>
        <w:t>39</w:t>
      </w:r>
      <w:r>
        <w:rPr>
          <w:rFonts w:hint="eastAsia"/>
        </w:rPr>
        <w:fldChar w:fldCharType="end"/>
      </w:r>
      <w:r>
        <w:rPr>
          <w:rFonts w:hint="eastAsia"/>
        </w:rPr>
        <w:fldChar w:fldCharType="end"/>
      </w:r>
    </w:p>
    <w:p w14:paraId="50C7E82B">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"_Toc220921277" </w:instrText>
      </w:r>
      <w:r>
        <w:fldChar w:fldCharType="separate"/>
      </w:r>
      <w:r>
        <w:rPr>
          <w:rStyle w:val="18"/>
          <w:rFonts w:hint="eastAsia" w:cs="Times New Roman"/>
        </w:rPr>
        <w:t>第四节景观风貌</w:t>
      </w:r>
      <w:r>
        <w:rPr>
          <w:rFonts w:hint="eastAsia"/>
        </w:rPr>
        <w:tab/>
      </w:r>
      <w:r>
        <w:rPr>
          <w:rFonts w:hint="eastAsia"/>
        </w:rPr>
        <w:fldChar w:fldCharType="begin"/>
      </w:r>
      <w:r>
        <w:rPr>
          <w:rFonts w:hint="eastAsia"/>
        </w:rPr>
        <w:instrText xml:space="preserve"> </w:instrText>
      </w:r>
      <w:r>
        <w:instrText xml:space="preserve">PAGEREF _Toc220921277 \h</w:instrText>
      </w:r>
      <w:r>
        <w:rPr>
          <w:rFonts w:hint="eastAsia"/>
        </w:rPr>
        <w:instrText xml:space="preserve"> </w:instrText>
      </w:r>
      <w:r>
        <w:rPr>
          <w:rFonts w:hint="eastAsia"/>
        </w:rPr>
        <w:fldChar w:fldCharType="separate"/>
      </w:r>
      <w:r>
        <w:t>45</w:t>
      </w:r>
      <w:r>
        <w:rPr>
          <w:rFonts w:hint="eastAsia"/>
        </w:rPr>
        <w:fldChar w:fldCharType="end"/>
      </w:r>
      <w:r>
        <w:rPr>
          <w:rFonts w:hint="eastAsia"/>
        </w:rPr>
        <w:fldChar w:fldCharType="end"/>
      </w:r>
    </w:p>
    <w:p w14:paraId="20229B2E">
      <w:pPr>
        <w:pStyle w:val="11"/>
        <w:rPr>
          <w:rFonts w:hint="eastAsia" w:asciiTheme="minorHAnsi" w:hAnsiTheme="minorHAnsi" w:eastAsiaTheme="minorEastAsia"/>
          <w:sz w:val="22"/>
          <w:szCs w:val="24"/>
          <w14:ligatures w14:val="standardContextual"/>
        </w:rPr>
      </w:pPr>
      <w:r>
        <w:fldChar w:fldCharType="begin"/>
      </w:r>
      <w:r>
        <w:instrText xml:space="preserve"> HYPERLINK \l "_Toc220921278" </w:instrText>
      </w:r>
      <w:r>
        <w:fldChar w:fldCharType="separate"/>
      </w:r>
      <w:r>
        <w:rPr>
          <w:rStyle w:val="18"/>
          <w:rFonts w:hint="eastAsia" w:ascii="Times New Roman" w:hAnsi="Times New Roman" w:cs="Times New Roman"/>
        </w:rPr>
        <w:t>第七章生态修复和国土综合整治</w:t>
      </w:r>
      <w:r>
        <w:rPr>
          <w:rFonts w:hint="eastAsia"/>
        </w:rPr>
        <w:tab/>
      </w:r>
      <w:r>
        <w:rPr>
          <w:rFonts w:hint="eastAsia"/>
        </w:rPr>
        <w:fldChar w:fldCharType="begin"/>
      </w:r>
      <w:r>
        <w:rPr>
          <w:rFonts w:hint="eastAsia"/>
        </w:rPr>
        <w:instrText xml:space="preserve"> </w:instrText>
      </w:r>
      <w:r>
        <w:instrText xml:space="preserve">PAGEREF _Toc220921278 \h</w:instrText>
      </w:r>
      <w:r>
        <w:rPr>
          <w:rFonts w:hint="eastAsia"/>
        </w:rPr>
        <w:instrText xml:space="preserve"> </w:instrText>
      </w:r>
      <w:r>
        <w:rPr>
          <w:rFonts w:hint="eastAsia"/>
        </w:rPr>
        <w:fldChar w:fldCharType="separate"/>
      </w:r>
      <w:r>
        <w:rPr>
          <w:rFonts w:hint="eastAsia"/>
        </w:rPr>
        <w:t>51</w:t>
      </w:r>
      <w:r>
        <w:rPr>
          <w:rFonts w:hint="eastAsia"/>
        </w:rPr>
        <w:fldChar w:fldCharType="end"/>
      </w:r>
      <w:r>
        <w:rPr>
          <w:rFonts w:hint="eastAsia"/>
        </w:rPr>
        <w:fldChar w:fldCharType="end"/>
      </w:r>
    </w:p>
    <w:p w14:paraId="6AA7FA37">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"_Toc220921279" </w:instrText>
      </w:r>
      <w:r>
        <w:fldChar w:fldCharType="separate"/>
      </w:r>
      <w:r>
        <w:rPr>
          <w:rStyle w:val="18"/>
          <w:rFonts w:hint="eastAsia" w:cs="Times New Roman"/>
        </w:rPr>
        <w:t>第一节生态修复</w:t>
      </w:r>
      <w:r>
        <w:rPr>
          <w:rFonts w:hint="eastAsia"/>
        </w:rPr>
        <w:tab/>
      </w:r>
      <w:r>
        <w:rPr>
          <w:rFonts w:hint="eastAsia"/>
        </w:rPr>
        <w:fldChar w:fldCharType="begin"/>
      </w:r>
      <w:r>
        <w:rPr>
          <w:rFonts w:hint="eastAsia"/>
        </w:rPr>
        <w:instrText xml:space="preserve"> </w:instrText>
      </w:r>
      <w:r>
        <w:instrText xml:space="preserve">PAGEREF _Toc220921279 \h</w:instrText>
      </w:r>
      <w:r>
        <w:rPr>
          <w:rFonts w:hint="eastAsia"/>
        </w:rPr>
        <w:instrText xml:space="preserve"> </w:instrText>
      </w:r>
      <w:r>
        <w:rPr>
          <w:rFonts w:hint="eastAsia"/>
        </w:rPr>
        <w:fldChar w:fldCharType="separate"/>
      </w:r>
      <w:r>
        <w:t>51</w:t>
      </w:r>
      <w:r>
        <w:rPr>
          <w:rFonts w:hint="eastAsia"/>
        </w:rPr>
        <w:fldChar w:fldCharType="end"/>
      </w:r>
      <w:r>
        <w:rPr>
          <w:rFonts w:hint="eastAsia"/>
        </w:rPr>
        <w:fldChar w:fldCharType="end"/>
      </w:r>
    </w:p>
    <w:p w14:paraId="49370D43">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"_Toc220921280" </w:instrText>
      </w:r>
      <w:r>
        <w:fldChar w:fldCharType="separate"/>
      </w:r>
      <w:r>
        <w:rPr>
          <w:rStyle w:val="18"/>
          <w:rFonts w:hint="eastAsia" w:cs="Times New Roman"/>
        </w:rPr>
        <w:t>第二节国土综合整治</w:t>
      </w:r>
      <w:r>
        <w:rPr>
          <w:rFonts w:hint="eastAsia"/>
        </w:rPr>
        <w:tab/>
      </w:r>
      <w:r>
        <w:rPr>
          <w:rFonts w:hint="eastAsia"/>
        </w:rPr>
        <w:fldChar w:fldCharType="begin"/>
      </w:r>
      <w:r>
        <w:rPr>
          <w:rFonts w:hint="eastAsia"/>
        </w:rPr>
        <w:instrText xml:space="preserve"> </w:instrText>
      </w:r>
      <w:r>
        <w:instrText xml:space="preserve">PAGEREF _Toc220921280 \h</w:instrText>
      </w:r>
      <w:r>
        <w:rPr>
          <w:rFonts w:hint="eastAsia"/>
        </w:rPr>
        <w:instrText xml:space="preserve"> </w:instrText>
      </w:r>
      <w:r>
        <w:rPr>
          <w:rFonts w:hint="eastAsia"/>
        </w:rPr>
        <w:fldChar w:fldCharType="separate"/>
      </w:r>
      <w:r>
        <w:t>53</w:t>
      </w:r>
      <w:r>
        <w:rPr>
          <w:rFonts w:hint="eastAsia"/>
        </w:rPr>
        <w:fldChar w:fldCharType="end"/>
      </w:r>
      <w:r>
        <w:rPr>
          <w:rFonts w:hint="eastAsia"/>
        </w:rPr>
        <w:fldChar w:fldCharType="end"/>
      </w:r>
    </w:p>
    <w:p w14:paraId="600491CA">
      <w:pPr>
        <w:pStyle w:val="11"/>
        <w:rPr>
          <w:rFonts w:hint="eastAsia" w:asciiTheme="minorHAnsi" w:hAnsiTheme="minorHAnsi" w:eastAsiaTheme="minorEastAsia"/>
          <w:sz w:val="22"/>
          <w:szCs w:val="24"/>
          <w14:ligatures w14:val="standardContextual"/>
        </w:rPr>
      </w:pPr>
      <w:r>
        <w:fldChar w:fldCharType="begin"/>
      </w:r>
      <w:r>
        <w:instrText xml:space="preserve"> HYPERLINK \l "_Toc220921281" </w:instrText>
      </w:r>
      <w:r>
        <w:fldChar w:fldCharType="separate"/>
      </w:r>
      <w:r>
        <w:rPr>
          <w:rStyle w:val="18"/>
          <w:rFonts w:hint="eastAsia" w:ascii="Times New Roman" w:hAnsi="Times New Roman" w:cs="Times New Roman"/>
        </w:rPr>
        <w:t>第八章乡中心区功能布局与规划管控</w:t>
      </w:r>
      <w:r>
        <w:rPr>
          <w:rFonts w:hint="eastAsia"/>
        </w:rPr>
        <w:tab/>
      </w:r>
      <w:r>
        <w:rPr>
          <w:rFonts w:hint="eastAsia"/>
        </w:rPr>
        <w:fldChar w:fldCharType="begin"/>
      </w:r>
      <w:r>
        <w:rPr>
          <w:rFonts w:hint="eastAsia"/>
        </w:rPr>
        <w:instrText xml:space="preserve"> </w:instrText>
      </w:r>
      <w:r>
        <w:instrText xml:space="preserve">PAGEREF _Toc220921281 \h</w:instrText>
      </w:r>
      <w:r>
        <w:rPr>
          <w:rFonts w:hint="eastAsia"/>
        </w:rPr>
        <w:instrText xml:space="preserve"> </w:instrText>
      </w:r>
      <w:r>
        <w:rPr>
          <w:rFonts w:hint="eastAsia"/>
        </w:rPr>
        <w:fldChar w:fldCharType="separate"/>
      </w:r>
      <w:r>
        <w:rPr>
          <w:rFonts w:hint="eastAsia"/>
        </w:rPr>
        <w:t>56</w:t>
      </w:r>
      <w:r>
        <w:rPr>
          <w:rFonts w:hint="eastAsia"/>
        </w:rPr>
        <w:fldChar w:fldCharType="end"/>
      </w:r>
      <w:r>
        <w:rPr>
          <w:rFonts w:hint="eastAsia"/>
        </w:rPr>
        <w:fldChar w:fldCharType="end"/>
      </w:r>
    </w:p>
    <w:p w14:paraId="2A59D30B">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"_Toc220921282" </w:instrText>
      </w:r>
      <w:r>
        <w:fldChar w:fldCharType="separate"/>
      </w:r>
      <w:r>
        <w:rPr>
          <w:rStyle w:val="18"/>
          <w:rFonts w:hint="eastAsia" w:cs="Times New Roman"/>
        </w:rPr>
        <w:t>第一节规划分区与用途管制</w:t>
      </w:r>
      <w:r>
        <w:rPr>
          <w:rFonts w:hint="eastAsia"/>
        </w:rPr>
        <w:tab/>
      </w:r>
      <w:r>
        <w:rPr>
          <w:rFonts w:hint="eastAsia"/>
        </w:rPr>
        <w:fldChar w:fldCharType="begin"/>
      </w:r>
      <w:r>
        <w:rPr>
          <w:rFonts w:hint="eastAsia"/>
        </w:rPr>
        <w:instrText xml:space="preserve"> </w:instrText>
      </w:r>
      <w:r>
        <w:instrText xml:space="preserve">PAGEREF _Toc220921282 \h</w:instrText>
      </w:r>
      <w:r>
        <w:rPr>
          <w:rFonts w:hint="eastAsia"/>
        </w:rPr>
        <w:instrText xml:space="preserve"> </w:instrText>
      </w:r>
      <w:r>
        <w:rPr>
          <w:rFonts w:hint="eastAsia"/>
        </w:rPr>
        <w:fldChar w:fldCharType="separate"/>
      </w:r>
      <w:r>
        <w:t>56</w:t>
      </w:r>
      <w:r>
        <w:rPr>
          <w:rFonts w:hint="eastAsia"/>
        </w:rPr>
        <w:fldChar w:fldCharType="end"/>
      </w:r>
      <w:r>
        <w:rPr>
          <w:rFonts w:hint="eastAsia"/>
        </w:rPr>
        <w:fldChar w:fldCharType="end"/>
      </w:r>
    </w:p>
    <w:p w14:paraId="53020C9C">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"_Toc220921283" </w:instrText>
      </w:r>
      <w:r>
        <w:fldChar w:fldCharType="separate"/>
      </w:r>
      <w:r>
        <w:rPr>
          <w:rStyle w:val="18"/>
          <w:rFonts w:hint="eastAsia" w:cs="Times New Roman"/>
        </w:rPr>
        <w:t>第二节用地结构和布局</w:t>
      </w:r>
      <w:r>
        <w:rPr>
          <w:rFonts w:hint="eastAsia"/>
        </w:rPr>
        <w:tab/>
      </w:r>
      <w:r>
        <w:rPr>
          <w:rFonts w:hint="eastAsia"/>
        </w:rPr>
        <w:fldChar w:fldCharType="begin"/>
      </w:r>
      <w:r>
        <w:rPr>
          <w:rFonts w:hint="eastAsia"/>
        </w:rPr>
        <w:instrText xml:space="preserve"> </w:instrText>
      </w:r>
      <w:r>
        <w:instrText xml:space="preserve">PAGEREF _Toc220921283 \h</w:instrText>
      </w:r>
      <w:r>
        <w:rPr>
          <w:rFonts w:hint="eastAsia"/>
        </w:rPr>
        <w:instrText xml:space="preserve"> </w:instrText>
      </w:r>
      <w:r>
        <w:rPr>
          <w:rFonts w:hint="eastAsia"/>
        </w:rPr>
        <w:fldChar w:fldCharType="separate"/>
      </w:r>
      <w:r>
        <w:t>57</w:t>
      </w:r>
      <w:r>
        <w:rPr>
          <w:rFonts w:hint="eastAsia"/>
        </w:rPr>
        <w:fldChar w:fldCharType="end"/>
      </w:r>
      <w:r>
        <w:rPr>
          <w:rFonts w:hint="eastAsia"/>
        </w:rPr>
        <w:fldChar w:fldCharType="end"/>
      </w:r>
    </w:p>
    <w:p w14:paraId="10AA9EAE">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"_Toc220921284" </w:instrText>
      </w:r>
      <w:r>
        <w:fldChar w:fldCharType="separate"/>
      </w:r>
      <w:r>
        <w:rPr>
          <w:rStyle w:val="18"/>
          <w:rFonts w:hint="eastAsia" w:cs="Times New Roman"/>
        </w:rPr>
        <w:t>第三节绿地系统和开敞空间</w:t>
      </w:r>
      <w:r>
        <w:rPr>
          <w:rFonts w:hint="eastAsia"/>
        </w:rPr>
        <w:tab/>
      </w:r>
      <w:r>
        <w:rPr>
          <w:rFonts w:hint="eastAsia"/>
        </w:rPr>
        <w:fldChar w:fldCharType="begin"/>
      </w:r>
      <w:r>
        <w:rPr>
          <w:rFonts w:hint="eastAsia"/>
        </w:rPr>
        <w:instrText xml:space="preserve"> </w:instrText>
      </w:r>
      <w:r>
        <w:instrText xml:space="preserve">PAGEREF _Toc220921284 \h</w:instrText>
      </w:r>
      <w:r>
        <w:rPr>
          <w:rFonts w:hint="eastAsia"/>
        </w:rPr>
        <w:instrText xml:space="preserve"> </w:instrText>
      </w:r>
      <w:r>
        <w:rPr>
          <w:rFonts w:hint="eastAsia"/>
        </w:rPr>
        <w:fldChar w:fldCharType="separate"/>
      </w:r>
      <w:r>
        <w:t>61</w:t>
      </w:r>
      <w:r>
        <w:rPr>
          <w:rFonts w:hint="eastAsia"/>
        </w:rPr>
        <w:fldChar w:fldCharType="end"/>
      </w:r>
      <w:r>
        <w:rPr>
          <w:rFonts w:hint="eastAsia"/>
        </w:rPr>
        <w:fldChar w:fldCharType="end"/>
      </w:r>
    </w:p>
    <w:p w14:paraId="7C964329">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"_Toc220921285" </w:instrText>
      </w:r>
      <w:r>
        <w:fldChar w:fldCharType="separate"/>
      </w:r>
      <w:r>
        <w:rPr>
          <w:rStyle w:val="18"/>
          <w:rFonts w:hint="eastAsia" w:cs="Times New Roman"/>
        </w:rPr>
        <w:t>第四节景观风貌</w:t>
      </w:r>
      <w:r>
        <w:rPr>
          <w:rFonts w:hint="eastAsia"/>
        </w:rPr>
        <w:tab/>
      </w:r>
      <w:r>
        <w:rPr>
          <w:rFonts w:hint="eastAsia"/>
        </w:rPr>
        <w:fldChar w:fldCharType="begin"/>
      </w:r>
      <w:r>
        <w:rPr>
          <w:rFonts w:hint="eastAsia"/>
        </w:rPr>
        <w:instrText xml:space="preserve"> </w:instrText>
      </w:r>
      <w:r>
        <w:instrText xml:space="preserve">PAGEREF _Toc220921285 \h</w:instrText>
      </w:r>
      <w:r>
        <w:rPr>
          <w:rFonts w:hint="eastAsia"/>
        </w:rPr>
        <w:instrText xml:space="preserve"> </w:instrText>
      </w:r>
      <w:r>
        <w:rPr>
          <w:rFonts w:hint="eastAsia"/>
        </w:rPr>
        <w:fldChar w:fldCharType="separate"/>
      </w:r>
      <w:r>
        <w:t>62</w:t>
      </w:r>
      <w:r>
        <w:rPr>
          <w:rFonts w:hint="eastAsia"/>
        </w:rPr>
        <w:fldChar w:fldCharType="end"/>
      </w:r>
      <w:r>
        <w:rPr>
          <w:rFonts w:hint="eastAsia"/>
        </w:rPr>
        <w:fldChar w:fldCharType="end"/>
      </w:r>
    </w:p>
    <w:p w14:paraId="2B9B86D0">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"_Toc220921286" </w:instrText>
      </w:r>
      <w:r>
        <w:fldChar w:fldCharType="separate"/>
      </w:r>
      <w:r>
        <w:rPr>
          <w:rStyle w:val="18"/>
          <w:rFonts w:hint="eastAsia" w:cs="Times New Roman"/>
        </w:rPr>
        <w:t>第五节住房保障</w:t>
      </w:r>
      <w:r>
        <w:rPr>
          <w:rFonts w:hint="eastAsia"/>
        </w:rPr>
        <w:tab/>
      </w:r>
      <w:r>
        <w:rPr>
          <w:rFonts w:hint="eastAsia"/>
        </w:rPr>
        <w:fldChar w:fldCharType="begin"/>
      </w:r>
      <w:r>
        <w:rPr>
          <w:rFonts w:hint="eastAsia"/>
        </w:rPr>
        <w:instrText xml:space="preserve"> </w:instrText>
      </w:r>
      <w:r>
        <w:instrText xml:space="preserve">PAGEREF _Toc220921286 \h</w:instrText>
      </w:r>
      <w:r>
        <w:rPr>
          <w:rFonts w:hint="eastAsia"/>
        </w:rPr>
        <w:instrText xml:space="preserve"> </w:instrText>
      </w:r>
      <w:r>
        <w:rPr>
          <w:rFonts w:hint="eastAsia"/>
        </w:rPr>
        <w:fldChar w:fldCharType="separate"/>
      </w:r>
      <w:r>
        <w:t>65</w:t>
      </w:r>
      <w:r>
        <w:rPr>
          <w:rFonts w:hint="eastAsia"/>
        </w:rPr>
        <w:fldChar w:fldCharType="end"/>
      </w:r>
      <w:r>
        <w:rPr>
          <w:rFonts w:hint="eastAsia"/>
        </w:rPr>
        <w:fldChar w:fldCharType="end"/>
      </w:r>
    </w:p>
    <w:p w14:paraId="088FAA6A">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"_Toc220921287" </w:instrText>
      </w:r>
      <w:r>
        <w:fldChar w:fldCharType="separate"/>
      </w:r>
      <w:r>
        <w:rPr>
          <w:rStyle w:val="18"/>
          <w:rFonts w:hint="eastAsia" w:cs="Times New Roman"/>
        </w:rPr>
        <w:t>第六节城镇更新</w:t>
      </w:r>
      <w:r>
        <w:rPr>
          <w:rFonts w:hint="eastAsia"/>
        </w:rPr>
        <w:tab/>
      </w:r>
      <w:r>
        <w:rPr>
          <w:rFonts w:hint="eastAsia"/>
        </w:rPr>
        <w:fldChar w:fldCharType="begin"/>
      </w:r>
      <w:r>
        <w:rPr>
          <w:rFonts w:hint="eastAsia"/>
        </w:rPr>
        <w:instrText xml:space="preserve"> </w:instrText>
      </w:r>
      <w:r>
        <w:instrText xml:space="preserve">PAGEREF _Toc220921287 \h</w:instrText>
      </w:r>
      <w:r>
        <w:rPr>
          <w:rFonts w:hint="eastAsia"/>
        </w:rPr>
        <w:instrText xml:space="preserve"> </w:instrText>
      </w:r>
      <w:r>
        <w:rPr>
          <w:rFonts w:hint="eastAsia"/>
        </w:rPr>
        <w:fldChar w:fldCharType="separate"/>
      </w:r>
      <w:r>
        <w:t>66</w:t>
      </w:r>
      <w:r>
        <w:rPr>
          <w:rFonts w:hint="eastAsia"/>
        </w:rPr>
        <w:fldChar w:fldCharType="end"/>
      </w:r>
      <w:r>
        <w:rPr>
          <w:rFonts w:hint="eastAsia"/>
        </w:rPr>
        <w:fldChar w:fldCharType="end"/>
      </w:r>
    </w:p>
    <w:p w14:paraId="0A89579D">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"_Toc220921288" </w:instrText>
      </w:r>
      <w:r>
        <w:fldChar w:fldCharType="separate"/>
      </w:r>
      <w:r>
        <w:rPr>
          <w:rStyle w:val="18"/>
          <w:rFonts w:hint="eastAsia" w:cs="Times New Roman"/>
        </w:rPr>
        <w:t>第七节“四线”管控</w:t>
      </w:r>
      <w:r>
        <w:rPr>
          <w:rFonts w:hint="eastAsia"/>
        </w:rPr>
        <w:tab/>
      </w:r>
      <w:r>
        <w:rPr>
          <w:rFonts w:hint="eastAsia"/>
        </w:rPr>
        <w:fldChar w:fldCharType="begin"/>
      </w:r>
      <w:r>
        <w:rPr>
          <w:rFonts w:hint="eastAsia"/>
        </w:rPr>
        <w:instrText xml:space="preserve"> </w:instrText>
      </w:r>
      <w:r>
        <w:instrText xml:space="preserve">PAGEREF _Toc220921288 \h</w:instrText>
      </w:r>
      <w:r>
        <w:rPr>
          <w:rFonts w:hint="eastAsia"/>
        </w:rPr>
        <w:instrText xml:space="preserve"> </w:instrText>
      </w:r>
      <w:r>
        <w:rPr>
          <w:rFonts w:hint="eastAsia"/>
        </w:rPr>
        <w:fldChar w:fldCharType="separate"/>
      </w:r>
      <w:r>
        <w:t>67</w:t>
      </w:r>
      <w:r>
        <w:rPr>
          <w:rFonts w:hint="eastAsia"/>
        </w:rPr>
        <w:fldChar w:fldCharType="end"/>
      </w:r>
      <w:r>
        <w:rPr>
          <w:rFonts w:hint="eastAsia"/>
        </w:rPr>
        <w:fldChar w:fldCharType="end"/>
      </w:r>
    </w:p>
    <w:p w14:paraId="51F2D0DD">
      <w:pPr>
        <w:pStyle w:val="11"/>
        <w:rPr>
          <w:rFonts w:hint="eastAsia" w:asciiTheme="minorHAnsi" w:hAnsiTheme="minorHAnsi" w:eastAsiaTheme="minorEastAsia"/>
          <w:sz w:val="22"/>
          <w:szCs w:val="24"/>
          <w14:ligatures w14:val="standardContextual"/>
        </w:rPr>
      </w:pPr>
      <w:r>
        <w:fldChar w:fldCharType="begin"/>
      </w:r>
      <w:r>
        <w:instrText xml:space="preserve"> HYPERLINK \l "_Toc220921289" </w:instrText>
      </w:r>
      <w:r>
        <w:fldChar w:fldCharType="separate"/>
      </w:r>
      <w:r>
        <w:rPr>
          <w:rStyle w:val="18"/>
          <w:rFonts w:hint="eastAsia" w:ascii="Times New Roman" w:hAnsi="Times New Roman" w:cs="Times New Roman"/>
        </w:rPr>
        <w:t>第九章国土空间保障支撑体系</w:t>
      </w:r>
      <w:r>
        <w:rPr>
          <w:rFonts w:hint="eastAsia"/>
        </w:rPr>
        <w:tab/>
      </w:r>
      <w:r>
        <w:rPr>
          <w:rFonts w:hint="eastAsia"/>
        </w:rPr>
        <w:fldChar w:fldCharType="begin"/>
      </w:r>
      <w:r>
        <w:rPr>
          <w:rFonts w:hint="eastAsia"/>
        </w:rPr>
        <w:instrText xml:space="preserve"> </w:instrText>
      </w:r>
      <w:r>
        <w:instrText xml:space="preserve">PAGEREF _Toc220921289 \h</w:instrText>
      </w:r>
      <w:r>
        <w:rPr>
          <w:rFonts w:hint="eastAsia"/>
        </w:rPr>
        <w:instrText xml:space="preserve"> </w:instrText>
      </w:r>
      <w:r>
        <w:rPr>
          <w:rFonts w:hint="eastAsia"/>
        </w:rPr>
        <w:fldChar w:fldCharType="separate"/>
      </w:r>
      <w:r>
        <w:rPr>
          <w:rFonts w:hint="eastAsia"/>
        </w:rPr>
        <w:t>69</w:t>
      </w:r>
      <w:r>
        <w:rPr>
          <w:rFonts w:hint="eastAsia"/>
        </w:rPr>
        <w:fldChar w:fldCharType="end"/>
      </w:r>
      <w:r>
        <w:rPr>
          <w:rFonts w:hint="eastAsia"/>
        </w:rPr>
        <w:fldChar w:fldCharType="end"/>
      </w:r>
    </w:p>
    <w:p w14:paraId="6B439C47">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"_Toc220921290" </w:instrText>
      </w:r>
      <w:r>
        <w:fldChar w:fldCharType="separate"/>
      </w:r>
      <w:r>
        <w:rPr>
          <w:rStyle w:val="18"/>
          <w:rFonts w:hint="eastAsia" w:cs="Times New Roman"/>
        </w:rPr>
        <w:t>第一节公共服务设施</w:t>
      </w:r>
      <w:r>
        <w:rPr>
          <w:rFonts w:hint="eastAsia"/>
        </w:rPr>
        <w:tab/>
      </w:r>
      <w:r>
        <w:rPr>
          <w:rFonts w:hint="eastAsia"/>
        </w:rPr>
        <w:fldChar w:fldCharType="begin"/>
      </w:r>
      <w:r>
        <w:rPr>
          <w:rFonts w:hint="eastAsia"/>
        </w:rPr>
        <w:instrText xml:space="preserve"> </w:instrText>
      </w:r>
      <w:r>
        <w:instrText xml:space="preserve">PAGEREF _Toc220921290 \h</w:instrText>
      </w:r>
      <w:r>
        <w:rPr>
          <w:rFonts w:hint="eastAsia"/>
        </w:rPr>
        <w:instrText xml:space="preserve"> </w:instrText>
      </w:r>
      <w:r>
        <w:rPr>
          <w:rFonts w:hint="eastAsia"/>
        </w:rPr>
        <w:fldChar w:fldCharType="separate"/>
      </w:r>
      <w:r>
        <w:t>69</w:t>
      </w:r>
      <w:r>
        <w:rPr>
          <w:rFonts w:hint="eastAsia"/>
        </w:rPr>
        <w:fldChar w:fldCharType="end"/>
      </w:r>
      <w:r>
        <w:rPr>
          <w:rFonts w:hint="eastAsia"/>
        </w:rPr>
        <w:fldChar w:fldCharType="end"/>
      </w:r>
    </w:p>
    <w:p w14:paraId="1BCF4283">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"_Toc220921291" </w:instrText>
      </w:r>
      <w:r>
        <w:fldChar w:fldCharType="separate"/>
      </w:r>
      <w:r>
        <w:rPr>
          <w:rStyle w:val="18"/>
          <w:rFonts w:hint="eastAsia" w:cs="Times New Roman"/>
        </w:rPr>
        <w:t>第二节综合交通设施</w:t>
      </w:r>
      <w:r>
        <w:rPr>
          <w:rFonts w:hint="eastAsia"/>
        </w:rPr>
        <w:tab/>
      </w:r>
      <w:r>
        <w:rPr>
          <w:rFonts w:hint="eastAsia"/>
        </w:rPr>
        <w:fldChar w:fldCharType="begin"/>
      </w:r>
      <w:r>
        <w:rPr>
          <w:rFonts w:hint="eastAsia"/>
        </w:rPr>
        <w:instrText xml:space="preserve"> </w:instrText>
      </w:r>
      <w:r>
        <w:instrText xml:space="preserve">PAGEREF _Toc220921291 \h</w:instrText>
      </w:r>
      <w:r>
        <w:rPr>
          <w:rFonts w:hint="eastAsia"/>
        </w:rPr>
        <w:instrText xml:space="preserve"> </w:instrText>
      </w:r>
      <w:r>
        <w:rPr>
          <w:rFonts w:hint="eastAsia"/>
        </w:rPr>
        <w:fldChar w:fldCharType="separate"/>
      </w:r>
      <w:r>
        <w:t>73</w:t>
      </w:r>
      <w:r>
        <w:rPr>
          <w:rFonts w:hint="eastAsia"/>
        </w:rPr>
        <w:fldChar w:fldCharType="end"/>
      </w:r>
      <w:r>
        <w:rPr>
          <w:rFonts w:hint="eastAsia"/>
        </w:rPr>
        <w:fldChar w:fldCharType="end"/>
      </w:r>
    </w:p>
    <w:p w14:paraId="793752A9">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"_Toc220921292" </w:instrText>
      </w:r>
      <w:r>
        <w:fldChar w:fldCharType="separate"/>
      </w:r>
      <w:r>
        <w:rPr>
          <w:rStyle w:val="18"/>
          <w:rFonts w:hint="eastAsia" w:cs="Times New Roman"/>
        </w:rPr>
        <w:t>第三节市政基础设施</w:t>
      </w:r>
      <w:r>
        <w:rPr>
          <w:rFonts w:hint="eastAsia"/>
        </w:rPr>
        <w:tab/>
      </w:r>
      <w:r>
        <w:rPr>
          <w:rFonts w:hint="eastAsia"/>
        </w:rPr>
        <w:fldChar w:fldCharType="begin"/>
      </w:r>
      <w:r>
        <w:rPr>
          <w:rFonts w:hint="eastAsia"/>
        </w:rPr>
        <w:instrText xml:space="preserve"> </w:instrText>
      </w:r>
      <w:r>
        <w:instrText xml:space="preserve">PAGEREF _Toc220921292 \h</w:instrText>
      </w:r>
      <w:r>
        <w:rPr>
          <w:rFonts w:hint="eastAsia"/>
        </w:rPr>
        <w:instrText xml:space="preserve"> </w:instrText>
      </w:r>
      <w:r>
        <w:rPr>
          <w:rFonts w:hint="eastAsia"/>
        </w:rPr>
        <w:fldChar w:fldCharType="separate"/>
      </w:r>
      <w:r>
        <w:t>77</w:t>
      </w:r>
      <w:r>
        <w:rPr>
          <w:rFonts w:hint="eastAsia"/>
        </w:rPr>
        <w:fldChar w:fldCharType="end"/>
      </w:r>
      <w:r>
        <w:rPr>
          <w:rFonts w:hint="eastAsia"/>
        </w:rPr>
        <w:fldChar w:fldCharType="end"/>
      </w:r>
    </w:p>
    <w:p w14:paraId="5A6B0AA4">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"_Toc220921293" </w:instrText>
      </w:r>
      <w:r>
        <w:fldChar w:fldCharType="separate"/>
      </w:r>
      <w:r>
        <w:rPr>
          <w:rStyle w:val="18"/>
          <w:rFonts w:hint="eastAsia" w:cs="Times New Roman"/>
        </w:rPr>
        <w:t>第四节防灾减灾设施</w:t>
      </w:r>
      <w:r>
        <w:rPr>
          <w:rFonts w:hint="eastAsia"/>
        </w:rPr>
        <w:tab/>
      </w:r>
      <w:r>
        <w:rPr>
          <w:rFonts w:hint="eastAsia"/>
        </w:rPr>
        <w:fldChar w:fldCharType="begin"/>
      </w:r>
      <w:r>
        <w:rPr>
          <w:rFonts w:hint="eastAsia"/>
        </w:rPr>
        <w:instrText xml:space="preserve"> </w:instrText>
      </w:r>
      <w:r>
        <w:instrText xml:space="preserve">PAGEREF _Toc220921293 \h</w:instrText>
      </w:r>
      <w:r>
        <w:rPr>
          <w:rFonts w:hint="eastAsia"/>
        </w:rPr>
        <w:instrText xml:space="preserve"> </w:instrText>
      </w:r>
      <w:r>
        <w:rPr>
          <w:rFonts w:hint="eastAsia"/>
        </w:rPr>
        <w:fldChar w:fldCharType="separate"/>
      </w:r>
      <w:r>
        <w:t>86</w:t>
      </w:r>
      <w:r>
        <w:rPr>
          <w:rFonts w:hint="eastAsia"/>
        </w:rPr>
        <w:fldChar w:fldCharType="end"/>
      </w:r>
      <w:r>
        <w:rPr>
          <w:rFonts w:hint="eastAsia"/>
        </w:rPr>
        <w:fldChar w:fldCharType="end"/>
      </w:r>
    </w:p>
    <w:p w14:paraId="5784091F">
      <w:pPr>
        <w:pStyle w:val="11"/>
        <w:rPr>
          <w:rFonts w:hint="eastAsia" w:asciiTheme="minorHAnsi" w:hAnsiTheme="minorHAnsi" w:eastAsiaTheme="minorEastAsia"/>
          <w:sz w:val="22"/>
          <w:szCs w:val="24"/>
          <w14:ligatures w14:val="standardContextual"/>
        </w:rPr>
      </w:pPr>
      <w:r>
        <w:fldChar w:fldCharType="begin"/>
      </w:r>
      <w:r>
        <w:instrText xml:space="preserve"> HYPERLINK \l "_Toc220921294" </w:instrText>
      </w:r>
      <w:r>
        <w:fldChar w:fldCharType="separate"/>
      </w:r>
      <w:r>
        <w:rPr>
          <w:rStyle w:val="18"/>
          <w:rFonts w:hint="eastAsia" w:ascii="Times New Roman" w:hAnsi="Times New Roman" w:cs="Times New Roman"/>
        </w:rPr>
        <w:t>第十章规划传导与近期建设</w:t>
      </w:r>
      <w:r>
        <w:rPr>
          <w:rFonts w:hint="eastAsia"/>
        </w:rPr>
        <w:tab/>
      </w:r>
      <w:r>
        <w:rPr>
          <w:rFonts w:hint="eastAsia"/>
        </w:rPr>
        <w:fldChar w:fldCharType="begin"/>
      </w:r>
      <w:r>
        <w:rPr>
          <w:rFonts w:hint="eastAsia"/>
        </w:rPr>
        <w:instrText xml:space="preserve"> </w:instrText>
      </w:r>
      <w:r>
        <w:instrText xml:space="preserve">PAGEREF _Toc220921294 \h</w:instrText>
      </w:r>
      <w:r>
        <w:rPr>
          <w:rFonts w:hint="eastAsia"/>
        </w:rPr>
        <w:instrText xml:space="preserve"> </w:instrText>
      </w:r>
      <w:r>
        <w:rPr>
          <w:rFonts w:hint="eastAsia"/>
        </w:rPr>
        <w:fldChar w:fldCharType="separate"/>
      </w:r>
      <w:r>
        <w:rPr>
          <w:rFonts w:hint="eastAsia"/>
        </w:rPr>
        <w:t>91</w:t>
      </w:r>
      <w:r>
        <w:rPr>
          <w:rFonts w:hint="eastAsia"/>
        </w:rPr>
        <w:fldChar w:fldCharType="end"/>
      </w:r>
      <w:r>
        <w:rPr>
          <w:rFonts w:hint="eastAsia"/>
        </w:rPr>
        <w:fldChar w:fldCharType="end"/>
      </w:r>
    </w:p>
    <w:p w14:paraId="7F5ED867">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"_Toc220921295" </w:instrText>
      </w:r>
      <w:r>
        <w:fldChar w:fldCharType="separate"/>
      </w:r>
      <w:r>
        <w:rPr>
          <w:rStyle w:val="18"/>
          <w:rFonts w:hint="eastAsia" w:cs="Times New Roman"/>
        </w:rPr>
        <w:t>第一节加强党的领导</w:t>
      </w:r>
      <w:r>
        <w:rPr>
          <w:rFonts w:hint="eastAsia"/>
        </w:rPr>
        <w:tab/>
      </w:r>
      <w:r>
        <w:rPr>
          <w:rFonts w:hint="eastAsia"/>
        </w:rPr>
        <w:fldChar w:fldCharType="begin"/>
      </w:r>
      <w:r>
        <w:rPr>
          <w:rFonts w:hint="eastAsia"/>
        </w:rPr>
        <w:instrText xml:space="preserve"> </w:instrText>
      </w:r>
      <w:r>
        <w:instrText xml:space="preserve">PAGEREF _Toc220921295 \h</w:instrText>
      </w:r>
      <w:r>
        <w:rPr>
          <w:rFonts w:hint="eastAsia"/>
        </w:rPr>
        <w:instrText xml:space="preserve"> </w:instrText>
      </w:r>
      <w:r>
        <w:rPr>
          <w:rFonts w:hint="eastAsia"/>
        </w:rPr>
        <w:fldChar w:fldCharType="separate"/>
      </w:r>
      <w:r>
        <w:t>91</w:t>
      </w:r>
      <w:r>
        <w:rPr>
          <w:rFonts w:hint="eastAsia"/>
        </w:rPr>
        <w:fldChar w:fldCharType="end"/>
      </w:r>
      <w:r>
        <w:rPr>
          <w:rFonts w:hint="eastAsia"/>
        </w:rPr>
        <w:fldChar w:fldCharType="end"/>
      </w:r>
    </w:p>
    <w:p w14:paraId="74A0E811">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"_Toc220921296" </w:instrText>
      </w:r>
      <w:r>
        <w:fldChar w:fldCharType="separate"/>
      </w:r>
      <w:r>
        <w:rPr>
          <w:rStyle w:val="18"/>
          <w:rFonts w:hint="eastAsia" w:cs="Times New Roman"/>
        </w:rPr>
        <w:t>第二节详细规划传导</w:t>
      </w:r>
      <w:r>
        <w:rPr>
          <w:rFonts w:hint="eastAsia"/>
        </w:rPr>
        <w:tab/>
      </w:r>
      <w:r>
        <w:rPr>
          <w:rFonts w:hint="eastAsia"/>
        </w:rPr>
        <w:fldChar w:fldCharType="begin"/>
      </w:r>
      <w:r>
        <w:rPr>
          <w:rFonts w:hint="eastAsia"/>
        </w:rPr>
        <w:instrText xml:space="preserve"> </w:instrText>
      </w:r>
      <w:r>
        <w:instrText xml:space="preserve">PAGEREF _Toc220921296 \h</w:instrText>
      </w:r>
      <w:r>
        <w:rPr>
          <w:rFonts w:hint="eastAsia"/>
        </w:rPr>
        <w:instrText xml:space="preserve"> </w:instrText>
      </w:r>
      <w:r>
        <w:rPr>
          <w:rFonts w:hint="eastAsia"/>
        </w:rPr>
        <w:fldChar w:fldCharType="separate"/>
      </w:r>
      <w:r>
        <w:t>92</w:t>
      </w:r>
      <w:r>
        <w:rPr>
          <w:rFonts w:hint="eastAsia"/>
        </w:rPr>
        <w:fldChar w:fldCharType="end"/>
      </w:r>
      <w:r>
        <w:rPr>
          <w:rFonts w:hint="eastAsia"/>
        </w:rPr>
        <w:fldChar w:fldCharType="end"/>
      </w:r>
    </w:p>
    <w:p w14:paraId="5BF3CFBB">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"_Toc220921297" </w:instrText>
      </w:r>
      <w:r>
        <w:fldChar w:fldCharType="separate"/>
      </w:r>
      <w:r>
        <w:rPr>
          <w:rStyle w:val="18"/>
          <w:rFonts w:hint="eastAsia" w:cs="Times New Roman"/>
        </w:rPr>
        <w:t>第三节近期建设</w:t>
      </w:r>
      <w:r>
        <w:rPr>
          <w:rFonts w:hint="eastAsia"/>
        </w:rPr>
        <w:tab/>
      </w:r>
      <w:r>
        <w:rPr>
          <w:rFonts w:hint="eastAsia"/>
        </w:rPr>
        <w:fldChar w:fldCharType="begin"/>
      </w:r>
      <w:r>
        <w:rPr>
          <w:rFonts w:hint="eastAsia"/>
        </w:rPr>
        <w:instrText xml:space="preserve"> </w:instrText>
      </w:r>
      <w:r>
        <w:instrText xml:space="preserve">PAGEREF _Toc220921297 \h</w:instrText>
      </w:r>
      <w:r>
        <w:rPr>
          <w:rFonts w:hint="eastAsia"/>
        </w:rPr>
        <w:instrText xml:space="preserve"> </w:instrText>
      </w:r>
      <w:r>
        <w:rPr>
          <w:rFonts w:hint="eastAsia"/>
        </w:rPr>
        <w:fldChar w:fldCharType="separate"/>
      </w:r>
      <w:r>
        <w:t>94</w:t>
      </w:r>
      <w:r>
        <w:rPr>
          <w:rFonts w:hint="eastAsia"/>
        </w:rPr>
        <w:fldChar w:fldCharType="end"/>
      </w:r>
      <w:r>
        <w:rPr>
          <w:rFonts w:hint="eastAsia"/>
        </w:rPr>
        <w:fldChar w:fldCharType="end"/>
      </w:r>
    </w:p>
    <w:p w14:paraId="33752701">
      <w:pPr>
        <w:pStyle w:val="12"/>
        <w:tabs>
          <w:tab w:val="right" w:leader="dot" w:pos="8302"/>
        </w:tabs>
        <w:ind w:left="640" w:firstLine="640"/>
        <w:rPr>
          <w:rFonts w:hint="eastAsia" w:asciiTheme="minorHAnsi" w:hAnsiTheme="minorHAnsi" w:eastAsiaTheme="minorEastAsia"/>
          <w:sz w:val="22"/>
          <w:szCs w:val="24"/>
          <w14:ligatures w14:val="standardContextual"/>
        </w:rPr>
      </w:pPr>
      <w:r>
        <w:fldChar w:fldCharType="begin"/>
      </w:r>
      <w:r>
        <w:instrText xml:space="preserve"> HYPERLINK \l "_Toc220921298" </w:instrText>
      </w:r>
      <w:r>
        <w:fldChar w:fldCharType="separate"/>
      </w:r>
      <w:r>
        <w:rPr>
          <w:rStyle w:val="18"/>
          <w:rFonts w:hint="eastAsia" w:cs="Times New Roman"/>
        </w:rPr>
        <w:t>第四节“一张图”建设与实施监督</w:t>
      </w:r>
      <w:r>
        <w:rPr>
          <w:rFonts w:hint="eastAsia"/>
        </w:rPr>
        <w:tab/>
      </w:r>
      <w:r>
        <w:rPr>
          <w:rFonts w:hint="eastAsia"/>
        </w:rPr>
        <w:fldChar w:fldCharType="begin"/>
      </w:r>
      <w:r>
        <w:rPr>
          <w:rFonts w:hint="eastAsia"/>
        </w:rPr>
        <w:instrText xml:space="preserve"> </w:instrText>
      </w:r>
      <w:r>
        <w:instrText xml:space="preserve">PAGEREF _Toc220921298 \h</w:instrText>
      </w:r>
      <w:r>
        <w:rPr>
          <w:rFonts w:hint="eastAsia"/>
        </w:rPr>
        <w:instrText xml:space="preserve"> </w:instrText>
      </w:r>
      <w:r>
        <w:rPr>
          <w:rFonts w:hint="eastAsia"/>
        </w:rPr>
        <w:fldChar w:fldCharType="separate"/>
      </w:r>
      <w:r>
        <w:t>97</w:t>
      </w:r>
      <w:r>
        <w:rPr>
          <w:rFonts w:hint="eastAsia"/>
        </w:rPr>
        <w:fldChar w:fldCharType="end"/>
      </w:r>
      <w:r>
        <w:rPr>
          <w:rFonts w:hint="eastAsia"/>
        </w:rPr>
        <w:fldChar w:fldCharType="end"/>
      </w:r>
    </w:p>
    <w:p w14:paraId="33E68356">
      <w:pPr>
        <w:ind w:firstLine="640"/>
        <w:rPr>
          <w:rFonts w:cs="Times New Roman"/>
        </w:rPr>
        <w:sectPr>
          <w:footerReference r:id="rId17" w:type="default"/>
          <w:pgSz w:w="11906" w:h="16838"/>
          <w:pgMar w:top="1440" w:right="1797" w:bottom="1440" w:left="1797" w:header="851" w:footer="992" w:gutter="0"/>
          <w:pgNumType w:fmt="upperRoman" w:start="1"/>
          <w:cols w:space="425" w:num="1"/>
          <w:docGrid w:type="lines" w:linePitch="312" w:charSpace="0"/>
        </w:sectPr>
      </w:pPr>
      <w:r>
        <w:rPr>
          <w:rFonts w:eastAsia="黑体" w:cs="Times New Roman"/>
        </w:rPr>
        <w:fldChar w:fldCharType="end"/>
      </w:r>
    </w:p>
    <w:p w14:paraId="2D493716">
      <w:pPr>
        <w:pStyle w:val="2"/>
        <w:spacing w:before="312" w:after="312"/>
        <w:ind w:left="420" w:hanging="420"/>
        <w:rPr>
          <w:rFonts w:ascii="Times New Roman" w:hAnsi="Times New Roman" w:cs="Times New Roman"/>
          <w:color w:val="auto"/>
        </w:rPr>
      </w:pPr>
      <w:bookmarkStart w:id="0" w:name="_Toc220921252"/>
      <w:r>
        <w:rPr>
          <w:rFonts w:ascii="Times New Roman" w:hAnsi="Times New Roman" w:cs="Times New Roman"/>
          <w:color w:val="auto"/>
        </w:rPr>
        <w:t>第一章总则</w:t>
      </w:r>
      <w:bookmarkEnd w:id="0"/>
    </w:p>
    <w:p w14:paraId="6CD30D59">
      <w:pPr>
        <w:pStyle w:val="4"/>
      </w:pPr>
      <w:r>
        <w:t>规划定位</w:t>
      </w:r>
    </w:p>
    <w:p w14:paraId="77B3FEAC">
      <w:pPr>
        <w:ind w:firstLine="640"/>
        <w:rPr>
          <w:rFonts w:cs="Times New Roman"/>
        </w:rPr>
      </w:pPr>
      <w:r>
        <w:rPr>
          <w:rFonts w:cs="Times New Roman"/>
        </w:rPr>
        <w:t>《桓仁满族自治县</w:t>
      </w:r>
      <w:r>
        <w:rPr>
          <w:rFonts w:hint="eastAsia" w:cs="Times New Roman"/>
        </w:rPr>
        <w:t>黑沟</w:t>
      </w:r>
      <w:r>
        <w:rPr>
          <w:rFonts w:cs="Times New Roman"/>
        </w:rPr>
        <w:t>乡国土空间总体规划（2021-2035年）》（以下简称《规划》）是对《桓仁满族自治县国土空间总体规划（2021-2035年）》的细化落实，是对规划期内</w:t>
      </w:r>
      <w:r>
        <w:rPr>
          <w:rFonts w:hint="eastAsia" w:cs="Times New Roman"/>
        </w:rPr>
        <w:t>黑沟</w:t>
      </w:r>
      <w:r>
        <w:rPr>
          <w:rFonts w:cs="Times New Roman"/>
        </w:rPr>
        <w:t>乡国土空间保护、开发、利用、修复做出的综合部署和具体安排，是编制相关专项规划、详细规划、村庄规划和实施国土空间用途管制的基本依据。</w:t>
      </w:r>
    </w:p>
    <w:p w14:paraId="4F3E09B0">
      <w:pPr>
        <w:pStyle w:val="4"/>
      </w:pPr>
      <w:r>
        <w:t>指导思想</w:t>
      </w:r>
    </w:p>
    <w:p w14:paraId="1A0692DC">
      <w:pPr>
        <w:ind w:firstLine="640"/>
        <w:rPr>
          <w:rFonts w:cs="Times New Roman"/>
        </w:rPr>
      </w:pPr>
      <w:r>
        <w:rPr>
          <w:rFonts w:cs="Times New Roman"/>
        </w:rPr>
        <w:t>坚持以习近平新时代中国特色社会主义思想为指导，全面贯彻落实党的二十大及相关会议精神，深入贯彻习近平总书记关于东北振兴、辽宁振兴发展的重要讲话和指示批示精神，立足新发展阶段，完整、准确、全面贯彻新发展理念，服务和融入新发展格局，顺应新时代国土空间治理要求，牢牢把握高质量发展这个首要任务和构建新发展格局这个战略任务，融入辽宁省“一圈一带两区”区域发展格局，以绿色发展为主线，</w:t>
      </w:r>
      <w:r>
        <w:rPr>
          <w:rFonts w:hint="eastAsia" w:cs="Times New Roman"/>
        </w:rPr>
        <w:t>牢固树立习近平生态文明思想</w:t>
      </w:r>
      <w:r>
        <w:rPr>
          <w:rFonts w:cs="Times New Roman"/>
        </w:rPr>
        <w:t>，促进生态资源产业化发展，提高国土空间资源利用效率，彰显国土空间品质，全面提升国土空间治理体系和治理能力现代化水平，形成对省、市、县重大战略的强有力支撑，为实现</w:t>
      </w:r>
      <w:r>
        <w:rPr>
          <w:rFonts w:hint="eastAsia" w:cs="Times New Roman"/>
        </w:rPr>
        <w:t>黑沟</w:t>
      </w:r>
      <w:r>
        <w:rPr>
          <w:rFonts w:cs="Times New Roman"/>
        </w:rPr>
        <w:t>乡全面振兴、全方位振兴提供空间引领和保障。</w:t>
      </w:r>
    </w:p>
    <w:p w14:paraId="093CC74F">
      <w:pPr>
        <w:pStyle w:val="4"/>
      </w:pPr>
      <w:r>
        <w:t>规划依据</w:t>
      </w:r>
    </w:p>
    <w:p w14:paraId="7BB6DCD0">
      <w:pPr>
        <w:ind w:firstLine="640"/>
        <w:rPr>
          <w:rFonts w:cs="Times New Roman"/>
          <w:szCs w:val="32"/>
        </w:rPr>
      </w:pPr>
      <w:r>
        <w:rPr>
          <w:rFonts w:cs="Times New Roman"/>
          <w:szCs w:val="32"/>
        </w:rPr>
        <w:t>1.法律法规</w:t>
      </w:r>
    </w:p>
    <w:p w14:paraId="314223D4">
      <w:pPr>
        <w:ind w:firstLine="640"/>
        <w:rPr>
          <w:rFonts w:cs="Times New Roman"/>
        </w:rPr>
      </w:pPr>
      <w:r>
        <w:rPr>
          <w:rFonts w:cs="Times New Roman"/>
        </w:rPr>
        <w:t>（1）《中华人民共和国土地管理法》（2019年修正）；</w:t>
      </w:r>
    </w:p>
    <w:p w14:paraId="5165570E">
      <w:pPr>
        <w:ind w:firstLine="640"/>
        <w:rPr>
          <w:rFonts w:cs="Times New Roman"/>
        </w:rPr>
      </w:pPr>
      <w:r>
        <w:rPr>
          <w:rFonts w:cs="Times New Roman"/>
        </w:rPr>
        <w:t>（2）《中华人民共和国城乡规划法》（2019年修正）；</w:t>
      </w:r>
    </w:p>
    <w:p w14:paraId="37C98229">
      <w:pPr>
        <w:ind w:firstLine="640"/>
        <w:rPr>
          <w:rFonts w:cs="Times New Roman"/>
        </w:rPr>
      </w:pPr>
      <w:r>
        <w:rPr>
          <w:rFonts w:cs="Times New Roman"/>
        </w:rPr>
        <w:t>（3）《中华人民共和国乡村振兴促进法》（2021年）；</w:t>
      </w:r>
    </w:p>
    <w:p w14:paraId="48934313">
      <w:pPr>
        <w:ind w:firstLine="640"/>
        <w:rPr>
          <w:rFonts w:cs="Times New Roman"/>
        </w:rPr>
      </w:pPr>
      <w:r>
        <w:rPr>
          <w:rFonts w:cs="Times New Roman"/>
        </w:rPr>
        <w:t>（4）《基本农田保护条例》（2011年修订）。</w:t>
      </w:r>
    </w:p>
    <w:p w14:paraId="5481041F">
      <w:pPr>
        <w:ind w:firstLine="640"/>
        <w:rPr>
          <w:rFonts w:cs="Times New Roman"/>
          <w:szCs w:val="32"/>
        </w:rPr>
      </w:pPr>
      <w:r>
        <w:rPr>
          <w:rFonts w:cs="Times New Roman"/>
          <w:szCs w:val="32"/>
        </w:rPr>
        <w:t>2.政策文件</w:t>
      </w:r>
    </w:p>
    <w:p w14:paraId="7487F964">
      <w:pPr>
        <w:ind w:firstLine="640"/>
        <w:rPr>
          <w:rFonts w:cs="Times New Roman"/>
        </w:rPr>
      </w:pPr>
      <w:r>
        <w:rPr>
          <w:rFonts w:cs="Times New Roman"/>
        </w:rPr>
        <w:t>（1）《中共中央国务院关于建立国土空间规划体系并监督实施的若干意见》（中发〔2019〕18号）；</w:t>
      </w:r>
    </w:p>
    <w:p w14:paraId="1F777342">
      <w:pPr>
        <w:ind w:firstLine="640"/>
        <w:rPr>
          <w:rFonts w:cs="Times New Roman"/>
        </w:rPr>
      </w:pPr>
      <w:r>
        <w:rPr>
          <w:rFonts w:cs="Times New Roman"/>
        </w:rPr>
        <w:t>（2）《中共中央国务院关于实施乡村振兴战略的意见》（中发〔2018〕1号）；</w:t>
      </w:r>
    </w:p>
    <w:p w14:paraId="448D5D41">
      <w:pPr>
        <w:ind w:firstLine="640"/>
        <w:rPr>
          <w:rFonts w:cs="Times New Roman"/>
        </w:rPr>
      </w:pPr>
      <w:r>
        <w:rPr>
          <w:rFonts w:cs="Times New Roman"/>
        </w:rPr>
        <w:t>（3）《中共中央办公厅国务院办公厅印发</w:t>
      </w:r>
      <w:r>
        <w:rPr>
          <w:rFonts w:hint="eastAsia" w:cs="Times New Roman"/>
        </w:rPr>
        <w:t>〈</w:t>
      </w:r>
      <w:r>
        <w:rPr>
          <w:rFonts w:cs="Times New Roman"/>
        </w:rPr>
        <w:t>关于在国土空间规划中统筹划定落实三条控制线的指导意见</w:t>
      </w:r>
      <w:r>
        <w:rPr>
          <w:rFonts w:hint="eastAsia" w:cs="Times New Roman"/>
        </w:rPr>
        <w:t>〉</w:t>
      </w:r>
      <w:r>
        <w:rPr>
          <w:rFonts w:cs="Times New Roman"/>
        </w:rPr>
        <w:t>的通知》（厅字〔2019〕48号）；</w:t>
      </w:r>
    </w:p>
    <w:p w14:paraId="7E3F5BE1">
      <w:pPr>
        <w:ind w:firstLine="640"/>
        <w:rPr>
          <w:rFonts w:cs="Times New Roman"/>
        </w:rPr>
      </w:pPr>
      <w:r>
        <w:rPr>
          <w:rFonts w:cs="Times New Roman"/>
        </w:rPr>
        <w:t>（4）《自然资源部关于全面开展国土空间规划工作的通知》（自然资发〔2019〕87号）；</w:t>
      </w:r>
    </w:p>
    <w:p w14:paraId="5FB4BBB3">
      <w:pPr>
        <w:ind w:firstLine="640"/>
        <w:rPr>
          <w:rFonts w:cs="Times New Roman"/>
        </w:rPr>
      </w:pPr>
      <w:r>
        <w:rPr>
          <w:rFonts w:cs="Times New Roman"/>
        </w:rPr>
        <w:t>（5）《辽宁省委省政府关于建立全省国土空间规划体系并监督实施的意见》（辽委发〔2020〕12号）。</w:t>
      </w:r>
    </w:p>
    <w:p w14:paraId="3391B0B3">
      <w:pPr>
        <w:ind w:firstLine="640"/>
        <w:rPr>
          <w:rFonts w:cs="Times New Roman"/>
          <w:szCs w:val="32"/>
        </w:rPr>
      </w:pPr>
      <w:r>
        <w:rPr>
          <w:rFonts w:cs="Times New Roman"/>
          <w:szCs w:val="32"/>
        </w:rPr>
        <w:t>3.标准规范</w:t>
      </w:r>
    </w:p>
    <w:p w14:paraId="7734815D">
      <w:pPr>
        <w:ind w:firstLine="640"/>
        <w:rPr>
          <w:rFonts w:cs="Times New Roman"/>
        </w:rPr>
      </w:pPr>
      <w:r>
        <w:rPr>
          <w:rFonts w:cs="Times New Roman"/>
        </w:rPr>
        <w:t>（1）《国土空间调查、规划、用途管制用地用海分类指南（试行）》（2023年印发）；</w:t>
      </w:r>
    </w:p>
    <w:p w14:paraId="3453D1C9">
      <w:pPr>
        <w:ind w:firstLine="640"/>
        <w:rPr>
          <w:rFonts w:cs="Times New Roman"/>
        </w:rPr>
      </w:pPr>
      <w:r>
        <w:rPr>
          <w:rFonts w:cs="Times New Roman"/>
        </w:rPr>
        <w:t>（2）《辽宁省乡镇级国土空间总体规划编制导则》（试行）。</w:t>
      </w:r>
    </w:p>
    <w:p w14:paraId="0EA3CF62">
      <w:pPr>
        <w:ind w:firstLine="640"/>
        <w:rPr>
          <w:rFonts w:cs="Times New Roman"/>
          <w:szCs w:val="32"/>
        </w:rPr>
      </w:pPr>
      <w:r>
        <w:rPr>
          <w:rFonts w:cs="Times New Roman"/>
          <w:szCs w:val="32"/>
        </w:rPr>
        <w:t>4.相关规划</w:t>
      </w:r>
    </w:p>
    <w:p w14:paraId="3D57A164">
      <w:pPr>
        <w:ind w:firstLine="640"/>
        <w:rPr>
          <w:rFonts w:cs="Times New Roman"/>
        </w:rPr>
      </w:pPr>
      <w:r>
        <w:rPr>
          <w:rFonts w:cs="Times New Roman"/>
        </w:rPr>
        <w:t>（1）《</w:t>
      </w:r>
      <w:r>
        <w:rPr>
          <w:rFonts w:hint="eastAsia" w:cs="Times New Roman"/>
        </w:rPr>
        <w:t>本溪</w:t>
      </w:r>
      <w:r>
        <w:rPr>
          <w:rFonts w:cs="Times New Roman"/>
        </w:rPr>
        <w:t>市国民经济和社会发展第十四个五年规划和二</w:t>
      </w:r>
      <w:r>
        <w:rPr>
          <w:rFonts w:eastAsia="微软雅黑" w:cs="Times New Roman"/>
        </w:rPr>
        <w:t>〇</w:t>
      </w:r>
      <w:r>
        <w:rPr>
          <w:rFonts w:cs="Times New Roman"/>
        </w:rPr>
        <w:t>三五年远景目标纲要》；</w:t>
      </w:r>
    </w:p>
    <w:p w14:paraId="65D75B68">
      <w:pPr>
        <w:ind w:firstLine="640"/>
        <w:rPr>
          <w:rFonts w:cs="Times New Roman"/>
        </w:rPr>
      </w:pPr>
      <w:r>
        <w:rPr>
          <w:rFonts w:cs="Times New Roman"/>
        </w:rPr>
        <w:t>（2）《</w:t>
      </w:r>
      <w:r>
        <w:rPr>
          <w:rFonts w:hint="eastAsia" w:cs="Times New Roman"/>
        </w:rPr>
        <w:t>本溪</w:t>
      </w:r>
      <w:r>
        <w:rPr>
          <w:rFonts w:cs="Times New Roman"/>
        </w:rPr>
        <w:t>市国土空间总体规划（2021-2035年）》；</w:t>
      </w:r>
    </w:p>
    <w:p w14:paraId="11DA9C12">
      <w:pPr>
        <w:ind w:firstLine="640"/>
        <w:rPr>
          <w:rFonts w:cs="Times New Roman"/>
        </w:rPr>
      </w:pPr>
      <w:r>
        <w:rPr>
          <w:rFonts w:cs="Times New Roman"/>
        </w:rPr>
        <w:t>（3）《桓仁满族自治县国民经济和社会发展第十四个五年规划和二</w:t>
      </w:r>
      <w:r>
        <w:rPr>
          <w:rFonts w:eastAsia="微软雅黑" w:cs="Times New Roman"/>
        </w:rPr>
        <w:t>〇</w:t>
      </w:r>
      <w:r>
        <w:rPr>
          <w:rFonts w:cs="Times New Roman"/>
        </w:rPr>
        <w:t>三五年远景目标纲要》；</w:t>
      </w:r>
    </w:p>
    <w:p w14:paraId="0AA2189D">
      <w:pPr>
        <w:ind w:firstLine="640"/>
        <w:rPr>
          <w:rFonts w:cs="Times New Roman"/>
        </w:rPr>
      </w:pPr>
      <w:r>
        <w:rPr>
          <w:rFonts w:cs="Times New Roman"/>
        </w:rPr>
        <w:t>（4）《桓仁满族自治县国土空间总体规划（2021-2035年）》。</w:t>
      </w:r>
    </w:p>
    <w:p w14:paraId="0796E9C0">
      <w:pPr>
        <w:ind w:firstLine="640"/>
        <w:rPr>
          <w:rFonts w:cs="Times New Roman"/>
        </w:rPr>
      </w:pPr>
      <w:r>
        <w:rPr>
          <w:rFonts w:cs="Times New Roman"/>
          <w:szCs w:val="32"/>
        </w:rPr>
        <w:t>5.其他相关法律法规、政策文件、标准规范和规划成果</w:t>
      </w:r>
      <w:r>
        <w:rPr>
          <w:rFonts w:cs="Times New Roman"/>
        </w:rPr>
        <w:t>。</w:t>
      </w:r>
    </w:p>
    <w:p w14:paraId="43920C65">
      <w:pPr>
        <w:pStyle w:val="4"/>
      </w:pPr>
      <w:r>
        <w:t>规划原则</w:t>
      </w:r>
    </w:p>
    <w:p w14:paraId="54F24785">
      <w:pPr>
        <w:ind w:firstLine="640"/>
        <w:rPr>
          <w:rFonts w:cs="Times New Roman"/>
        </w:rPr>
      </w:pPr>
      <w:r>
        <w:rPr>
          <w:rFonts w:eastAsia="楷体_GB2312" w:cs="Times New Roman"/>
        </w:rPr>
        <w:t>底线约束，保护优先。</w:t>
      </w:r>
      <w:r>
        <w:rPr>
          <w:rFonts w:cs="Times New Roman"/>
        </w:rPr>
        <w:t>树立底线思维，严守安全底线，保护自然资源，引导全域国土空间节约集约、绿色低碳发展。严控建设用地增量、盘活存量，探索内涵式、集约型的高质量发展路径，提高国土空间开发利用效率和质量。加快转变城乡建设方式，控制和减少碳排放，促进人与自然和谐共生。</w:t>
      </w:r>
    </w:p>
    <w:p w14:paraId="6DAEA86F">
      <w:pPr>
        <w:ind w:firstLine="640"/>
        <w:rPr>
          <w:rFonts w:cs="Times New Roman"/>
        </w:rPr>
      </w:pPr>
      <w:r>
        <w:rPr>
          <w:rFonts w:eastAsia="楷体_GB2312" w:cs="Times New Roman"/>
        </w:rPr>
        <w:t>承接传导，细化落实。</w:t>
      </w:r>
      <w:r>
        <w:rPr>
          <w:rFonts w:cs="Times New Roman"/>
        </w:rPr>
        <w:t>强化对上位规划的承接落实，严格落实约束性指标、规划控制线、区域性设施等规划强制性内容，深化细化管控要求，明确对专项规划、详细规划的传导内容，保障规划自上而下传导落位，构建上下联动的双向传导衔接机制，实现对全域自然资源要素的覆盖与管控。</w:t>
      </w:r>
    </w:p>
    <w:p w14:paraId="60809279">
      <w:pPr>
        <w:ind w:firstLine="640"/>
        <w:rPr>
          <w:rFonts w:cs="Times New Roman"/>
        </w:rPr>
      </w:pPr>
      <w:r>
        <w:rPr>
          <w:rFonts w:eastAsia="楷体_GB2312" w:cs="Times New Roman"/>
        </w:rPr>
        <w:t>人民至上，品质提升。</w:t>
      </w:r>
      <w:r>
        <w:rPr>
          <w:rFonts w:cs="Times New Roman"/>
        </w:rPr>
        <w:t>坚持以人民为中心的发展思想，以人民对美好生活的向往为目标，优化配置空间资源，完善基础设施和公共服务设施，提升人居环境品质，实现高质量发展、高品质生活和高水平治理，不断提高人民群众的获得感、幸福感、安全感。</w:t>
      </w:r>
      <w:r>
        <w:rPr>
          <w:rFonts w:cs="Times New Roman"/>
        </w:rPr>
        <w:cr/>
      </w:r>
      <w:r>
        <w:rPr>
          <w:rFonts w:eastAsia="楷体_GB2312" w:cs="Times New Roman"/>
        </w:rPr>
        <w:t>因地制宜，彰显特色。</w:t>
      </w:r>
      <w:r>
        <w:rPr>
          <w:rFonts w:cs="Times New Roman"/>
        </w:rPr>
        <w:t>深入挖掘</w:t>
      </w:r>
      <w:r>
        <w:rPr>
          <w:rFonts w:hint="eastAsia" w:cs="Times New Roman"/>
        </w:rPr>
        <w:t>黑沟</w:t>
      </w:r>
      <w:r>
        <w:rPr>
          <w:rFonts w:cs="Times New Roman"/>
        </w:rPr>
        <w:t>乡资源禀赋、历史文化、人文景观、乡村产业等特征，突出地域特色，加快资源优势向经济优势转变，因地制宜体现美丽田园、民族融合、乡土风俗、冰雪风光、温泉养生等特色，凸显</w:t>
      </w:r>
      <w:r>
        <w:rPr>
          <w:rFonts w:hint="eastAsia" w:cs="Times New Roman"/>
        </w:rPr>
        <w:t>黑沟</w:t>
      </w:r>
      <w:r>
        <w:rPr>
          <w:rFonts w:cs="Times New Roman"/>
        </w:rPr>
        <w:t>韵味。</w:t>
      </w:r>
    </w:p>
    <w:p w14:paraId="3F801861">
      <w:pPr>
        <w:ind w:firstLine="640"/>
        <w:rPr>
          <w:rFonts w:cs="Times New Roman"/>
        </w:rPr>
      </w:pPr>
      <w:r>
        <w:rPr>
          <w:rFonts w:eastAsia="楷体_GB2312" w:cs="Times New Roman"/>
        </w:rPr>
        <w:t>公众参与，科学规划。</w:t>
      </w:r>
      <w:r>
        <w:rPr>
          <w:rFonts w:cs="Times New Roman"/>
        </w:rPr>
        <w:t>坚持“开门编规划”，组织相关部门、专家、居民参与到规划编制的全过程，通过公众参与凝聚社会智慧。充分应用大数据分析等数字化手段的辅助支撑作用，提升规划编制和管理水平。</w:t>
      </w:r>
    </w:p>
    <w:p w14:paraId="303414B6">
      <w:pPr>
        <w:pStyle w:val="4"/>
      </w:pPr>
      <w:r>
        <w:t>规划范围</w:t>
      </w:r>
    </w:p>
    <w:p w14:paraId="590B4AEE">
      <w:pPr>
        <w:ind w:firstLine="640"/>
        <w:rPr>
          <w:rFonts w:cs="Times New Roman"/>
        </w:rPr>
      </w:pPr>
      <w:r>
        <w:rPr>
          <w:rFonts w:cs="Times New Roman"/>
        </w:rPr>
        <w:t>本次规划范围为</w:t>
      </w:r>
      <w:r>
        <w:rPr>
          <w:rFonts w:hint="eastAsia" w:cs="Times New Roman"/>
        </w:rPr>
        <w:t>黑沟</w:t>
      </w:r>
      <w:r>
        <w:rPr>
          <w:rFonts w:cs="Times New Roman"/>
        </w:rPr>
        <w:t>乡行政辖区内全部国土空间，包括全域和</w:t>
      </w:r>
      <w:r>
        <w:rPr>
          <w:rFonts w:cs="Times New Roman"/>
          <w:szCs w:val="32"/>
        </w:rPr>
        <w:t>乡中心区</w:t>
      </w:r>
      <w:r>
        <w:rPr>
          <w:rFonts w:cs="Times New Roman"/>
        </w:rPr>
        <w:t>两个层次。</w:t>
      </w:r>
    </w:p>
    <w:p w14:paraId="21466ADF">
      <w:pPr>
        <w:ind w:firstLine="640"/>
        <w:rPr>
          <w:rFonts w:cs="Times New Roman"/>
        </w:rPr>
      </w:pPr>
      <w:r>
        <w:rPr>
          <w:rFonts w:cs="Times New Roman"/>
        </w:rPr>
        <w:t>全域范围：包含</w:t>
      </w:r>
      <w:r>
        <w:rPr>
          <w:rFonts w:hint="eastAsia" w:cs="Times New Roman"/>
        </w:rPr>
        <w:t>大川</w:t>
      </w:r>
      <w:r>
        <w:rPr>
          <w:rFonts w:cs="Times New Roman"/>
        </w:rPr>
        <w:t>村、</w:t>
      </w:r>
      <w:r>
        <w:rPr>
          <w:rFonts w:hint="eastAsia" w:cs="Times New Roman"/>
        </w:rPr>
        <w:t>石虎子</w:t>
      </w:r>
      <w:r>
        <w:rPr>
          <w:rFonts w:cs="Times New Roman"/>
        </w:rPr>
        <w:t>村、</w:t>
      </w:r>
      <w:r>
        <w:rPr>
          <w:rFonts w:hint="eastAsia" w:cs="Times New Roman"/>
        </w:rPr>
        <w:t>黑沟</w:t>
      </w:r>
      <w:r>
        <w:rPr>
          <w:rFonts w:cs="Times New Roman"/>
        </w:rPr>
        <w:t>村、</w:t>
      </w:r>
      <w:r>
        <w:rPr>
          <w:rFonts w:hint="eastAsia" w:cs="Times New Roman"/>
        </w:rPr>
        <w:t>六道沟</w:t>
      </w:r>
      <w:r>
        <w:rPr>
          <w:rFonts w:cs="Times New Roman"/>
        </w:rPr>
        <w:t>村、</w:t>
      </w:r>
      <w:r>
        <w:rPr>
          <w:rFonts w:hint="eastAsia" w:cs="Times New Roman"/>
        </w:rPr>
        <w:t>大东沟社区</w:t>
      </w:r>
      <w:r>
        <w:rPr>
          <w:rFonts w:cs="Times New Roman"/>
        </w:rPr>
        <w:t>，总面积</w:t>
      </w:r>
      <w:bookmarkStart w:id="1" w:name="OLE_LINK13"/>
      <w:r>
        <w:rPr>
          <w:rFonts w:hint="eastAsia" w:cs="Times New Roman"/>
        </w:rPr>
        <w:t>213.3</w:t>
      </w:r>
      <w:bookmarkEnd w:id="1"/>
      <w:r>
        <w:rPr>
          <w:rFonts w:hint="eastAsia" w:cs="Times New Roman"/>
        </w:rPr>
        <w:t>1</w:t>
      </w:r>
      <w:r>
        <w:rPr>
          <w:rFonts w:cs="Times New Roman"/>
        </w:rPr>
        <w:t>平方公里，总人口</w:t>
      </w:r>
      <w:r>
        <w:rPr>
          <w:rFonts w:hint="eastAsia" w:cs="Times New Roman"/>
        </w:rPr>
        <w:t>12176</w:t>
      </w:r>
      <w:r>
        <w:rPr>
          <w:rFonts w:cs="Times New Roman"/>
        </w:rPr>
        <w:t>人。</w:t>
      </w:r>
    </w:p>
    <w:p w14:paraId="257EC1C2">
      <w:pPr>
        <w:ind w:firstLine="640"/>
        <w:rPr>
          <w:rFonts w:cs="Times New Roman"/>
        </w:rPr>
      </w:pPr>
      <w:r>
        <w:rPr>
          <w:rFonts w:cs="Times New Roman"/>
        </w:rPr>
        <w:t>乡中心区范围：包括</w:t>
      </w:r>
      <w:r>
        <w:rPr>
          <w:rFonts w:hint="eastAsia" w:cs="Times New Roman"/>
        </w:rPr>
        <w:t>黑沟</w:t>
      </w:r>
      <w:r>
        <w:rPr>
          <w:rFonts w:cs="Times New Roman"/>
        </w:rPr>
        <w:t>村，总面积约</w:t>
      </w:r>
      <w:r>
        <w:rPr>
          <w:rFonts w:hint="eastAsia" w:cs="Times New Roman"/>
        </w:rPr>
        <w:t>0.53</w:t>
      </w:r>
      <w:r>
        <w:rPr>
          <w:rFonts w:cs="Times New Roman"/>
        </w:rPr>
        <w:t>平方公里。</w:t>
      </w:r>
    </w:p>
    <w:p w14:paraId="0ADBF3AA">
      <w:pPr>
        <w:pStyle w:val="4"/>
      </w:pPr>
      <w:r>
        <w:t>规划期限</w:t>
      </w:r>
    </w:p>
    <w:p w14:paraId="331F7F79">
      <w:pPr>
        <w:ind w:firstLine="640"/>
        <w:rPr>
          <w:rFonts w:cs="Times New Roman"/>
        </w:rPr>
      </w:pPr>
      <w:r>
        <w:rPr>
          <w:rFonts w:cs="Times New Roman"/>
        </w:rPr>
        <w:t>规划期限为2021-2035年。规划基期年为2020年，近期为2025年，规划目标年为2035年。</w:t>
      </w:r>
    </w:p>
    <w:p w14:paraId="5A6A2012">
      <w:pPr>
        <w:pStyle w:val="4"/>
      </w:pPr>
      <w:r>
        <w:t>强制性内容</w:t>
      </w:r>
    </w:p>
    <w:p w14:paraId="345D2795">
      <w:pPr>
        <w:ind w:firstLine="640"/>
        <w:rPr>
          <w:rFonts w:cs="Times New Roman"/>
        </w:rPr>
      </w:pPr>
      <w:r>
        <w:rPr>
          <w:rFonts w:cs="Times New Roman"/>
        </w:rPr>
        <w:t>文本中加下划线的内容为规划的强制性内容，必须严格执行。</w:t>
      </w:r>
    </w:p>
    <w:p w14:paraId="74C45F2F">
      <w:pPr>
        <w:pStyle w:val="4"/>
      </w:pPr>
      <w:r>
        <w:rPr>
          <w:rFonts w:hint="eastAsia"/>
        </w:rPr>
        <w:t>规划层次</w:t>
      </w:r>
    </w:p>
    <w:p w14:paraId="2C848908">
      <w:pPr>
        <w:ind w:firstLine="640"/>
      </w:pPr>
      <w:r>
        <w:rPr>
          <w:rFonts w:hint="eastAsia"/>
        </w:rPr>
        <w:t>本次国土空间总体规划包括黑沟乡全域和乡中心区两个层次。</w:t>
      </w:r>
    </w:p>
    <w:p w14:paraId="7389D497">
      <w:pPr>
        <w:ind w:firstLine="640"/>
        <w:rPr>
          <w:rFonts w:cs="Times New Roman"/>
        </w:rPr>
      </w:pPr>
    </w:p>
    <w:p w14:paraId="09AD9926">
      <w:pPr>
        <w:pStyle w:val="2"/>
        <w:spacing w:before="312" w:after="312"/>
        <w:rPr>
          <w:rFonts w:hint="eastAsia"/>
          <w:color w:val="auto"/>
        </w:rPr>
      </w:pPr>
      <w:bookmarkStart w:id="2" w:name="_Toc220921253"/>
      <w:bookmarkStart w:id="3" w:name="_Toc13843"/>
      <w:bookmarkStart w:id="4" w:name="_Toc27291"/>
      <w:r>
        <w:rPr>
          <w:rFonts w:hint="eastAsia"/>
          <w:color w:val="auto"/>
        </w:rPr>
        <w:t>第二章现状分析与问题识别</w:t>
      </w:r>
      <w:bookmarkEnd w:id="2"/>
      <w:bookmarkEnd w:id="3"/>
      <w:bookmarkEnd w:id="4"/>
    </w:p>
    <w:p w14:paraId="63D8F6AF">
      <w:pPr>
        <w:pStyle w:val="3"/>
        <w:numPr>
          <w:ilvl w:val="0"/>
          <w:numId w:val="3"/>
        </w:numPr>
        <w:ind w:firstLine="0"/>
        <w:rPr>
          <w:rFonts w:ascii="Times New Roman" w:hAnsi="Times New Roman" w:cs="Times New Roman"/>
          <w:color w:val="auto"/>
        </w:rPr>
      </w:pPr>
      <w:bookmarkStart w:id="5" w:name="_Toc11424"/>
      <w:bookmarkStart w:id="6" w:name="_Toc8003"/>
      <w:bookmarkStart w:id="7" w:name="_Toc220921254"/>
      <w:r>
        <w:rPr>
          <w:rFonts w:hint="eastAsia" w:ascii="Times New Roman" w:hAnsi="Times New Roman" w:cs="Times New Roman"/>
          <w:color w:val="auto"/>
        </w:rPr>
        <w:t>区域概况</w:t>
      </w:r>
      <w:bookmarkEnd w:id="5"/>
      <w:bookmarkEnd w:id="6"/>
      <w:bookmarkEnd w:id="7"/>
    </w:p>
    <w:p w14:paraId="157C740A">
      <w:pPr>
        <w:pStyle w:val="4"/>
        <w:numPr>
          <w:ilvl w:val="0"/>
          <w:numId w:val="4"/>
        </w:numPr>
        <w:ind w:left="198" w:firstLine="641"/>
      </w:pPr>
      <w:r>
        <w:t>地理条件与发展基础</w:t>
      </w:r>
    </w:p>
    <w:p w14:paraId="627C5CA7">
      <w:pPr>
        <w:ind w:firstLine="640"/>
      </w:pPr>
      <w:r>
        <w:rPr>
          <w:rFonts w:hint="eastAsia"/>
        </w:rPr>
        <w:t>区位优势明显，对外交通便捷。黑沟乡交通网络发达，201国道纵贯南北，途经六道沟村和黑沟村，乡内路段15公里，连接县城与北部乡镇。省道S305柞本线横贯东西，穿越大川村、石虎子村、黑沟村，全长32公里，沟通黑沟乡与东、西周边地区及桓永高速公路。乡级公路三柞线连通黑沟乡与县城西部。此外，鹤大高速公路与东边道铁路亦南北穿越黑沟村与六道沟村。</w:t>
      </w:r>
    </w:p>
    <w:p w14:paraId="57FB5546">
      <w:pPr>
        <w:ind w:firstLine="640"/>
      </w:pPr>
      <w:r>
        <w:rPr>
          <w:rFonts w:hint="eastAsia"/>
        </w:rPr>
        <w:t>自然人文资源富集，休闲旅游基础良好。黑沟乡自然人文资源丰富，旅游基础优越，风光秀丽，旅游资源充沛。其地理位置与桓龙水库和五女山城相邻，利于发展旅游接待。乡西部大川村的大川渔场及汤池子地区拥有常年不冻的温泉，水温30—37℃，富含多种有益健康的矿物质，日产温泉水3000吨。温泉水被用于特种水产养殖、富硒水稻种植及矿泉水生产，具有巨大开发潜力。此外，大川村的自然条件也适合修建滑雪场和狩猎场。大东沟参茸场森林覆盖率高，被授予“旅游专业村”，适合养老养生及生态旅游。</w:t>
      </w:r>
    </w:p>
    <w:p w14:paraId="600339C4">
      <w:pPr>
        <w:ind w:firstLine="640"/>
      </w:pPr>
      <w:r>
        <w:rPr>
          <w:rFonts w:hint="eastAsia"/>
        </w:rPr>
        <w:t>黑沟乡生态与矿产资源丰富，动植物种类繁多，包括野鸡、野猪、狍子等野生动物，以及核桃、人参、细辛、五味子等野生植物，还拥有松、柞、腊、椴、榆、桦等多种树种。矿产资源方面，黑沟乡蕴藏金、镁、滑石、石墨（小磷片）、页岩、白土等多种矿藏，其中大川村金矿含金量高、品位优良，正处于进一步勘探阶段；石虎子村镁矿初步探明储量达6000万吨，滑石矿储量150万吨，且滑石矿已开始初步开采。</w:t>
      </w:r>
    </w:p>
    <w:p w14:paraId="76CBFE26">
      <w:pPr>
        <w:ind w:firstLine="640"/>
      </w:pPr>
      <w:r>
        <w:rPr>
          <w:rFonts w:hint="eastAsia"/>
        </w:rPr>
        <w:t>农业资源发达，特色产业发展显著。六道沟村、黑沟村、石虎子村、大川村及大东沟社区均依托各自特色资源发展多元产业。六道沟村通过桓仁龙成中药材种植专业合作社，发展中药材、水稻、林下参等特色农产品种植加工，并创立了“雄桓仁厚”等品牌，形成了种植、加工、销售一体化经营模式。黑沟村则以林下参种植加工为主导产业，拥有完整产业链，并设有木材加工园区。石虎子村重点发展蓝莓产业小区及环保蛋鸡养殖场，蓝莓产业已初具规模，蛋鸡产业则致力于品牌打造及产业联动发展。大川村则利用温泉资源，在稻米种植、民宿开发等方面加大招商引资，推动农业快速发展。大东沟社区则主要依托林下参种植及冰酒生产，当前着重于基础设施建设及环境改善。各村（社区）通过特色产业发展，促进了乡村区域产业结构的合理调整及农村经济的多元化增长。</w:t>
      </w:r>
    </w:p>
    <w:p w14:paraId="0AE1F1DE">
      <w:pPr>
        <w:pStyle w:val="4"/>
      </w:pPr>
      <w:r>
        <w:t>国土底数与本底特征</w:t>
      </w:r>
    </w:p>
    <w:p w14:paraId="19088115">
      <w:pPr>
        <w:ind w:firstLine="640"/>
      </w:pPr>
      <w:r>
        <w:rPr>
          <w:rFonts w:hint="eastAsia"/>
        </w:rPr>
        <w:t>全域土地面积为21330.9公顷，其中农用地18981.38公顷，建设用地465.07公顷，未利用地1884.45公顷，农用地、建设用地、未利用地比例分别为88.99%、2.18%、8.83%。</w:t>
      </w:r>
      <w:r>
        <w:t>耕地与永久基本农田保护基础扎实，筑牢粮食安全</w:t>
      </w:r>
      <w:r>
        <w:rPr>
          <w:rFonts w:hint="eastAsia"/>
        </w:rPr>
        <w:t>“</w:t>
      </w:r>
      <w:r>
        <w:t>压舱石</w:t>
      </w:r>
      <w:r>
        <w:rPr>
          <w:rFonts w:hint="eastAsia"/>
        </w:rPr>
        <w:t>”</w:t>
      </w:r>
      <w:r>
        <w:t>。</w:t>
      </w:r>
      <w:r>
        <w:rPr>
          <w:rFonts w:hint="eastAsia"/>
        </w:rPr>
        <w:t>全域耕地面积</w:t>
      </w:r>
      <w:bookmarkStart w:id="8" w:name="OLE_LINK14"/>
      <w:r>
        <w:rPr>
          <w:rFonts w:hint="eastAsia"/>
        </w:rPr>
        <w:t>1740.06</w:t>
      </w:r>
      <w:bookmarkEnd w:id="8"/>
      <w:r>
        <w:rPr>
          <w:rFonts w:hint="eastAsia"/>
        </w:rPr>
        <w:t>公顷，占全域国土总面积的8.16%；严格落实永久基本农田保护任务，永久基本农田面积为1640.59公顷，占耕地总面积的94.28%；其他农用地面积17241.32公顷，占全域国土面积的80.83%。</w:t>
      </w:r>
    </w:p>
    <w:p w14:paraId="764CB547">
      <w:pPr>
        <w:ind w:firstLine="640"/>
      </w:pPr>
      <w:r>
        <w:rPr>
          <w:rFonts w:hint="eastAsia"/>
        </w:rPr>
        <w:t>生态功能完备，温泉资源卓越。全乡共有26条河流，其中哈达河作为最大河流，源于大川村十四组，汇聚多条支流，全长24公里，为浑江重要支流，且沿河建有16座拦河坝。大川温泉作为桓仁地区唯一开发价值的天然温泉，大川温泉具有独特的矿物质含量和出水量。作为辽宁省内优质的矿泉水源地，大川温泉的保护对于维持生态平衡和水资源可持续利用至关重要。</w:t>
      </w:r>
    </w:p>
    <w:p w14:paraId="77D35CE6">
      <w:pPr>
        <w:ind w:firstLine="640"/>
      </w:pPr>
      <w:r>
        <w:rPr>
          <w:rFonts w:hint="eastAsia"/>
        </w:rPr>
        <w:t>建设用地以城乡建设用地为主，初步呈现出带状多中心的城镇空间总体框架。全镇建设用地总面积465.07公顷，以城乡建设用地为主，占建设用地总面积的71.30%；区域基础设施及其他建设用地占建设用地总面积的28.70%。城乡建设用地以居住用地为主，其他建设用地以采矿用地为主。村庄建设用地散点布局，城镇建设用地主要集中于乡中心区及各个村庄中心居民组等主要发展区域。</w:t>
      </w:r>
    </w:p>
    <w:p w14:paraId="029FEA5B">
      <w:pPr>
        <w:pStyle w:val="3"/>
        <w:numPr>
          <w:ilvl w:val="0"/>
          <w:numId w:val="3"/>
        </w:numPr>
        <w:ind w:left="0" w:firstLine="0"/>
        <w:rPr>
          <w:rFonts w:ascii="Times New Roman" w:hAnsi="Times New Roman" w:cs="Times New Roman"/>
          <w:color w:val="auto"/>
        </w:rPr>
      </w:pPr>
      <w:bookmarkStart w:id="9" w:name="_Toc28378"/>
      <w:bookmarkStart w:id="10" w:name="_Toc5763"/>
      <w:bookmarkStart w:id="11" w:name="_Toc220921255"/>
      <w:r>
        <w:rPr>
          <w:rFonts w:hint="eastAsia" w:ascii="Times New Roman" w:hAnsi="Times New Roman" w:cs="Times New Roman"/>
          <w:color w:val="auto"/>
        </w:rPr>
        <w:t>问题和风险挑战</w:t>
      </w:r>
      <w:bookmarkEnd w:id="9"/>
      <w:bookmarkEnd w:id="10"/>
      <w:bookmarkEnd w:id="11"/>
    </w:p>
    <w:p w14:paraId="4BEE4FD8">
      <w:pPr>
        <w:pStyle w:val="4"/>
        <w:numPr>
          <w:ilvl w:val="0"/>
          <w:numId w:val="5"/>
        </w:numPr>
        <w:ind w:left="198" w:firstLine="641"/>
      </w:pPr>
      <w:bookmarkStart w:id="12" w:name="_Hlk129616623"/>
      <w:r>
        <w:t>国土空间开发利用与保护问题</w:t>
      </w:r>
    </w:p>
    <w:p w14:paraId="1079E073">
      <w:pPr>
        <w:ind w:firstLine="640"/>
      </w:pPr>
      <w:r>
        <w:rPr>
          <w:rFonts w:hint="eastAsia"/>
        </w:rPr>
        <w:t>自然生态着重强化保护。桓仁县黑沟乡，作为国家重点生态功能区之一，承担着重要的水源涵养和绿色屏障职责，其工业、农业现代化及旅游开发活动受到严格约束，需在开发与保护间寻找平衡点。</w:t>
      </w:r>
    </w:p>
    <w:p w14:paraId="2EA45121">
      <w:pPr>
        <w:ind w:firstLine="640"/>
      </w:pPr>
      <w:r>
        <w:rPr>
          <w:rFonts w:hint="eastAsia"/>
        </w:rPr>
        <w:t>城镇发展面临动力瓶颈。受宏观经济环境影响，黑沟乡区域经济发展总量受限，动力不足。矿产开发、加工等既定产业发展未达预期，城镇建设规模相对较小。</w:t>
      </w:r>
    </w:p>
    <w:p w14:paraId="70C91F0D">
      <w:pPr>
        <w:ind w:firstLine="640"/>
      </w:pPr>
      <w:r>
        <w:rPr>
          <w:rFonts w:hint="eastAsia"/>
        </w:rPr>
        <w:t>产业结构偏重亟需转型。黑沟乡工业发展质量不高，产业结构单一，传统资源型产业占主导，新兴产业比重低。亟需探索产业发展新路径，提升一般性、资源性和初加工产品附加值，形成主导产业。</w:t>
      </w:r>
    </w:p>
    <w:p w14:paraId="6EB91B2C">
      <w:pPr>
        <w:ind w:firstLine="640"/>
      </w:pPr>
      <w:r>
        <w:rPr>
          <w:rFonts w:hint="eastAsia"/>
        </w:rPr>
        <w:t>设施保障能力有待加强。黑沟乡公共服务设施配置不均，部分村庄设施覆盖不足，服务水平较低。镇中心区配套建设需加强，建成区需向精细化、专业化方向发展，特别是要加大对养老院等公办设施的投入，确保兜底服务。</w:t>
      </w:r>
    </w:p>
    <w:p w14:paraId="4E546517">
      <w:pPr>
        <w:pStyle w:val="4"/>
      </w:pPr>
      <w:r>
        <w:t>国土空间开发保护</w:t>
      </w:r>
      <w:r>
        <w:rPr>
          <w:rFonts w:hint="eastAsia"/>
        </w:rPr>
        <w:t>面临</w:t>
      </w:r>
      <w:r>
        <w:t>风险</w:t>
      </w:r>
    </w:p>
    <w:p w14:paraId="16B6F1CF">
      <w:pPr>
        <w:ind w:firstLine="640"/>
      </w:pPr>
      <w:r>
        <w:rPr>
          <w:rFonts w:hint="eastAsia"/>
        </w:rPr>
        <w:t>人口负增长加剧。黑沟乡的人口发展已进入负增长期，低出生率和人口外流现象日益严重，导致人口总量持续下降。这种趋势不仅削弱了城镇的活力和竞争力，还加剧了老龄化问题的严峻性，给社会保障体系和公共服务带来了巨大压力。</w:t>
      </w:r>
    </w:p>
    <w:p w14:paraId="03674C7F">
      <w:pPr>
        <w:ind w:firstLine="640"/>
      </w:pPr>
      <w:r>
        <w:rPr>
          <w:rFonts w:hint="eastAsia"/>
        </w:rPr>
        <w:t>老龄化问题突出。随着人口老龄化的加剧，黑沟乡各村庄的老龄化趋势已超过我国平均标准。老年人口比例的上升，不仅增加了养老和医疗服务的负担，还影响了劳动力市场的供需平衡，对当地经济的发展构成了潜在威胁。</w:t>
      </w:r>
    </w:p>
    <w:p w14:paraId="2CEE63C1">
      <w:pPr>
        <w:ind w:firstLine="640"/>
      </w:pPr>
      <w:r>
        <w:rPr>
          <w:rFonts w:hint="eastAsia"/>
        </w:rPr>
        <w:t>农用地保护严峻。黑沟乡以山地、丘陵地貌为主，耕地资源相对匮乏且分布零散，集中连片程度较低。加之农田水利设施的不完善和部分设施的陈旧失修，农用地保护任务落实形势十分严峻。同时，耕地与城镇建设适宜区相重叠，使得未来在开发与保护之间面临严峻的矛盾冲突风险。</w:t>
      </w:r>
    </w:p>
    <w:p w14:paraId="50759EC1">
      <w:pPr>
        <w:ind w:firstLine="640"/>
      </w:pPr>
      <w:r>
        <w:rPr>
          <w:rFonts w:hint="eastAsia"/>
        </w:rPr>
        <w:t>耕地零散难集中。黑沟乡耕地零散分布的特点，使得农业生产难以实现规模化、集约化经营。这不仅降低了农业生产效率，还增加了农业生产成本，影响了农民的收入水平和生活质量。</w:t>
      </w:r>
    </w:p>
    <w:p w14:paraId="4B58426E">
      <w:pPr>
        <w:ind w:firstLine="640"/>
      </w:pPr>
      <w:r>
        <w:rPr>
          <w:rFonts w:hint="eastAsia"/>
        </w:rPr>
        <w:t>矿山地质风险高。黑沟乡境内存在矿产重点勘查区和重点开采区，矿山井工开采活动对地质结构造成了严重破坏。地面塌陷、土壤污染等风险频发，尾矿库、堆砌物等压占土地，导致周边土地损毁，生态环境遭到严重破坏。这不仅影响了当地居民的居住环境，还阻碍了经济的可持续发展。</w:t>
      </w:r>
    </w:p>
    <w:p w14:paraId="13F95A85">
      <w:pPr>
        <w:ind w:firstLine="640"/>
      </w:pPr>
      <w:r>
        <w:rPr>
          <w:rFonts w:hint="eastAsia"/>
        </w:rPr>
        <w:t>生态环境遭破坏。矿山开采等人类活动对黑沟乡的生态环境造成了严重破坏。植被破坏、水土流失等问题日益严重，自然生态系统的稳定性和碳汇能力不断下降。在全球气候变化背景下，黑沟乡应对极端气候事件和地质灾害的风险进一步加大。</w:t>
      </w:r>
    </w:p>
    <w:p w14:paraId="60124AA6">
      <w:pPr>
        <w:ind w:firstLine="640"/>
      </w:pPr>
      <w:r>
        <w:rPr>
          <w:rFonts w:hint="eastAsia"/>
        </w:rPr>
        <w:t>自然灾害风险大。黑沟乡地质条件复杂，潜在地质灾害风险较高。局部地区强降雨可能诱发崩塌、滑坡、泥石流等突发性地质灾害。同时，洪涝等气象灾害现象时有发生，对当地居民的生命财产安全构成了严重威胁。</w:t>
      </w:r>
    </w:p>
    <w:bookmarkEnd w:id="12"/>
    <w:p w14:paraId="38C6B432">
      <w:pPr>
        <w:pStyle w:val="3"/>
        <w:numPr>
          <w:ilvl w:val="0"/>
          <w:numId w:val="3"/>
        </w:numPr>
        <w:ind w:left="0" w:firstLine="0"/>
        <w:rPr>
          <w:rFonts w:ascii="Times New Roman" w:hAnsi="Times New Roman" w:cs="Times New Roman"/>
          <w:color w:val="auto"/>
        </w:rPr>
      </w:pPr>
      <w:bookmarkStart w:id="13" w:name="_Toc8326"/>
      <w:bookmarkStart w:id="14" w:name="_Toc220921256"/>
      <w:bookmarkStart w:id="15" w:name="_Toc3453"/>
      <w:r>
        <w:rPr>
          <w:rFonts w:hint="eastAsia" w:ascii="Times New Roman" w:hAnsi="Times New Roman" w:cs="Times New Roman"/>
          <w:color w:val="auto"/>
        </w:rPr>
        <w:t>机遇使命</w:t>
      </w:r>
      <w:bookmarkEnd w:id="13"/>
      <w:bookmarkEnd w:id="14"/>
      <w:bookmarkEnd w:id="15"/>
    </w:p>
    <w:p w14:paraId="39FBBF9A">
      <w:pPr>
        <w:pStyle w:val="4"/>
        <w:numPr>
          <w:ilvl w:val="0"/>
          <w:numId w:val="6"/>
        </w:numPr>
        <w:ind w:left="198" w:firstLine="641"/>
      </w:pPr>
      <w:r>
        <w:rPr>
          <w:rFonts w:hint="eastAsia"/>
        </w:rPr>
        <w:t>机遇使命</w:t>
      </w:r>
    </w:p>
    <w:p w14:paraId="09F23DD5">
      <w:pPr>
        <w:ind w:firstLine="640"/>
        <w:rPr>
          <w:rFonts w:cs="Times New Roman"/>
        </w:rPr>
      </w:pPr>
      <w:r>
        <w:rPr>
          <w:rFonts w:hint="eastAsia" w:cs="Times New Roman"/>
        </w:rPr>
        <w:t>城镇化质量提升带来的发展机遇。在新型城镇化战略的推动下，黑沟乡以其良好的区位优势和建设基础，迎来了城镇化质量提升的重要机遇。通过优化城镇规划，完善基础设施，提升公共服务水平，黑沟乡可以进一步提升城镇吸引力和承载力，为城乡居民创造更加宜居宜业的生活环境，从而推动经济社会全面发展。</w:t>
      </w:r>
    </w:p>
    <w:p w14:paraId="2D3AC16A">
      <w:pPr>
        <w:ind w:firstLine="640"/>
        <w:rPr>
          <w:rFonts w:cs="Times New Roman"/>
        </w:rPr>
      </w:pPr>
      <w:r>
        <w:rPr>
          <w:rFonts w:hint="eastAsia" w:cs="Times New Roman"/>
        </w:rPr>
        <w:t>资源整合利用带来的发展机遇。黑沟乡拥有丰富的自然资源，包括山地、丘陵、矿产等，为乡村振兴提供了坚实的产业基础。通过资源整合利用，黑沟乡可以充分挖掘自身优势，发展特色农业、林业、矿业等产业，同时促进三产融合发展，形成绿色生产生活方式，优化国土空间结构与布局，推动人与自然和谐共生。</w:t>
      </w:r>
    </w:p>
    <w:p w14:paraId="421AB95A">
      <w:pPr>
        <w:ind w:firstLine="640"/>
        <w:rPr>
          <w:rFonts w:cs="Times New Roman"/>
        </w:rPr>
      </w:pPr>
      <w:r>
        <w:rPr>
          <w:rFonts w:hint="eastAsia" w:cs="Times New Roman"/>
        </w:rPr>
        <w:t>三产融合发展带来的发展机遇。黑沟乡应充分利用农业、林业、矿业等资源，推动一二三产业融合发展。通过延长产业链、提升价值链，黑沟乡可以打造具有竞争力的产业集群，提高产品附加值，增加农民收入，推动经济转型升级。</w:t>
      </w:r>
    </w:p>
    <w:p w14:paraId="1645943B">
      <w:pPr>
        <w:ind w:firstLine="640"/>
        <w:rPr>
          <w:rFonts w:cs="Times New Roman"/>
        </w:rPr>
      </w:pPr>
      <w:r>
        <w:rPr>
          <w:rFonts w:hint="eastAsia" w:cs="Times New Roman"/>
        </w:rPr>
        <w:t>绿色发展路径带来的发展机遇。在绿色发展理念的指导下，黑沟乡应坚持走绿色发展之路，加强生态环境保护，推广清洁能源，发展循环经济。通过绿色产业发展，黑沟乡可以实现经济效益、社会效益和生态效益的共赢，为可持续发展奠定坚实基础。</w:t>
      </w:r>
    </w:p>
    <w:p w14:paraId="06544972">
      <w:pPr>
        <w:ind w:firstLine="640"/>
        <w:rPr>
          <w:rFonts w:cs="Times New Roman"/>
        </w:rPr>
      </w:pPr>
      <w:r>
        <w:rPr>
          <w:rFonts w:hint="eastAsia" w:cs="Times New Roman"/>
        </w:rPr>
        <w:t>区域协同发展带来的发展机遇。辽宁构建“一圈一带两区”区域发展格局，为黑沟乡与周边区域的协同发展提供了广阔空间。黑沟乡应加强与周边乡镇在设施配套、产业发展、环境保护等方面的协同与共建共享，共同打造绿色经济区重要节点。通过区域协同发展，黑沟乡可以优化区域交通条件，提升区域服务能力，增强区域竞争力。</w:t>
      </w:r>
    </w:p>
    <w:p w14:paraId="6A923BC1">
      <w:pPr>
        <w:pStyle w:val="2"/>
        <w:spacing w:before="312" w:after="312"/>
        <w:rPr>
          <w:rFonts w:ascii="Times New Roman" w:hAnsi="Times New Roman" w:cs="Times New Roman"/>
          <w:color w:val="auto"/>
        </w:rPr>
      </w:pPr>
      <w:bookmarkStart w:id="16" w:name="_Toc220921257"/>
      <w:r>
        <w:rPr>
          <w:rFonts w:ascii="Times New Roman" w:hAnsi="Times New Roman" w:cs="Times New Roman"/>
          <w:color w:val="auto"/>
        </w:rPr>
        <w:t>第</w:t>
      </w:r>
      <w:r>
        <w:rPr>
          <w:rFonts w:hint="eastAsia" w:ascii="Times New Roman" w:hAnsi="Times New Roman" w:cs="Times New Roman"/>
          <w:color w:val="auto"/>
        </w:rPr>
        <w:t>三</w:t>
      </w:r>
      <w:r>
        <w:rPr>
          <w:rFonts w:ascii="Times New Roman" w:hAnsi="Times New Roman" w:cs="Times New Roman"/>
          <w:color w:val="auto"/>
        </w:rPr>
        <w:t>章发展定位与目标</w:t>
      </w:r>
      <w:bookmarkEnd w:id="16"/>
    </w:p>
    <w:p w14:paraId="070B54CD">
      <w:pPr>
        <w:tabs>
          <w:tab w:val="left" w:pos="3520"/>
        </w:tabs>
        <w:ind w:firstLine="640"/>
        <w:rPr>
          <w:rFonts w:cs="Times New Roman"/>
        </w:rPr>
      </w:pPr>
      <w:r>
        <w:rPr>
          <w:rFonts w:cs="Times New Roman"/>
        </w:rPr>
        <w:t>落实国家东北东部绿色经济带和辽宁省“一圈一带两区”发展战略，以及桓仁满族自治县（以下简称“桓仁县”）国土空间开发保护目标战略要求，立足</w:t>
      </w:r>
      <w:r>
        <w:rPr>
          <w:rFonts w:hint="eastAsia" w:cs="Times New Roman"/>
        </w:rPr>
        <w:t>黑沟</w:t>
      </w:r>
      <w:r>
        <w:rPr>
          <w:rFonts w:cs="Times New Roman"/>
        </w:rPr>
        <w:t>乡资源环境条件、社会经济发展水平、产业基础发展趋势、自然人文特色等，明确国土空间开发保护目标和功能定位，指导国土空间格局优化。</w:t>
      </w:r>
    </w:p>
    <w:p w14:paraId="58C0EF59">
      <w:pPr>
        <w:pStyle w:val="3"/>
        <w:rPr>
          <w:rFonts w:ascii="Times New Roman" w:hAnsi="Times New Roman" w:cs="Times New Roman"/>
          <w:color w:val="auto"/>
        </w:rPr>
      </w:pPr>
      <w:bookmarkStart w:id="17" w:name="_Toc220921258"/>
      <w:r>
        <w:rPr>
          <w:rFonts w:ascii="Times New Roman" w:hAnsi="Times New Roman" w:cs="Times New Roman"/>
          <w:color w:val="auto"/>
        </w:rPr>
        <w:t>第一节乡镇功能定位</w:t>
      </w:r>
      <w:bookmarkEnd w:id="17"/>
    </w:p>
    <w:p w14:paraId="7CAB0FFB">
      <w:pPr>
        <w:pStyle w:val="4"/>
        <w:numPr>
          <w:ilvl w:val="0"/>
          <w:numId w:val="7"/>
        </w:numPr>
        <w:ind w:left="198" w:firstLine="641"/>
      </w:pPr>
      <w:r>
        <w:t>功能定位</w:t>
      </w:r>
    </w:p>
    <w:p w14:paraId="49910A8B">
      <w:pPr>
        <w:ind w:firstLine="640"/>
        <w:rPr>
          <w:rFonts w:cs="Times New Roman"/>
        </w:rPr>
      </w:pPr>
      <w:r>
        <w:rPr>
          <w:rFonts w:cs="Times New Roman"/>
        </w:rPr>
        <w:t>落实上位规划要求，结合</w:t>
      </w:r>
      <w:r>
        <w:rPr>
          <w:rFonts w:hint="eastAsia" w:cs="Times New Roman"/>
        </w:rPr>
        <w:t>黑沟</w:t>
      </w:r>
      <w:r>
        <w:rPr>
          <w:rFonts w:cs="Times New Roman"/>
        </w:rPr>
        <w:t>乡资源环境条件和产业发展基础等，</w:t>
      </w:r>
      <w:r>
        <w:rPr>
          <w:rFonts w:hint="eastAsia" w:cs="Times New Roman"/>
        </w:rPr>
        <w:t>将黑沟乡建设成为农业服务型一般镇，建设成为特色农产品加工集聚区、桓仁温泉康养休闲目的地、县域农文旅融合发展样板区</w:t>
      </w:r>
      <w:r>
        <w:rPr>
          <w:rFonts w:cs="Times New Roman"/>
        </w:rPr>
        <w:t>。</w:t>
      </w:r>
    </w:p>
    <w:p w14:paraId="5C4E41CC">
      <w:pPr>
        <w:ind w:firstLine="643"/>
        <w:rPr>
          <w:rFonts w:cs="Times New Roman"/>
        </w:rPr>
      </w:pPr>
      <w:r>
        <w:rPr>
          <w:rFonts w:hint="eastAsia" w:cs="Times New Roman"/>
          <w:b/>
          <w:bCs/>
        </w:rPr>
        <w:t>特色农产品加工集聚区</w:t>
      </w:r>
      <w:r>
        <w:rPr>
          <w:rFonts w:cs="Times New Roman"/>
          <w:b/>
          <w:bCs/>
        </w:rPr>
        <w:t>。</w:t>
      </w:r>
      <w:r>
        <w:rPr>
          <w:rFonts w:hint="eastAsia" w:cs="Times New Roman"/>
        </w:rPr>
        <w:t>依托黑沟乡中药材、林下参、稻米等特色农产品优势，引导特色产业集聚，发展农产品深加工产业，延长产业链条，增加农产品附加值，打造具有黑沟特色的农产品品牌。</w:t>
      </w:r>
    </w:p>
    <w:p w14:paraId="413F1E01">
      <w:pPr>
        <w:ind w:firstLine="643"/>
        <w:rPr>
          <w:rFonts w:cs="Times New Roman"/>
        </w:rPr>
      </w:pPr>
      <w:r>
        <w:rPr>
          <w:rFonts w:hint="eastAsia" w:cs="Times New Roman"/>
          <w:b/>
          <w:bCs/>
        </w:rPr>
        <w:t>桓仁温泉康养休闲目的地</w:t>
      </w:r>
      <w:r>
        <w:rPr>
          <w:rFonts w:cs="Times New Roman"/>
          <w:b/>
          <w:bCs/>
        </w:rPr>
        <w:t>。</w:t>
      </w:r>
      <w:r>
        <w:rPr>
          <w:rFonts w:hint="eastAsia" w:cs="Times New Roman"/>
        </w:rPr>
        <w:t>充分发挥大川温泉资源优势，大力发展温泉洗浴、民宿等系列产业，全面提升“吃住行游购娱”服务品质，打造集温泉养生、康体运动、休闲度假于一体的温泉产业模式，推动温泉产业集群化、规范化。</w:t>
      </w:r>
    </w:p>
    <w:p w14:paraId="2D6EDF9C">
      <w:pPr>
        <w:ind w:firstLine="643"/>
        <w:rPr>
          <w:rFonts w:cs="Times New Roman"/>
        </w:rPr>
      </w:pPr>
      <w:r>
        <w:rPr>
          <w:rFonts w:hint="eastAsia" w:cs="Times New Roman"/>
          <w:b/>
          <w:bCs/>
        </w:rPr>
        <w:t>县域农文旅融合发展样板区。</w:t>
      </w:r>
      <w:r>
        <w:rPr>
          <w:rFonts w:hint="eastAsia" w:cs="Times New Roman"/>
        </w:rPr>
        <w:t>整合黑沟乡特色农业资源、温泉资源、红色文化资源，推动集中整合、集中开发、集中打造，拓宽特色业态、厚植特色文化，发展特色休闲农业，联动温泉康养旅游，增强乡村文旅吸引力，实现“农业+旅游”的融合。</w:t>
      </w:r>
    </w:p>
    <w:p w14:paraId="118535F2">
      <w:pPr>
        <w:pStyle w:val="3"/>
        <w:rPr>
          <w:rFonts w:ascii="Times New Roman" w:hAnsi="Times New Roman" w:cs="Times New Roman"/>
          <w:color w:val="auto"/>
        </w:rPr>
      </w:pPr>
      <w:bookmarkStart w:id="18" w:name="_Toc220921259"/>
      <w:r>
        <w:rPr>
          <w:rFonts w:ascii="Times New Roman" w:hAnsi="Times New Roman" w:cs="Times New Roman"/>
          <w:color w:val="auto"/>
        </w:rPr>
        <w:t>第二节国土空间开发保护目标</w:t>
      </w:r>
      <w:bookmarkEnd w:id="18"/>
    </w:p>
    <w:p w14:paraId="3E734953">
      <w:pPr>
        <w:pStyle w:val="4"/>
        <w:numPr>
          <w:ilvl w:val="0"/>
          <w:numId w:val="8"/>
        </w:numPr>
        <w:ind w:left="198" w:firstLine="641"/>
      </w:pPr>
      <w:r>
        <w:t>总体目标</w:t>
      </w:r>
    </w:p>
    <w:p w14:paraId="67D0C8C5">
      <w:pPr>
        <w:ind w:firstLine="640"/>
        <w:rPr>
          <w:rFonts w:cs="Times New Roman"/>
        </w:rPr>
      </w:pPr>
      <w:r>
        <w:rPr>
          <w:rFonts w:cs="Times New Roman"/>
        </w:rPr>
        <w:t>发挥</w:t>
      </w:r>
      <w:r>
        <w:rPr>
          <w:rFonts w:hint="eastAsia" w:cs="Times New Roman"/>
        </w:rPr>
        <w:t>黑沟</w:t>
      </w:r>
      <w:r>
        <w:rPr>
          <w:rFonts w:cs="Times New Roman"/>
        </w:rPr>
        <w:t>乡地理区位、自然资源、产业基础等优势条件，抢抓新时代发展机遇，积极应对国土空间问题挑战，统筹推进全域国土空间保护、开发、利用、修复，实现人与自然和谐共生、经济社会良性互促。到2025年，产镇融合度显著提升，充满活力的城乡发展格局基本奠定，农业产业格局得到优化，三条空间管制控制线全面落地，生态保护和修复体系基本建立。到2035年，形成主体功能明显、优势互补、高质量发展的国土空间开发保护新格局，基本建成生产空间集约高效、生活空间宜居适度、生态空间山清水秀，安全、绿色、开放、智慧、富有竞争力的美丽国土，进一步巩固</w:t>
      </w:r>
      <w:r>
        <w:rPr>
          <w:rFonts w:hint="eastAsia" w:cs="Times New Roman"/>
        </w:rPr>
        <w:t>黑沟</w:t>
      </w:r>
      <w:r>
        <w:rPr>
          <w:rFonts w:cs="Times New Roman"/>
        </w:rPr>
        <w:t>乡在桓仁县区域发展格局中的战略地位，建成区域强镇，形成对省、市、县重大战略的强有力支撑。</w:t>
      </w:r>
    </w:p>
    <w:p w14:paraId="4FB322AE">
      <w:pPr>
        <w:pStyle w:val="4"/>
      </w:pPr>
      <w:r>
        <w:t>近期目标</w:t>
      </w:r>
    </w:p>
    <w:p w14:paraId="26464361">
      <w:pPr>
        <w:ind w:firstLine="643"/>
        <w:rPr>
          <w:rFonts w:cs="Times New Roman"/>
        </w:rPr>
      </w:pPr>
      <w:r>
        <w:rPr>
          <w:rFonts w:cs="Times New Roman"/>
          <w:b/>
          <w:bCs/>
        </w:rPr>
        <w:t>国土空间保护水平显著提升</w:t>
      </w:r>
      <w:r>
        <w:rPr>
          <w:rFonts w:cs="Times New Roman"/>
        </w:rPr>
        <w:t>。最严格的耕地保护制度、水资源管理制度和生态环境保护制度得到有效落实。耕地和永久基本农田、生态保护红线、城镇开发边界三条控制线得到有效管控。生态资源保护利用更加科学，生态系统保护和修复取得明显成效，生产方式和生活方式加快向低碳、绿色转变，生态文明建设实现新进步，生态安全屏障更加牢固。至2025年，全面融入东北东部绿色经济带和辽东绿色经济区建设。能源和矿产资源保障水平不断提高，关系国土安全韧性的各类基础设施建设得到充分保障。</w:t>
      </w:r>
    </w:p>
    <w:p w14:paraId="7093B5BB">
      <w:pPr>
        <w:ind w:firstLine="643"/>
        <w:rPr>
          <w:rFonts w:cs="Times New Roman"/>
        </w:rPr>
      </w:pPr>
      <w:r>
        <w:rPr>
          <w:rFonts w:cs="Times New Roman"/>
          <w:b/>
          <w:bCs/>
        </w:rPr>
        <w:t>国土空间开发格局持续优化。</w:t>
      </w:r>
      <w:r>
        <w:rPr>
          <w:rFonts w:cs="Times New Roman"/>
        </w:rPr>
        <w:t>主动融入东北东部绿色经济带和辽宁“一圈一带两区”布局，区域协同发展水平不断提高。以乡中心区为主体、中心村、一般村为支撑的镇村协调发展的镇村体系更加合理。城镇综合承载能力不断提升，新型城镇化和乡村振兴战略全面推进，城镇布局更加紧凑，人居环境持续改善。至2025年，多中心、网络化、集约式、开放式、协调式的国土空间开发格局基本形成。</w:t>
      </w:r>
    </w:p>
    <w:p w14:paraId="6DAFAA70">
      <w:pPr>
        <w:ind w:firstLine="643"/>
        <w:rPr>
          <w:rFonts w:cs="Times New Roman"/>
        </w:rPr>
      </w:pPr>
      <w:r>
        <w:rPr>
          <w:rFonts w:cs="Times New Roman"/>
          <w:b/>
          <w:bCs/>
        </w:rPr>
        <w:t>资源利用更加集约高效。</w:t>
      </w:r>
      <w:r>
        <w:rPr>
          <w:rFonts w:cs="Times New Roman"/>
        </w:rPr>
        <w:t>顺应人口变化趋势，基于资源环境承载能力合理确定并严格管控城镇建设用地总量，建设用地结构更趋合理，节约集约用地水平进一步提高。统筹山水林田湖草湿系统保护与利用，资源配置更加合理，利用效率大幅提高，能源矿产资源保障能力显著提升，农业生产格局、方式与水土光热资源条件更加契合。到2025年，基本建成集约、绿色、低碳、循环的资源利用体系。</w:t>
      </w:r>
    </w:p>
    <w:p w14:paraId="072A6CEC">
      <w:pPr>
        <w:ind w:firstLine="643"/>
        <w:rPr>
          <w:rFonts w:cs="Times New Roman"/>
        </w:rPr>
      </w:pPr>
      <w:r>
        <w:rPr>
          <w:rFonts w:cs="Times New Roman"/>
          <w:b/>
          <w:bCs/>
        </w:rPr>
        <w:t>国土空间治理体系逐步健全。</w:t>
      </w:r>
      <w:r>
        <w:rPr>
          <w:rFonts w:cs="Times New Roman"/>
        </w:rPr>
        <w:t>创新体系更加完善，有为政府和有效市场更好结合，体制机制创新取得显著成效。到2025年，自然资源资产管理、国土空间用途管制、生态文明绩效评价考核等制度更加健全，基本形成以国土空间规划为基础，以统一用途管制为手段的国土空间开发保护制度。</w:t>
      </w:r>
    </w:p>
    <w:p w14:paraId="01625069">
      <w:pPr>
        <w:ind w:firstLine="640"/>
        <w:rPr>
          <w:rFonts w:cs="Times New Roman"/>
        </w:rPr>
      </w:pPr>
    </w:p>
    <w:tbl>
      <w:tblPr>
        <w:tblStyle w:val="15"/>
        <w:tblW w:w="5027" w:type="pct"/>
        <w:tblInd w:w="0" w:type="dxa"/>
        <w:tblLayout w:type="autofit"/>
        <w:tblCellMar>
          <w:top w:w="0" w:type="dxa"/>
          <w:left w:w="0" w:type="dxa"/>
          <w:bottom w:w="0" w:type="dxa"/>
          <w:right w:w="0" w:type="dxa"/>
        </w:tblCellMar>
      </w:tblPr>
      <w:tblGrid>
        <w:gridCol w:w="517"/>
        <w:gridCol w:w="269"/>
        <w:gridCol w:w="664"/>
        <w:gridCol w:w="2242"/>
        <w:gridCol w:w="1016"/>
        <w:gridCol w:w="1048"/>
        <w:gridCol w:w="1026"/>
        <w:gridCol w:w="726"/>
        <w:gridCol w:w="859"/>
      </w:tblGrid>
      <w:tr w14:paraId="6EFF38DA">
        <w:tblPrEx>
          <w:tblCellMar>
            <w:top w:w="0" w:type="dxa"/>
            <w:left w:w="0" w:type="dxa"/>
            <w:bottom w:w="0" w:type="dxa"/>
            <w:right w:w="0" w:type="dxa"/>
          </w:tblCellMar>
        </w:tblPrEx>
        <w:trPr>
          <w:trHeight w:val="560" w:hRule="atLeast"/>
        </w:trPr>
        <w:tc>
          <w:tcPr>
            <w:tcW w:w="470" w:type="pct"/>
            <w:gridSpan w:val="2"/>
            <w:tcBorders>
              <w:top w:val="single" w:color="000000" w:sz="4" w:space="0"/>
              <w:left w:val="single" w:color="000000" w:sz="4" w:space="0"/>
              <w:bottom w:val="single" w:color="000000" w:sz="4" w:space="0"/>
              <w:right w:val="single" w:color="000000" w:sz="4" w:space="0"/>
              <w:tl2br w:val="nil"/>
            </w:tcBorders>
            <w:shd w:val="clear" w:color="auto" w:fill="FFFFFF"/>
            <w:tcMar>
              <w:left w:w="1" w:type="dxa"/>
              <w:right w:w="1" w:type="dxa"/>
            </w:tcMar>
            <w:vAlign w:val="center"/>
          </w:tcPr>
          <w:p w14:paraId="67897378">
            <w:pPr>
              <w:spacing w:line="240" w:lineRule="auto"/>
              <w:ind w:firstLine="0" w:firstLineChars="0"/>
              <w:jc w:val="center"/>
              <w:rPr>
                <w:rFonts w:eastAsia="仿宋" w:cs="Times New Roman"/>
                <w:sz w:val="21"/>
                <w:lang w:bidi="zh-CN"/>
              </w:rPr>
            </w:pPr>
            <w:r>
              <w:rPr>
                <w:rFonts w:eastAsia="仿宋" w:cs="Times New Roman"/>
                <w:sz w:val="21"/>
                <w:lang w:bidi="zh-CN"/>
              </w:rPr>
              <w:t>编号</w:t>
            </w:r>
          </w:p>
        </w:tc>
        <w:tc>
          <w:tcPr>
            <w:tcW w:w="1737" w:type="pct"/>
            <w:gridSpan w:val="2"/>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F1FB875">
            <w:pPr>
              <w:spacing w:line="240" w:lineRule="auto"/>
              <w:ind w:firstLine="0" w:firstLineChars="0"/>
              <w:jc w:val="center"/>
              <w:rPr>
                <w:rFonts w:eastAsia="仿宋" w:cs="Times New Roman"/>
                <w:sz w:val="21"/>
                <w:lang w:bidi="zh-CN"/>
              </w:rPr>
            </w:pPr>
            <w:r>
              <w:rPr>
                <w:rFonts w:hint="eastAsia" w:eastAsia="仿宋" w:cs="Times New Roman"/>
                <w:sz w:val="21"/>
                <w:lang w:bidi="zh-CN"/>
              </w:rPr>
              <w:t>指标名称</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EF42FA1">
            <w:pPr>
              <w:spacing w:line="240" w:lineRule="auto"/>
              <w:ind w:firstLine="0" w:firstLineChars="0"/>
              <w:jc w:val="center"/>
              <w:rPr>
                <w:rFonts w:eastAsia="仿宋" w:cs="Times New Roman"/>
                <w:sz w:val="21"/>
                <w:lang w:bidi="zh-CN"/>
              </w:rPr>
            </w:pPr>
            <w:r>
              <w:rPr>
                <w:rFonts w:hint="eastAsia" w:eastAsia="仿宋" w:cs="Times New Roman"/>
                <w:sz w:val="21"/>
                <w:lang w:bidi="zh-CN"/>
              </w:rPr>
              <w:t>规划基期年</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8D40623">
            <w:pPr>
              <w:spacing w:line="240" w:lineRule="auto"/>
              <w:ind w:firstLine="0" w:firstLineChars="0"/>
              <w:jc w:val="center"/>
              <w:rPr>
                <w:rFonts w:eastAsia="仿宋" w:cs="Times New Roman"/>
                <w:sz w:val="21"/>
                <w:lang w:bidi="zh-CN"/>
              </w:rPr>
            </w:pPr>
            <w:r>
              <w:rPr>
                <w:rFonts w:hint="eastAsia" w:eastAsia="仿宋" w:cs="Times New Roman"/>
                <w:sz w:val="21"/>
                <w:lang w:bidi="zh-CN"/>
              </w:rPr>
              <w:t>规划近期年</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8FC2D9B">
            <w:pPr>
              <w:spacing w:line="240" w:lineRule="auto"/>
              <w:ind w:firstLine="0" w:firstLineChars="0"/>
              <w:jc w:val="center"/>
              <w:rPr>
                <w:rFonts w:eastAsia="仿宋" w:cs="Times New Roman"/>
                <w:sz w:val="21"/>
                <w:lang w:bidi="zh-CN"/>
              </w:rPr>
            </w:pPr>
            <w:r>
              <w:rPr>
                <w:rFonts w:hint="eastAsia" w:eastAsia="仿宋" w:cs="Times New Roman"/>
                <w:sz w:val="21"/>
                <w:lang w:bidi="zh-CN"/>
              </w:rPr>
              <w:t>规划目标年</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D6E5253">
            <w:pPr>
              <w:spacing w:line="240" w:lineRule="auto"/>
              <w:ind w:firstLine="0" w:firstLineChars="0"/>
              <w:jc w:val="center"/>
              <w:rPr>
                <w:rFonts w:eastAsia="仿宋" w:cs="Times New Roman"/>
                <w:sz w:val="21"/>
                <w:lang w:bidi="zh-CN"/>
              </w:rPr>
            </w:pPr>
            <w:r>
              <w:rPr>
                <w:rFonts w:hint="eastAsia" w:eastAsia="仿宋" w:cs="Times New Roman"/>
                <w:sz w:val="21"/>
                <w:lang w:bidi="zh-CN"/>
              </w:rPr>
              <w:t>指标属性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C590AC7">
            <w:pPr>
              <w:spacing w:line="240" w:lineRule="auto"/>
              <w:ind w:firstLine="0" w:firstLineChars="0"/>
              <w:jc w:val="center"/>
              <w:rPr>
                <w:rFonts w:eastAsia="仿宋" w:cs="Times New Roman"/>
                <w:sz w:val="21"/>
                <w:lang w:bidi="zh-CN"/>
              </w:rPr>
            </w:pPr>
            <w:r>
              <w:rPr>
                <w:rFonts w:hint="eastAsia" w:eastAsia="仿宋" w:cs="Times New Roman"/>
                <w:sz w:val="21"/>
                <w:lang w:bidi="zh-CN"/>
              </w:rPr>
              <w:t>指标层级</w:t>
            </w:r>
          </w:p>
        </w:tc>
      </w:tr>
      <w:tr w14:paraId="183886C6">
        <w:tblPrEx>
          <w:tblCellMar>
            <w:top w:w="0" w:type="dxa"/>
            <w:left w:w="0" w:type="dxa"/>
            <w:bottom w:w="0" w:type="dxa"/>
            <w:right w:w="0" w:type="dxa"/>
          </w:tblCellMar>
        </w:tblPrEx>
        <w:trPr>
          <w:trHeight w:val="38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034E4C0">
            <w:pPr>
              <w:spacing w:line="240" w:lineRule="auto"/>
              <w:ind w:firstLine="0" w:firstLineChars="0"/>
              <w:jc w:val="center"/>
              <w:rPr>
                <w:rFonts w:eastAsia="仿宋" w:cs="Times New Roman"/>
                <w:sz w:val="21"/>
                <w:lang w:bidi="zh-CN"/>
              </w:rPr>
            </w:pPr>
            <w:r>
              <w:rPr>
                <w:rFonts w:hint="eastAsia" w:eastAsia="仿宋" w:cs="Times New Roman"/>
                <w:sz w:val="21"/>
                <w:lang w:bidi="zh-CN"/>
              </w:rPr>
              <w:t>一、空间底线</w:t>
            </w:r>
          </w:p>
        </w:tc>
      </w:tr>
      <w:tr w14:paraId="2077AAA3">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B97186B">
            <w:pPr>
              <w:spacing w:line="240" w:lineRule="auto"/>
              <w:ind w:firstLine="0" w:firstLineChars="0"/>
              <w:jc w:val="center"/>
              <w:rPr>
                <w:rFonts w:eastAsia="仿宋" w:cs="Times New Roman"/>
                <w:sz w:val="21"/>
                <w:lang w:bidi="zh-CN"/>
              </w:rPr>
            </w:pPr>
            <w:r>
              <w:rPr>
                <w:rFonts w:hint="eastAsia" w:eastAsia="仿宋" w:cs="Times New Roman"/>
                <w:sz w:val="21"/>
                <w:lang w:bidi="zh-CN"/>
              </w:rPr>
              <w:t>1</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E90AD70">
            <w:pPr>
              <w:spacing w:line="240" w:lineRule="auto"/>
              <w:ind w:firstLine="0" w:firstLineChars="0"/>
              <w:jc w:val="center"/>
              <w:rPr>
                <w:rFonts w:eastAsia="仿宋" w:cs="Times New Roman"/>
                <w:sz w:val="21"/>
                <w:lang w:bidi="zh-CN"/>
              </w:rPr>
            </w:pPr>
            <w:r>
              <w:rPr>
                <w:rFonts w:hint="eastAsia" w:eastAsia="仿宋" w:cs="Times New Roman"/>
                <w:sz w:val="21"/>
                <w:lang w:bidi="zh-CN"/>
              </w:rPr>
              <w:t>耕地保有量（公顷）</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F5AA976">
            <w:pPr>
              <w:spacing w:line="240" w:lineRule="auto"/>
              <w:ind w:firstLine="0" w:firstLineChars="0"/>
              <w:jc w:val="center"/>
              <w:rPr>
                <w:rFonts w:eastAsia="仿宋" w:cs="Times New Roman"/>
                <w:sz w:val="21"/>
                <w:lang w:bidi="zh-CN"/>
              </w:rPr>
            </w:pPr>
            <w:r>
              <w:rPr>
                <w:rFonts w:hint="eastAsia" w:eastAsia="仿宋" w:cs="Times New Roman"/>
                <w:sz w:val="21"/>
                <w:lang w:bidi="zh-CN"/>
              </w:rPr>
              <w:t>1740.21</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423CC71">
            <w:pPr>
              <w:spacing w:line="240" w:lineRule="auto"/>
              <w:ind w:firstLine="0" w:firstLineChars="0"/>
              <w:jc w:val="center"/>
              <w:rPr>
                <w:rFonts w:eastAsia="仿宋" w:cs="Times New Roman"/>
                <w:sz w:val="21"/>
                <w:lang w:bidi="zh-CN"/>
              </w:rPr>
            </w:pPr>
            <w:r>
              <w:rPr>
                <w:rFonts w:hint="eastAsia" w:eastAsia="仿宋" w:cs="Times New Roman"/>
                <w:sz w:val="21"/>
                <w:lang w:bidi="zh-CN"/>
              </w:rPr>
              <w:t>1728.47</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C66C3DA">
            <w:pPr>
              <w:spacing w:line="240" w:lineRule="auto"/>
              <w:ind w:firstLine="0" w:firstLineChars="0"/>
              <w:jc w:val="center"/>
              <w:rPr>
                <w:rFonts w:eastAsia="仿宋" w:cs="Times New Roman"/>
                <w:sz w:val="21"/>
                <w:lang w:bidi="zh-CN"/>
              </w:rPr>
            </w:pPr>
            <w:r>
              <w:rPr>
                <w:rFonts w:hint="eastAsia" w:eastAsia="仿宋" w:cs="Times New Roman"/>
                <w:sz w:val="21"/>
                <w:lang w:bidi="zh-CN"/>
              </w:rPr>
              <w:t>≥1728.47</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D742988">
            <w:pPr>
              <w:spacing w:line="240" w:lineRule="auto"/>
              <w:ind w:firstLine="0" w:firstLineChars="0"/>
              <w:jc w:val="center"/>
              <w:rPr>
                <w:rFonts w:eastAsia="仿宋" w:cs="Times New Roman"/>
                <w:sz w:val="21"/>
                <w:lang w:bidi="zh-CN"/>
              </w:rPr>
            </w:pPr>
            <w:r>
              <w:rPr>
                <w:rFonts w:hint="eastAsia" w:eastAsia="仿宋" w:cs="Times New Roman"/>
                <w:sz w:val="21"/>
                <w:lang w:bidi="zh-CN"/>
              </w:rPr>
              <w:t>约束性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C6A2E1B">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03E13F64">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9D9E71D">
            <w:pPr>
              <w:spacing w:line="240" w:lineRule="auto"/>
              <w:ind w:firstLine="0" w:firstLineChars="0"/>
              <w:jc w:val="center"/>
              <w:rPr>
                <w:rFonts w:eastAsia="仿宋" w:cs="Times New Roman"/>
                <w:sz w:val="21"/>
                <w:lang w:bidi="zh-CN"/>
              </w:rPr>
            </w:pPr>
            <w:r>
              <w:rPr>
                <w:rFonts w:hint="eastAsia" w:eastAsia="仿宋" w:cs="Times New Roman"/>
                <w:sz w:val="21"/>
                <w:lang w:bidi="zh-CN"/>
              </w:rPr>
              <w:t>2</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7840A58">
            <w:pPr>
              <w:spacing w:line="240" w:lineRule="auto"/>
              <w:ind w:firstLine="0" w:firstLineChars="0"/>
              <w:jc w:val="center"/>
              <w:rPr>
                <w:rFonts w:eastAsia="仿宋" w:cs="Times New Roman"/>
                <w:sz w:val="21"/>
                <w:lang w:bidi="zh-CN"/>
              </w:rPr>
            </w:pPr>
            <w:r>
              <w:rPr>
                <w:rFonts w:hint="eastAsia" w:eastAsia="仿宋" w:cs="Times New Roman"/>
                <w:sz w:val="21"/>
                <w:lang w:bidi="zh-CN"/>
              </w:rPr>
              <w:t>永久基本农田保护面积（公顷）</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F8D9E66">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7026D05">
            <w:pPr>
              <w:spacing w:line="240" w:lineRule="auto"/>
              <w:ind w:firstLine="0" w:firstLineChars="0"/>
              <w:jc w:val="center"/>
              <w:rPr>
                <w:rFonts w:eastAsia="仿宋" w:cs="Times New Roman"/>
                <w:sz w:val="21"/>
                <w:lang w:bidi="zh-CN"/>
              </w:rPr>
            </w:pPr>
            <w:r>
              <w:rPr>
                <w:rFonts w:hint="eastAsia" w:eastAsia="仿宋" w:cs="Times New Roman"/>
                <w:sz w:val="21"/>
                <w:lang w:bidi="zh-CN"/>
              </w:rPr>
              <w:t>≥1640.59</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31D3AF9">
            <w:pPr>
              <w:spacing w:line="240" w:lineRule="auto"/>
              <w:ind w:firstLine="0" w:firstLineChars="0"/>
              <w:jc w:val="center"/>
              <w:rPr>
                <w:rFonts w:eastAsia="仿宋" w:cs="Times New Roman"/>
                <w:sz w:val="21"/>
                <w:lang w:bidi="zh-CN"/>
              </w:rPr>
            </w:pPr>
            <w:r>
              <w:rPr>
                <w:rFonts w:hint="eastAsia" w:eastAsia="仿宋" w:cs="Times New Roman"/>
                <w:sz w:val="21"/>
                <w:lang w:bidi="zh-CN"/>
              </w:rPr>
              <w:t>≥1640.59</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36C3A59">
            <w:pPr>
              <w:spacing w:line="240" w:lineRule="auto"/>
              <w:ind w:firstLine="0" w:firstLineChars="0"/>
              <w:jc w:val="center"/>
              <w:rPr>
                <w:rFonts w:eastAsia="仿宋" w:cs="Times New Roman"/>
                <w:sz w:val="21"/>
                <w:lang w:bidi="zh-CN"/>
              </w:rPr>
            </w:pPr>
            <w:r>
              <w:rPr>
                <w:rFonts w:hint="eastAsia" w:eastAsia="仿宋" w:cs="Times New Roman"/>
                <w:sz w:val="21"/>
                <w:lang w:bidi="zh-CN"/>
              </w:rPr>
              <w:t>约束性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A0744A4">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5CF67A28">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349A3E2">
            <w:pPr>
              <w:spacing w:line="240" w:lineRule="auto"/>
              <w:ind w:firstLine="0" w:firstLineChars="0"/>
              <w:jc w:val="center"/>
              <w:rPr>
                <w:rFonts w:eastAsia="仿宋" w:cs="Times New Roman"/>
                <w:sz w:val="21"/>
                <w:lang w:bidi="zh-CN"/>
              </w:rPr>
            </w:pPr>
            <w:r>
              <w:rPr>
                <w:rFonts w:hint="eastAsia" w:eastAsia="仿宋" w:cs="Times New Roman"/>
                <w:sz w:val="21"/>
                <w:lang w:bidi="zh-CN"/>
              </w:rPr>
              <w:t>3</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B211D05">
            <w:pPr>
              <w:spacing w:line="240" w:lineRule="auto"/>
              <w:ind w:firstLine="0" w:firstLineChars="0"/>
              <w:jc w:val="center"/>
              <w:rPr>
                <w:rFonts w:eastAsia="仿宋" w:cs="Times New Roman"/>
                <w:sz w:val="21"/>
                <w:lang w:bidi="zh-CN"/>
              </w:rPr>
            </w:pPr>
            <w:r>
              <w:rPr>
                <w:rFonts w:hint="eastAsia" w:eastAsia="仿宋" w:cs="Times New Roman"/>
                <w:sz w:val="21"/>
                <w:lang w:bidi="zh-CN"/>
              </w:rPr>
              <w:t>生态保护红线面积（公顷）</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06335D6">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91537AC">
            <w:pPr>
              <w:spacing w:line="240" w:lineRule="auto"/>
              <w:ind w:firstLine="0" w:firstLineChars="0"/>
              <w:jc w:val="center"/>
              <w:rPr>
                <w:rFonts w:eastAsia="仿宋" w:cs="Times New Roman"/>
                <w:sz w:val="21"/>
                <w:lang w:bidi="zh-CN"/>
              </w:rPr>
            </w:pPr>
            <w:r>
              <w:rPr>
                <w:rFonts w:hint="eastAsia" w:eastAsia="仿宋" w:cs="Times New Roman"/>
                <w:sz w:val="21"/>
                <w:lang w:bidi="zh-CN"/>
              </w:rPr>
              <w:t>11222.64</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E058EBD">
            <w:pPr>
              <w:spacing w:line="240" w:lineRule="auto"/>
              <w:ind w:firstLine="0" w:firstLineChars="0"/>
              <w:jc w:val="center"/>
              <w:rPr>
                <w:rFonts w:eastAsia="仿宋" w:cs="Times New Roman"/>
                <w:sz w:val="21"/>
                <w:lang w:bidi="zh-CN"/>
              </w:rPr>
            </w:pPr>
            <w:r>
              <w:rPr>
                <w:rFonts w:hint="eastAsia" w:eastAsia="仿宋" w:cs="Times New Roman"/>
                <w:sz w:val="21"/>
                <w:lang w:bidi="zh-CN"/>
              </w:rPr>
              <w:t>11222.64</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641A68E">
            <w:pPr>
              <w:spacing w:line="240" w:lineRule="auto"/>
              <w:ind w:firstLine="0" w:firstLineChars="0"/>
              <w:jc w:val="center"/>
              <w:rPr>
                <w:rFonts w:eastAsia="仿宋" w:cs="Times New Roman"/>
                <w:sz w:val="21"/>
                <w:lang w:bidi="zh-CN"/>
              </w:rPr>
            </w:pPr>
            <w:r>
              <w:rPr>
                <w:rFonts w:hint="eastAsia" w:eastAsia="仿宋" w:cs="Times New Roman"/>
                <w:sz w:val="21"/>
                <w:lang w:bidi="zh-CN"/>
              </w:rPr>
              <w:t>约束性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F9F4A69">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683767DB">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6B92C77">
            <w:pPr>
              <w:spacing w:line="240" w:lineRule="auto"/>
              <w:ind w:firstLine="0" w:firstLineChars="0"/>
              <w:jc w:val="center"/>
              <w:rPr>
                <w:rFonts w:eastAsia="仿宋" w:cs="Times New Roman"/>
                <w:sz w:val="21"/>
                <w:lang w:bidi="zh-CN"/>
              </w:rPr>
            </w:pPr>
            <w:r>
              <w:rPr>
                <w:rFonts w:hint="eastAsia" w:eastAsia="仿宋" w:cs="Times New Roman"/>
                <w:sz w:val="21"/>
                <w:lang w:bidi="zh-CN"/>
              </w:rPr>
              <w:t>5</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8EBCC90">
            <w:pPr>
              <w:spacing w:line="240" w:lineRule="auto"/>
              <w:ind w:firstLine="0" w:firstLineChars="0"/>
              <w:jc w:val="center"/>
              <w:rPr>
                <w:rFonts w:eastAsia="仿宋" w:cs="Times New Roman"/>
                <w:sz w:val="21"/>
                <w:lang w:bidi="zh-CN"/>
              </w:rPr>
            </w:pPr>
            <w:r>
              <w:rPr>
                <w:rFonts w:hint="eastAsia" w:eastAsia="仿宋" w:cs="Times New Roman"/>
                <w:sz w:val="21"/>
                <w:lang w:bidi="zh-CN"/>
              </w:rPr>
              <w:t>自然保护地陆域面积占陆域国土面积比例（%）</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913898D">
            <w:pPr>
              <w:spacing w:line="240" w:lineRule="auto"/>
              <w:ind w:firstLine="0" w:firstLineChars="0"/>
              <w:jc w:val="center"/>
              <w:rPr>
                <w:rFonts w:eastAsia="仿宋" w:cs="Times New Roman"/>
                <w:sz w:val="21"/>
                <w:lang w:bidi="zh-CN"/>
              </w:rPr>
            </w:pPr>
            <w:r>
              <w:rPr>
                <w:rFonts w:hint="eastAsia" w:eastAsia="仿宋" w:cs="Times New Roman"/>
                <w:sz w:val="21"/>
                <w:lang w:bidi="zh-CN"/>
              </w:rPr>
              <w:t>14.27</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D90CCE1">
            <w:pPr>
              <w:spacing w:line="240" w:lineRule="auto"/>
              <w:ind w:firstLine="0" w:firstLineChars="0"/>
              <w:jc w:val="center"/>
              <w:rPr>
                <w:rFonts w:eastAsia="仿宋" w:cs="Times New Roman"/>
                <w:sz w:val="21"/>
                <w:lang w:bidi="zh-CN"/>
              </w:rPr>
            </w:pPr>
            <w:r>
              <w:rPr>
                <w:rFonts w:hint="eastAsia" w:eastAsia="仿宋" w:cs="Times New Roman"/>
                <w:sz w:val="21"/>
                <w:lang w:bidi="zh-CN"/>
              </w:rPr>
              <w:t>14.27</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7108160">
            <w:pPr>
              <w:spacing w:line="240" w:lineRule="auto"/>
              <w:ind w:firstLine="0" w:firstLineChars="0"/>
              <w:jc w:val="center"/>
              <w:rPr>
                <w:rFonts w:eastAsia="仿宋" w:cs="Times New Roman"/>
                <w:sz w:val="21"/>
                <w:lang w:bidi="zh-CN"/>
              </w:rPr>
            </w:pPr>
            <w:r>
              <w:rPr>
                <w:rFonts w:hint="eastAsia" w:eastAsia="仿宋" w:cs="Times New Roman"/>
                <w:sz w:val="21"/>
                <w:lang w:bidi="zh-CN"/>
              </w:rPr>
              <w:t>14.27</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F3FE4BE">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1370E95">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6F4F1666">
        <w:tblPrEx>
          <w:tblCellMar>
            <w:top w:w="0" w:type="dxa"/>
            <w:left w:w="0" w:type="dxa"/>
            <w:bottom w:w="0" w:type="dxa"/>
            <w:right w:w="0" w:type="dxa"/>
          </w:tblCellMar>
        </w:tblPrEx>
        <w:trPr>
          <w:trHeight w:val="56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09834F8">
            <w:pPr>
              <w:spacing w:line="240" w:lineRule="auto"/>
              <w:ind w:firstLine="0" w:firstLineChars="0"/>
              <w:jc w:val="center"/>
              <w:rPr>
                <w:rFonts w:eastAsia="仿宋" w:cs="Times New Roman"/>
                <w:sz w:val="21"/>
                <w:lang w:bidi="zh-CN"/>
              </w:rPr>
            </w:pPr>
            <w:r>
              <w:rPr>
                <w:rFonts w:hint="eastAsia" w:eastAsia="仿宋" w:cs="Times New Roman"/>
                <w:sz w:val="21"/>
                <w:lang w:bidi="zh-CN"/>
              </w:rPr>
              <w:t>6</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A34E3F6">
            <w:pPr>
              <w:spacing w:line="240" w:lineRule="auto"/>
              <w:ind w:firstLine="0" w:firstLineChars="0"/>
              <w:jc w:val="center"/>
              <w:rPr>
                <w:rFonts w:eastAsia="仿宋" w:cs="Times New Roman"/>
                <w:sz w:val="21"/>
                <w:lang w:bidi="zh-CN"/>
              </w:rPr>
            </w:pPr>
            <w:r>
              <w:rPr>
                <w:rFonts w:hint="eastAsia" w:eastAsia="仿宋" w:cs="Times New Roman"/>
                <w:sz w:val="21"/>
                <w:lang w:bidi="zh-CN"/>
              </w:rPr>
              <w:t>森林覆盖率（%）</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A1A345A">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A572E53">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D98E086">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CEA3B44">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0F0573A">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63C903D5">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81B2816">
            <w:pPr>
              <w:spacing w:line="240" w:lineRule="auto"/>
              <w:ind w:firstLine="0" w:firstLineChars="0"/>
              <w:jc w:val="center"/>
              <w:rPr>
                <w:rFonts w:eastAsia="仿宋" w:cs="Times New Roman"/>
                <w:sz w:val="21"/>
                <w:lang w:bidi="zh-CN"/>
              </w:rPr>
            </w:pPr>
            <w:r>
              <w:rPr>
                <w:rFonts w:hint="eastAsia" w:eastAsia="仿宋" w:cs="Times New Roman"/>
                <w:sz w:val="21"/>
                <w:lang w:bidi="zh-CN"/>
              </w:rPr>
              <w:t>7</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4DDB686">
            <w:pPr>
              <w:spacing w:line="240" w:lineRule="auto"/>
              <w:ind w:firstLine="0" w:firstLineChars="0"/>
              <w:jc w:val="center"/>
              <w:rPr>
                <w:rFonts w:eastAsia="仿宋" w:cs="Times New Roman"/>
                <w:sz w:val="21"/>
                <w:lang w:bidi="zh-CN"/>
              </w:rPr>
            </w:pPr>
            <w:r>
              <w:rPr>
                <w:rFonts w:hint="eastAsia" w:eastAsia="仿宋" w:cs="Times New Roman"/>
                <w:sz w:val="21"/>
                <w:lang w:bidi="zh-CN"/>
              </w:rPr>
              <w:t>草原综合植被盖度（%）</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8B0070C">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40B456D">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F736047">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8418366">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45AA06B">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32767FDB">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1A4EFDA">
            <w:pPr>
              <w:spacing w:line="240" w:lineRule="auto"/>
              <w:ind w:firstLine="0" w:firstLineChars="0"/>
              <w:jc w:val="center"/>
              <w:rPr>
                <w:rFonts w:eastAsia="仿宋" w:cs="Times New Roman"/>
                <w:sz w:val="21"/>
                <w:lang w:bidi="zh-CN"/>
              </w:rPr>
            </w:pPr>
            <w:r>
              <w:rPr>
                <w:rFonts w:hint="eastAsia" w:eastAsia="仿宋" w:cs="Times New Roman"/>
                <w:sz w:val="21"/>
                <w:lang w:bidi="zh-CN"/>
              </w:rPr>
              <w:t>8</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F924022">
            <w:pPr>
              <w:spacing w:line="240" w:lineRule="auto"/>
              <w:ind w:firstLine="0" w:firstLineChars="0"/>
              <w:jc w:val="center"/>
              <w:rPr>
                <w:rFonts w:eastAsia="仿宋" w:cs="Times New Roman"/>
                <w:sz w:val="21"/>
                <w:lang w:bidi="zh-CN"/>
              </w:rPr>
            </w:pPr>
            <w:r>
              <w:rPr>
                <w:rFonts w:hint="eastAsia" w:eastAsia="仿宋" w:cs="Times New Roman"/>
                <w:sz w:val="21"/>
                <w:lang w:bidi="zh-CN"/>
              </w:rPr>
              <w:t>湿地保护率（%）</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8B32C32">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CB35DD2">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8230B18">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36D6E56">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82EB22E">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2DB90213">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713B2D4">
            <w:pPr>
              <w:spacing w:line="240" w:lineRule="auto"/>
              <w:ind w:firstLine="0" w:firstLineChars="0"/>
              <w:jc w:val="center"/>
              <w:rPr>
                <w:rFonts w:eastAsia="仿宋" w:cs="Times New Roman"/>
                <w:sz w:val="21"/>
                <w:lang w:bidi="zh-CN"/>
              </w:rPr>
            </w:pPr>
            <w:r>
              <w:rPr>
                <w:rFonts w:hint="eastAsia" w:eastAsia="仿宋" w:cs="Times New Roman"/>
                <w:sz w:val="21"/>
                <w:lang w:bidi="zh-CN"/>
              </w:rPr>
              <w:t>9</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9C02052">
            <w:pPr>
              <w:spacing w:line="240" w:lineRule="auto"/>
              <w:ind w:firstLine="0" w:firstLineChars="0"/>
              <w:jc w:val="center"/>
              <w:rPr>
                <w:rFonts w:eastAsia="仿宋" w:cs="Times New Roman"/>
                <w:sz w:val="21"/>
                <w:lang w:bidi="zh-CN"/>
              </w:rPr>
            </w:pPr>
            <w:r>
              <w:rPr>
                <w:rFonts w:hint="eastAsia" w:eastAsia="仿宋" w:cs="Times New Roman"/>
                <w:sz w:val="21"/>
                <w:lang w:bidi="zh-CN"/>
              </w:rPr>
              <w:t>水域空间保有量（公顷）</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AA4B131">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B2EA8FA">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815422E">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298C3DE">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99ED75F">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72765398">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D914CF9">
            <w:pPr>
              <w:spacing w:line="240" w:lineRule="auto"/>
              <w:ind w:firstLine="0" w:firstLineChars="0"/>
              <w:jc w:val="center"/>
              <w:rPr>
                <w:rFonts w:eastAsia="仿宋" w:cs="Times New Roman"/>
                <w:sz w:val="21"/>
                <w:lang w:bidi="zh-CN"/>
              </w:rPr>
            </w:pPr>
            <w:r>
              <w:rPr>
                <w:rFonts w:hint="eastAsia" w:eastAsia="仿宋" w:cs="Times New Roman"/>
                <w:sz w:val="21"/>
                <w:lang w:bidi="zh-CN"/>
              </w:rPr>
              <w:t>10</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A42BD88">
            <w:pPr>
              <w:spacing w:line="240" w:lineRule="auto"/>
              <w:ind w:firstLine="0" w:firstLineChars="0"/>
              <w:jc w:val="center"/>
              <w:rPr>
                <w:rFonts w:eastAsia="仿宋" w:cs="Times New Roman"/>
                <w:sz w:val="21"/>
                <w:lang w:bidi="zh-CN"/>
              </w:rPr>
            </w:pPr>
            <w:r>
              <w:rPr>
                <w:rFonts w:hint="eastAsia" w:eastAsia="仿宋" w:cs="Times New Roman"/>
                <w:sz w:val="21"/>
                <w:lang w:bidi="zh-CN"/>
              </w:rPr>
              <w:t>用水总量（亿立方米）</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D6DD26A">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92DF556">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329D35D">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69E5893">
            <w:pPr>
              <w:spacing w:line="240" w:lineRule="auto"/>
              <w:ind w:firstLine="0" w:firstLineChars="0"/>
              <w:jc w:val="center"/>
              <w:rPr>
                <w:rFonts w:eastAsia="仿宋" w:cs="Times New Roman"/>
                <w:sz w:val="21"/>
                <w:lang w:bidi="zh-CN"/>
              </w:rPr>
            </w:pPr>
            <w:r>
              <w:rPr>
                <w:rFonts w:hint="eastAsia" w:eastAsia="仿宋" w:cs="Times New Roman"/>
                <w:sz w:val="21"/>
                <w:lang w:bidi="zh-CN"/>
              </w:rPr>
              <w:t>约束性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3B8C54F">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287E1041">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071DDA3">
            <w:pPr>
              <w:spacing w:line="240" w:lineRule="auto"/>
              <w:ind w:firstLine="0" w:firstLineChars="0"/>
              <w:jc w:val="center"/>
              <w:rPr>
                <w:rFonts w:eastAsia="仿宋" w:cs="Times New Roman"/>
                <w:sz w:val="21"/>
                <w:lang w:bidi="zh-CN"/>
              </w:rPr>
            </w:pPr>
            <w:r>
              <w:rPr>
                <w:rFonts w:hint="eastAsia" w:eastAsia="仿宋" w:cs="Times New Roman"/>
                <w:sz w:val="21"/>
                <w:lang w:bidi="zh-CN"/>
              </w:rPr>
              <w:t>11</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B5093F3">
            <w:pPr>
              <w:spacing w:line="240" w:lineRule="auto"/>
              <w:ind w:firstLine="0" w:firstLineChars="0"/>
              <w:jc w:val="center"/>
              <w:rPr>
                <w:rFonts w:eastAsia="仿宋" w:cs="Times New Roman"/>
                <w:sz w:val="21"/>
                <w:lang w:bidi="zh-CN"/>
              </w:rPr>
            </w:pPr>
            <w:r>
              <w:rPr>
                <w:rFonts w:hint="eastAsia" w:eastAsia="仿宋" w:cs="Times New Roman"/>
                <w:sz w:val="21"/>
                <w:lang w:bidi="zh-CN"/>
              </w:rPr>
              <w:t>城镇开发边界扩展倍数</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D48B409">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92F8055">
            <w:pPr>
              <w:spacing w:line="240" w:lineRule="auto"/>
              <w:ind w:firstLine="0" w:firstLineChars="0"/>
              <w:jc w:val="center"/>
              <w:rPr>
                <w:rFonts w:eastAsia="仿宋" w:cs="Times New Roman"/>
                <w:sz w:val="21"/>
                <w:lang w:bidi="zh-CN"/>
              </w:rPr>
            </w:pPr>
            <w:r>
              <w:rPr>
                <w:rFonts w:hint="eastAsia" w:eastAsia="仿宋" w:cs="Times New Roman"/>
                <w:sz w:val="21"/>
                <w:lang w:bidi="zh-CN"/>
              </w:rPr>
              <w:t>1.0</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E5B0628">
            <w:pPr>
              <w:spacing w:line="240" w:lineRule="auto"/>
              <w:ind w:firstLine="0" w:firstLineChars="0"/>
              <w:jc w:val="center"/>
              <w:rPr>
                <w:rFonts w:eastAsia="仿宋" w:cs="Times New Roman"/>
                <w:sz w:val="21"/>
                <w:lang w:bidi="zh-CN"/>
              </w:rPr>
            </w:pPr>
            <w:r>
              <w:rPr>
                <w:rFonts w:hint="eastAsia" w:eastAsia="仿宋" w:cs="Times New Roman"/>
                <w:sz w:val="21"/>
                <w:lang w:bidi="zh-CN"/>
              </w:rPr>
              <w:t>1.0</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5081F19">
            <w:pPr>
              <w:spacing w:line="240" w:lineRule="auto"/>
              <w:ind w:firstLine="0" w:firstLineChars="0"/>
              <w:jc w:val="center"/>
              <w:rPr>
                <w:rFonts w:eastAsia="仿宋" w:cs="Times New Roman"/>
                <w:sz w:val="21"/>
                <w:lang w:bidi="zh-CN"/>
              </w:rPr>
            </w:pPr>
            <w:r>
              <w:rPr>
                <w:rFonts w:hint="eastAsia" w:eastAsia="仿宋" w:cs="Times New Roman"/>
                <w:sz w:val="21"/>
                <w:lang w:bidi="zh-CN"/>
              </w:rPr>
              <w:t>约束性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39DD196">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186E9D62">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7426043">
            <w:pPr>
              <w:spacing w:line="240" w:lineRule="auto"/>
              <w:ind w:firstLine="0" w:firstLineChars="0"/>
              <w:jc w:val="center"/>
              <w:rPr>
                <w:rFonts w:eastAsia="仿宋" w:cs="Times New Roman"/>
                <w:sz w:val="21"/>
                <w:lang w:bidi="zh-CN"/>
              </w:rPr>
            </w:pPr>
            <w:r>
              <w:rPr>
                <w:rFonts w:hint="eastAsia" w:eastAsia="仿宋" w:cs="Times New Roman"/>
                <w:sz w:val="21"/>
                <w:lang w:bidi="zh-CN"/>
              </w:rPr>
              <w:t>12</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873AB3B">
            <w:pPr>
              <w:spacing w:line="240" w:lineRule="auto"/>
              <w:ind w:firstLine="0" w:firstLineChars="0"/>
              <w:jc w:val="center"/>
              <w:rPr>
                <w:rFonts w:eastAsia="仿宋" w:cs="Times New Roman"/>
                <w:sz w:val="21"/>
                <w:lang w:bidi="zh-CN"/>
              </w:rPr>
            </w:pPr>
            <w:r>
              <w:rPr>
                <w:rFonts w:hint="eastAsia" w:eastAsia="仿宋" w:cs="Times New Roman"/>
                <w:sz w:val="21"/>
                <w:lang w:bidi="zh-CN"/>
              </w:rPr>
              <w:t>城镇开发边界规模（公顷）</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87CB573">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349CD66">
            <w:pPr>
              <w:spacing w:line="240" w:lineRule="auto"/>
              <w:ind w:firstLine="0" w:firstLineChars="0"/>
              <w:jc w:val="center"/>
              <w:rPr>
                <w:rFonts w:eastAsia="仿宋" w:cs="Times New Roman"/>
                <w:sz w:val="21"/>
                <w:lang w:bidi="zh-CN"/>
              </w:rPr>
            </w:pPr>
            <w:r>
              <w:rPr>
                <w:rFonts w:hint="eastAsia" w:eastAsia="仿宋" w:cs="Times New Roman"/>
                <w:sz w:val="21"/>
                <w:lang w:bidi="zh-CN"/>
              </w:rPr>
              <w:t>53.15</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159ACFA">
            <w:pPr>
              <w:spacing w:line="240" w:lineRule="auto"/>
              <w:ind w:firstLine="0" w:firstLineChars="0"/>
              <w:jc w:val="center"/>
              <w:rPr>
                <w:rFonts w:eastAsia="仿宋" w:cs="Times New Roman"/>
                <w:sz w:val="21"/>
                <w:lang w:bidi="zh-CN"/>
              </w:rPr>
            </w:pPr>
            <w:r>
              <w:rPr>
                <w:rFonts w:hint="eastAsia" w:eastAsia="仿宋" w:cs="Times New Roman"/>
                <w:sz w:val="21"/>
                <w:lang w:bidi="zh-CN"/>
              </w:rPr>
              <w:t>53.15</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84DD460">
            <w:pPr>
              <w:spacing w:line="240" w:lineRule="auto"/>
              <w:ind w:firstLine="0" w:firstLineChars="0"/>
              <w:jc w:val="center"/>
              <w:rPr>
                <w:rFonts w:eastAsia="仿宋" w:cs="Times New Roman"/>
                <w:sz w:val="21"/>
                <w:lang w:bidi="zh-CN"/>
              </w:rPr>
            </w:pPr>
            <w:r>
              <w:rPr>
                <w:rFonts w:hint="eastAsia" w:eastAsia="仿宋" w:cs="Times New Roman"/>
                <w:sz w:val="21"/>
                <w:lang w:bidi="zh-CN"/>
              </w:rPr>
              <w:t>约束性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CD953BF">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4C700B52">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69867A8">
            <w:pPr>
              <w:spacing w:line="240" w:lineRule="auto"/>
              <w:ind w:firstLine="0" w:firstLineChars="0"/>
              <w:jc w:val="center"/>
              <w:rPr>
                <w:rFonts w:eastAsia="仿宋" w:cs="Times New Roman"/>
                <w:sz w:val="21"/>
                <w:lang w:bidi="zh-CN"/>
              </w:rPr>
            </w:pPr>
            <w:r>
              <w:rPr>
                <w:rFonts w:hint="eastAsia" w:eastAsia="仿宋" w:cs="Times New Roman"/>
                <w:sz w:val="21"/>
                <w:lang w:bidi="zh-CN"/>
              </w:rPr>
              <w:t>13</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FCD7490">
            <w:pPr>
              <w:spacing w:line="240" w:lineRule="auto"/>
              <w:ind w:firstLine="0" w:firstLineChars="0"/>
              <w:jc w:val="center"/>
              <w:rPr>
                <w:rFonts w:eastAsia="仿宋" w:cs="Times New Roman"/>
                <w:sz w:val="21"/>
                <w:lang w:bidi="zh-CN"/>
              </w:rPr>
            </w:pPr>
            <w:r>
              <w:rPr>
                <w:rFonts w:hint="eastAsia" w:eastAsia="仿宋" w:cs="Times New Roman"/>
                <w:sz w:val="21"/>
                <w:lang w:bidi="zh-CN"/>
              </w:rPr>
              <w:t>自然和文化遗产（处）</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7FDC508">
            <w:pPr>
              <w:spacing w:line="240" w:lineRule="auto"/>
              <w:ind w:firstLine="0" w:firstLineChars="0"/>
              <w:jc w:val="center"/>
              <w:rPr>
                <w:rFonts w:eastAsia="仿宋" w:cs="Times New Roman"/>
                <w:sz w:val="21"/>
                <w:lang w:bidi="zh-CN"/>
              </w:rPr>
            </w:pPr>
            <w:r>
              <w:rPr>
                <w:rFonts w:hint="eastAsia" w:eastAsia="仿宋" w:cs="Times New Roman"/>
                <w:sz w:val="21"/>
                <w:lang w:bidi="zh-CN"/>
              </w:rPr>
              <w:t>1</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D7C7C2E">
            <w:pPr>
              <w:spacing w:line="240" w:lineRule="auto"/>
              <w:ind w:firstLine="0" w:firstLineChars="0"/>
              <w:jc w:val="center"/>
              <w:rPr>
                <w:rFonts w:eastAsia="仿宋" w:cs="Times New Roman"/>
                <w:sz w:val="21"/>
                <w:lang w:bidi="zh-CN"/>
              </w:rPr>
            </w:pPr>
            <w:r>
              <w:rPr>
                <w:rFonts w:hint="eastAsia" w:eastAsia="仿宋" w:cs="Times New Roman"/>
                <w:sz w:val="21"/>
                <w:lang w:bidi="zh-CN"/>
              </w:rPr>
              <w:t>1</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BB4B400">
            <w:pPr>
              <w:spacing w:line="240" w:lineRule="auto"/>
              <w:ind w:firstLine="0" w:firstLineChars="0"/>
              <w:jc w:val="center"/>
              <w:rPr>
                <w:rFonts w:eastAsia="仿宋" w:cs="Times New Roman"/>
                <w:sz w:val="21"/>
                <w:lang w:bidi="zh-CN"/>
              </w:rPr>
            </w:pPr>
            <w:r>
              <w:rPr>
                <w:rFonts w:hint="eastAsia" w:eastAsia="仿宋" w:cs="Times New Roman"/>
                <w:sz w:val="21"/>
                <w:lang w:bidi="zh-CN"/>
              </w:rPr>
              <w:t>1</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E6A1BD1">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7BA2D7E">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21145AB4">
        <w:tblPrEx>
          <w:tblCellMar>
            <w:top w:w="0" w:type="dxa"/>
            <w:left w:w="0" w:type="dxa"/>
            <w:bottom w:w="0" w:type="dxa"/>
            <w:right w:w="0" w:type="dxa"/>
          </w:tblCellMar>
        </w:tblPrEx>
        <w:trPr>
          <w:trHeight w:val="38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16F2CBF">
            <w:pPr>
              <w:spacing w:line="240" w:lineRule="auto"/>
              <w:ind w:firstLine="0" w:firstLineChars="0"/>
              <w:jc w:val="center"/>
              <w:rPr>
                <w:rFonts w:eastAsia="仿宋" w:cs="Times New Roman"/>
                <w:sz w:val="21"/>
                <w:lang w:bidi="zh-CN"/>
              </w:rPr>
            </w:pPr>
            <w:r>
              <w:rPr>
                <w:rFonts w:hint="eastAsia" w:eastAsia="仿宋" w:cs="Times New Roman"/>
                <w:sz w:val="21"/>
                <w:lang w:bidi="zh-CN"/>
              </w:rPr>
              <w:t>二、结构效率</w:t>
            </w:r>
          </w:p>
        </w:tc>
      </w:tr>
      <w:tr w14:paraId="241D096F">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4E87187">
            <w:pPr>
              <w:spacing w:line="240" w:lineRule="auto"/>
              <w:ind w:firstLine="0" w:firstLineChars="0"/>
              <w:jc w:val="center"/>
              <w:rPr>
                <w:rFonts w:eastAsia="仿宋" w:cs="Times New Roman"/>
                <w:sz w:val="21"/>
                <w:lang w:bidi="zh-CN"/>
              </w:rPr>
            </w:pPr>
            <w:r>
              <w:rPr>
                <w:rFonts w:hint="eastAsia" w:eastAsia="仿宋" w:cs="Times New Roman"/>
                <w:sz w:val="21"/>
                <w:lang w:bidi="zh-CN"/>
              </w:rPr>
              <w:t>16</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45807A0">
            <w:pPr>
              <w:spacing w:line="240" w:lineRule="auto"/>
              <w:ind w:firstLine="0" w:firstLineChars="0"/>
              <w:jc w:val="center"/>
              <w:rPr>
                <w:rFonts w:eastAsia="仿宋" w:cs="Times New Roman"/>
                <w:sz w:val="21"/>
                <w:lang w:bidi="zh-CN"/>
              </w:rPr>
            </w:pPr>
            <w:r>
              <w:rPr>
                <w:rFonts w:hint="eastAsia" w:eastAsia="仿宋" w:cs="Times New Roman"/>
                <w:sz w:val="21"/>
                <w:lang w:bidi="zh-CN"/>
              </w:rPr>
              <w:t>常住人口规模（万人）</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0292A1A">
            <w:pPr>
              <w:spacing w:line="240" w:lineRule="auto"/>
              <w:ind w:firstLine="0" w:firstLineChars="0"/>
              <w:jc w:val="center"/>
              <w:rPr>
                <w:rFonts w:eastAsia="仿宋" w:cs="Times New Roman"/>
                <w:sz w:val="21"/>
                <w:lang w:bidi="zh-CN"/>
              </w:rPr>
            </w:pPr>
            <w:r>
              <w:rPr>
                <w:rFonts w:hint="eastAsia" w:eastAsia="仿宋" w:cs="Times New Roman"/>
                <w:sz w:val="21"/>
                <w:lang w:bidi="zh-CN"/>
              </w:rPr>
              <w:t>1.2</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64106A5">
            <w:pPr>
              <w:spacing w:line="240" w:lineRule="auto"/>
              <w:ind w:firstLine="0" w:firstLineChars="0"/>
              <w:jc w:val="center"/>
              <w:rPr>
                <w:rFonts w:eastAsia="仿宋" w:cs="Times New Roman"/>
                <w:sz w:val="21"/>
                <w:lang w:bidi="zh-CN"/>
              </w:rPr>
            </w:pPr>
            <w:r>
              <w:rPr>
                <w:rFonts w:hint="eastAsia" w:eastAsia="仿宋" w:cs="Times New Roman"/>
                <w:sz w:val="21"/>
                <w:lang w:bidi="zh-CN"/>
              </w:rPr>
              <w:t>1.1</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7A8A5FC">
            <w:pPr>
              <w:spacing w:line="240" w:lineRule="auto"/>
              <w:ind w:firstLine="0" w:firstLineChars="0"/>
              <w:jc w:val="center"/>
              <w:rPr>
                <w:rFonts w:eastAsia="仿宋" w:cs="Times New Roman"/>
                <w:sz w:val="21"/>
                <w:lang w:bidi="zh-CN"/>
              </w:rPr>
            </w:pPr>
            <w:r>
              <w:rPr>
                <w:rFonts w:hint="eastAsia" w:eastAsia="仿宋" w:cs="Times New Roman"/>
                <w:sz w:val="21"/>
                <w:lang w:bidi="zh-CN"/>
              </w:rPr>
              <w:t>1.1</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BF4774E">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C91E579">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1DD74005">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8FF9CD4">
            <w:pPr>
              <w:spacing w:line="240" w:lineRule="auto"/>
              <w:ind w:firstLine="0" w:firstLineChars="0"/>
              <w:jc w:val="center"/>
              <w:rPr>
                <w:rFonts w:eastAsia="仿宋" w:cs="Times New Roman"/>
                <w:sz w:val="21"/>
                <w:lang w:bidi="zh-CN"/>
              </w:rPr>
            </w:pPr>
            <w:r>
              <w:rPr>
                <w:rFonts w:hint="eastAsia" w:eastAsia="仿宋" w:cs="Times New Roman"/>
                <w:sz w:val="21"/>
                <w:lang w:bidi="zh-CN"/>
              </w:rPr>
              <w:t>17</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13018A7">
            <w:pPr>
              <w:spacing w:line="240" w:lineRule="auto"/>
              <w:ind w:firstLine="0" w:firstLineChars="0"/>
              <w:jc w:val="center"/>
              <w:rPr>
                <w:rFonts w:eastAsia="仿宋" w:cs="Times New Roman"/>
                <w:sz w:val="21"/>
                <w:lang w:bidi="zh-CN"/>
              </w:rPr>
            </w:pPr>
            <w:r>
              <w:rPr>
                <w:rFonts w:hint="eastAsia" w:eastAsia="仿宋" w:cs="Times New Roman"/>
                <w:sz w:val="21"/>
                <w:lang w:bidi="zh-CN"/>
              </w:rPr>
              <w:t>常住人口城镇化率（%）</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3D2E9BE1">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401EDF14">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7B60E205">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ECBDF43">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E40FA82">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101098CC">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5BFBDC8">
            <w:pPr>
              <w:spacing w:line="240" w:lineRule="auto"/>
              <w:ind w:firstLine="0" w:firstLineChars="0"/>
              <w:jc w:val="center"/>
              <w:rPr>
                <w:rFonts w:eastAsia="仿宋" w:cs="Times New Roman"/>
                <w:sz w:val="21"/>
                <w:lang w:bidi="zh-CN"/>
              </w:rPr>
            </w:pPr>
            <w:r>
              <w:rPr>
                <w:rFonts w:hint="eastAsia" w:eastAsia="仿宋" w:cs="Times New Roman"/>
                <w:sz w:val="21"/>
                <w:lang w:bidi="zh-CN"/>
              </w:rPr>
              <w:t>18</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7E083D1">
            <w:pPr>
              <w:spacing w:line="240" w:lineRule="auto"/>
              <w:ind w:firstLine="0" w:firstLineChars="0"/>
              <w:jc w:val="center"/>
              <w:rPr>
                <w:rFonts w:eastAsia="仿宋" w:cs="Times New Roman"/>
                <w:sz w:val="21"/>
                <w:lang w:bidi="zh-CN"/>
              </w:rPr>
            </w:pPr>
            <w:r>
              <w:rPr>
                <w:rFonts w:hint="eastAsia" w:eastAsia="仿宋" w:cs="Times New Roman"/>
                <w:sz w:val="21"/>
                <w:lang w:bidi="zh-CN"/>
              </w:rPr>
              <w:t>人均城镇建设用地面积（平方米）</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4B2D9A74">
            <w:pPr>
              <w:spacing w:line="240" w:lineRule="auto"/>
              <w:ind w:firstLine="0" w:firstLineChars="0"/>
              <w:jc w:val="center"/>
              <w:rPr>
                <w:rFonts w:eastAsia="仿宋" w:cs="Times New Roman"/>
                <w:sz w:val="21"/>
                <w:lang w:bidi="zh-CN"/>
              </w:rPr>
            </w:pPr>
            <w:r>
              <w:rPr>
                <w:rFonts w:hint="eastAsia" w:eastAsia="仿宋" w:cs="Times New Roman"/>
                <w:sz w:val="21"/>
                <w:lang w:bidi="zh-CN"/>
              </w:rPr>
              <w:t>60</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2F8B3074">
            <w:pPr>
              <w:spacing w:line="240" w:lineRule="auto"/>
              <w:ind w:firstLine="0" w:firstLineChars="0"/>
              <w:jc w:val="center"/>
              <w:rPr>
                <w:rFonts w:eastAsia="仿宋" w:cs="Times New Roman"/>
                <w:sz w:val="21"/>
                <w:lang w:bidi="zh-CN"/>
              </w:rPr>
            </w:pPr>
            <w:r>
              <w:rPr>
                <w:rFonts w:hint="eastAsia" w:eastAsia="仿宋" w:cs="Times New Roman"/>
                <w:sz w:val="21"/>
                <w:lang w:bidi="zh-CN"/>
              </w:rPr>
              <w:t>≤75</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9CEA397">
            <w:pPr>
              <w:spacing w:line="240" w:lineRule="auto"/>
              <w:ind w:firstLine="0" w:firstLineChars="0"/>
              <w:jc w:val="center"/>
              <w:rPr>
                <w:rFonts w:eastAsia="仿宋" w:cs="Times New Roman"/>
                <w:sz w:val="21"/>
                <w:lang w:bidi="zh-CN"/>
              </w:rPr>
            </w:pPr>
            <w:r>
              <w:rPr>
                <w:rFonts w:hint="eastAsia" w:eastAsia="仿宋" w:cs="Times New Roman"/>
                <w:sz w:val="21"/>
                <w:lang w:bidi="zh-CN"/>
              </w:rPr>
              <w:t>≤150</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7669C57">
            <w:pPr>
              <w:spacing w:line="240" w:lineRule="auto"/>
              <w:ind w:firstLine="0" w:firstLineChars="0"/>
              <w:jc w:val="center"/>
              <w:rPr>
                <w:rFonts w:eastAsia="仿宋" w:cs="Times New Roman"/>
                <w:sz w:val="21"/>
                <w:lang w:bidi="zh-CN"/>
              </w:rPr>
            </w:pPr>
            <w:r>
              <w:rPr>
                <w:rFonts w:hint="eastAsia" w:eastAsia="仿宋" w:cs="Times New Roman"/>
                <w:sz w:val="21"/>
                <w:lang w:bidi="zh-CN"/>
              </w:rPr>
              <w:t>约束性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6889032">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4BF4178F">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7C27A49">
            <w:pPr>
              <w:spacing w:line="240" w:lineRule="auto"/>
              <w:ind w:firstLine="0" w:firstLineChars="0"/>
              <w:jc w:val="center"/>
              <w:rPr>
                <w:rFonts w:eastAsia="仿宋" w:cs="Times New Roman"/>
                <w:sz w:val="21"/>
                <w:lang w:bidi="zh-CN"/>
              </w:rPr>
            </w:pPr>
            <w:r>
              <w:rPr>
                <w:rFonts w:hint="eastAsia" w:eastAsia="仿宋" w:cs="Times New Roman"/>
                <w:sz w:val="21"/>
                <w:lang w:bidi="zh-CN"/>
              </w:rPr>
              <w:t>19</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ADA3ADB">
            <w:pPr>
              <w:spacing w:line="240" w:lineRule="auto"/>
              <w:ind w:firstLine="0" w:firstLineChars="0"/>
              <w:jc w:val="center"/>
              <w:rPr>
                <w:rFonts w:eastAsia="仿宋" w:cs="Times New Roman"/>
                <w:sz w:val="21"/>
                <w:lang w:bidi="zh-CN"/>
              </w:rPr>
            </w:pPr>
            <w:r>
              <w:rPr>
                <w:rFonts w:hint="eastAsia" w:eastAsia="仿宋" w:cs="Times New Roman"/>
                <w:sz w:val="21"/>
                <w:lang w:bidi="zh-CN"/>
              </w:rPr>
              <w:t>人均应急避难场所面积（平方米）</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1110B276">
            <w:pPr>
              <w:spacing w:line="240" w:lineRule="auto"/>
              <w:ind w:firstLine="0" w:firstLineChars="0"/>
              <w:jc w:val="center"/>
              <w:rPr>
                <w:rFonts w:eastAsia="仿宋" w:cs="Times New Roman"/>
                <w:sz w:val="21"/>
                <w:lang w:bidi="zh-CN"/>
              </w:rPr>
            </w:pPr>
            <w:r>
              <w:rPr>
                <w:rFonts w:hint="eastAsia" w:eastAsia="仿宋" w:cs="Times New Roman"/>
                <w:sz w:val="21"/>
                <w:lang w:bidi="zh-CN"/>
              </w:rPr>
              <w:t>0.49</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489B169C">
            <w:pPr>
              <w:spacing w:line="240" w:lineRule="auto"/>
              <w:ind w:firstLine="0" w:firstLineChars="0"/>
              <w:jc w:val="center"/>
              <w:rPr>
                <w:rFonts w:eastAsia="仿宋" w:cs="Times New Roman"/>
                <w:sz w:val="21"/>
                <w:lang w:bidi="zh-CN"/>
              </w:rPr>
            </w:pPr>
            <w:r>
              <w:rPr>
                <w:rFonts w:hint="eastAsia" w:eastAsia="仿宋" w:cs="Times New Roman"/>
                <w:sz w:val="21"/>
                <w:lang w:bidi="zh-CN"/>
              </w:rPr>
              <w:t>≥1.5</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0BF2BED">
            <w:pPr>
              <w:spacing w:line="240" w:lineRule="auto"/>
              <w:ind w:firstLine="0" w:firstLineChars="0"/>
              <w:jc w:val="center"/>
              <w:rPr>
                <w:rFonts w:eastAsia="仿宋" w:cs="Times New Roman"/>
                <w:sz w:val="21"/>
                <w:lang w:bidi="zh-CN"/>
              </w:rPr>
            </w:pPr>
            <w:r>
              <w:rPr>
                <w:rFonts w:hint="eastAsia" w:eastAsia="仿宋" w:cs="Times New Roman"/>
                <w:sz w:val="21"/>
                <w:lang w:bidi="zh-CN"/>
              </w:rPr>
              <w:t>≥1.5</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104E0FD">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3382519">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45A3CE61">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E389CF1">
            <w:pPr>
              <w:spacing w:line="240" w:lineRule="auto"/>
              <w:ind w:firstLine="0" w:firstLineChars="0"/>
              <w:jc w:val="center"/>
              <w:rPr>
                <w:rFonts w:eastAsia="仿宋" w:cs="Times New Roman"/>
                <w:sz w:val="21"/>
                <w:lang w:bidi="zh-CN"/>
              </w:rPr>
            </w:pPr>
            <w:r>
              <w:rPr>
                <w:rFonts w:hint="eastAsia" w:eastAsia="仿宋" w:cs="Times New Roman"/>
                <w:sz w:val="21"/>
                <w:lang w:bidi="zh-CN"/>
              </w:rPr>
              <w:t>20</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CE9BB25">
            <w:pPr>
              <w:spacing w:line="240" w:lineRule="auto"/>
              <w:ind w:firstLine="0" w:firstLineChars="0"/>
              <w:jc w:val="center"/>
              <w:rPr>
                <w:rFonts w:eastAsia="仿宋" w:cs="Times New Roman"/>
                <w:sz w:val="21"/>
                <w:lang w:bidi="zh-CN"/>
              </w:rPr>
            </w:pPr>
            <w:r>
              <w:rPr>
                <w:rFonts w:hint="eastAsia" w:eastAsia="仿宋" w:cs="Times New Roman"/>
                <w:sz w:val="21"/>
                <w:lang w:bidi="zh-CN"/>
              </w:rPr>
              <w:t>道路网密度（公里/平方公里）</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7DBD3C00">
            <w:pPr>
              <w:spacing w:line="240" w:lineRule="auto"/>
              <w:ind w:firstLine="0" w:firstLineChars="0"/>
              <w:jc w:val="center"/>
              <w:rPr>
                <w:rFonts w:eastAsia="仿宋" w:cs="Times New Roman"/>
                <w:sz w:val="21"/>
                <w:lang w:bidi="zh-CN"/>
              </w:rPr>
            </w:pPr>
            <w:r>
              <w:rPr>
                <w:rFonts w:hint="eastAsia" w:eastAsia="仿宋" w:cs="Times New Roman"/>
                <w:sz w:val="21"/>
                <w:lang w:bidi="zh-CN"/>
              </w:rPr>
              <w:t>3.97</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5FB3C9BA">
            <w:pPr>
              <w:spacing w:line="240" w:lineRule="auto"/>
              <w:ind w:firstLine="0" w:firstLineChars="0"/>
              <w:jc w:val="center"/>
              <w:rPr>
                <w:rFonts w:eastAsia="仿宋" w:cs="Times New Roman"/>
                <w:sz w:val="21"/>
                <w:lang w:bidi="zh-CN"/>
              </w:rPr>
            </w:pPr>
            <w:r>
              <w:rPr>
                <w:rFonts w:hint="eastAsia" w:eastAsia="仿宋" w:cs="Times New Roman"/>
                <w:sz w:val="21"/>
                <w:lang w:bidi="zh-CN"/>
              </w:rPr>
              <w:t>≥6</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F4EDCFC">
            <w:pPr>
              <w:spacing w:line="240" w:lineRule="auto"/>
              <w:ind w:firstLine="0" w:firstLineChars="0"/>
              <w:jc w:val="center"/>
              <w:rPr>
                <w:rFonts w:eastAsia="仿宋" w:cs="Times New Roman"/>
                <w:sz w:val="21"/>
                <w:lang w:bidi="zh-CN"/>
              </w:rPr>
            </w:pPr>
            <w:r>
              <w:rPr>
                <w:rFonts w:hint="eastAsia" w:eastAsia="仿宋" w:cs="Times New Roman"/>
                <w:sz w:val="21"/>
                <w:lang w:bidi="zh-CN"/>
              </w:rPr>
              <w:t>≥7</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F805F0D">
            <w:pPr>
              <w:spacing w:line="240" w:lineRule="auto"/>
              <w:ind w:firstLine="0" w:firstLineChars="0"/>
              <w:jc w:val="center"/>
              <w:rPr>
                <w:rFonts w:eastAsia="仿宋" w:cs="Times New Roman"/>
                <w:sz w:val="21"/>
                <w:lang w:bidi="zh-CN"/>
              </w:rPr>
            </w:pPr>
            <w:r>
              <w:rPr>
                <w:rFonts w:hint="eastAsia" w:eastAsia="仿宋" w:cs="Times New Roman"/>
                <w:sz w:val="21"/>
                <w:lang w:bidi="zh-CN"/>
              </w:rPr>
              <w:t>约束性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ACB55B4">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5E392D0C">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8313FF9">
            <w:pPr>
              <w:spacing w:line="240" w:lineRule="auto"/>
              <w:ind w:firstLine="0" w:firstLineChars="0"/>
              <w:jc w:val="center"/>
              <w:rPr>
                <w:rFonts w:eastAsia="仿宋" w:cs="Times New Roman"/>
                <w:sz w:val="21"/>
                <w:lang w:bidi="zh-CN"/>
              </w:rPr>
            </w:pPr>
            <w:r>
              <w:rPr>
                <w:rFonts w:hint="eastAsia" w:eastAsia="仿宋" w:cs="Times New Roman"/>
                <w:sz w:val="21"/>
                <w:lang w:bidi="zh-CN"/>
              </w:rPr>
              <w:t>21</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46FFA0A">
            <w:pPr>
              <w:spacing w:line="240" w:lineRule="auto"/>
              <w:ind w:firstLine="0" w:firstLineChars="0"/>
              <w:jc w:val="center"/>
              <w:rPr>
                <w:rFonts w:eastAsia="仿宋" w:cs="Times New Roman"/>
                <w:sz w:val="21"/>
                <w:lang w:bidi="zh-CN"/>
              </w:rPr>
            </w:pPr>
            <w:r>
              <w:rPr>
                <w:rFonts w:hint="eastAsia" w:eastAsia="仿宋" w:cs="Times New Roman"/>
                <w:sz w:val="21"/>
                <w:lang w:bidi="zh-CN"/>
              </w:rPr>
              <w:t>每万元地区生产总值用水下降（%）</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6D82F84">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EA3CBA6">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CC859F9">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D3087E9">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9DAE968">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16FA3370">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281FF59">
            <w:pPr>
              <w:spacing w:line="240" w:lineRule="auto"/>
              <w:ind w:firstLine="0" w:firstLineChars="0"/>
              <w:jc w:val="center"/>
              <w:rPr>
                <w:rFonts w:eastAsia="仿宋" w:cs="Times New Roman"/>
                <w:sz w:val="21"/>
                <w:lang w:bidi="zh-CN"/>
              </w:rPr>
            </w:pPr>
            <w:r>
              <w:rPr>
                <w:rFonts w:hint="eastAsia" w:eastAsia="仿宋" w:cs="Times New Roman"/>
                <w:sz w:val="21"/>
                <w:lang w:bidi="zh-CN"/>
              </w:rPr>
              <w:t>22</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02DD8F0">
            <w:pPr>
              <w:spacing w:line="240" w:lineRule="auto"/>
              <w:ind w:firstLine="0" w:firstLineChars="0"/>
              <w:jc w:val="center"/>
              <w:rPr>
                <w:rFonts w:eastAsia="仿宋" w:cs="Times New Roman"/>
                <w:sz w:val="21"/>
                <w:lang w:bidi="zh-CN"/>
              </w:rPr>
            </w:pPr>
            <w:r>
              <w:rPr>
                <w:rFonts w:hint="eastAsia" w:eastAsia="仿宋" w:cs="Times New Roman"/>
                <w:sz w:val="21"/>
                <w:lang w:bidi="zh-CN"/>
              </w:rPr>
              <w:t>单位地区生产总值建设用地使用面积下降（%）</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9E866B2">
            <w:pPr>
              <w:spacing w:line="240" w:lineRule="auto"/>
              <w:ind w:firstLine="0" w:firstLineChars="0"/>
              <w:jc w:val="center"/>
              <w:rPr>
                <w:rFonts w:eastAsia="仿宋" w:cs="Times New Roman"/>
                <w:sz w:val="21"/>
                <w:lang w:bidi="zh-CN"/>
              </w:rPr>
            </w:pPr>
            <w:r>
              <w:rPr>
                <w:rFonts w:hint="eastAsia" w:eastAsia="仿宋" w:cs="Times New Roman"/>
                <w:sz w:val="21"/>
                <w:lang w:bidi="zh-CN"/>
              </w:rPr>
              <w:t>—</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3B8B000">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F44DB13">
            <w:pPr>
              <w:spacing w:line="240" w:lineRule="auto"/>
              <w:ind w:firstLine="0" w:firstLineChars="0"/>
              <w:jc w:val="center"/>
              <w:rPr>
                <w:rFonts w:eastAsia="仿宋" w:cs="Times New Roman"/>
                <w:sz w:val="21"/>
                <w:lang w:bidi="zh-CN"/>
              </w:rPr>
            </w:pPr>
            <w:r>
              <w:rPr>
                <w:rFonts w:hint="eastAsia" w:eastAsia="仿宋" w:cs="Times New Roman"/>
                <w:sz w:val="21"/>
                <w:lang w:bidi="zh-CN"/>
              </w:rPr>
              <w:t>依据上级下达任务确定</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F953109">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986E48A">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2746D188">
        <w:tblPrEx>
          <w:tblCellMar>
            <w:top w:w="0" w:type="dxa"/>
            <w:left w:w="0" w:type="dxa"/>
            <w:bottom w:w="0" w:type="dxa"/>
            <w:right w:w="0" w:type="dxa"/>
          </w:tblCellMar>
        </w:tblPrEx>
        <w:trPr>
          <w:trHeight w:val="380" w:hRule="atLeast"/>
        </w:trPr>
        <w:tc>
          <w:tcPr>
            <w:tcW w:w="5000" w:type="pct"/>
            <w:gridSpan w:val="9"/>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7941719">
            <w:pPr>
              <w:spacing w:line="240" w:lineRule="auto"/>
              <w:ind w:firstLine="0" w:firstLineChars="0"/>
              <w:jc w:val="center"/>
              <w:rPr>
                <w:rFonts w:eastAsia="仿宋" w:cs="Times New Roman"/>
                <w:sz w:val="21"/>
                <w:lang w:bidi="zh-CN"/>
              </w:rPr>
            </w:pPr>
            <w:r>
              <w:rPr>
                <w:rFonts w:hint="eastAsia" w:eastAsia="仿宋" w:cs="Times New Roman"/>
                <w:sz w:val="21"/>
                <w:lang w:bidi="zh-CN"/>
              </w:rPr>
              <w:t>三、空间品质</w:t>
            </w:r>
          </w:p>
        </w:tc>
      </w:tr>
      <w:tr w14:paraId="38961E03">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2E111C4">
            <w:pPr>
              <w:spacing w:line="240" w:lineRule="auto"/>
              <w:ind w:firstLine="0" w:firstLineChars="0"/>
              <w:jc w:val="center"/>
              <w:rPr>
                <w:rFonts w:eastAsia="仿宋" w:cs="Times New Roman"/>
                <w:sz w:val="21"/>
                <w:lang w:bidi="zh-CN"/>
              </w:rPr>
            </w:pPr>
            <w:r>
              <w:rPr>
                <w:rFonts w:hint="eastAsia" w:eastAsia="仿宋" w:cs="Times New Roman"/>
                <w:sz w:val="21"/>
                <w:lang w:bidi="zh-CN"/>
              </w:rPr>
              <w:t>23</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F73715B">
            <w:pPr>
              <w:spacing w:line="240" w:lineRule="auto"/>
              <w:ind w:firstLine="0" w:firstLineChars="0"/>
              <w:jc w:val="center"/>
              <w:rPr>
                <w:rFonts w:eastAsia="仿宋" w:cs="Times New Roman"/>
                <w:sz w:val="21"/>
                <w:lang w:bidi="zh-CN"/>
              </w:rPr>
            </w:pPr>
            <w:r>
              <w:rPr>
                <w:rFonts w:hint="eastAsia" w:eastAsia="仿宋" w:cs="Times New Roman"/>
                <w:sz w:val="21"/>
                <w:lang w:bidi="zh-CN"/>
              </w:rPr>
              <w:t>公园绿地、广场步行5分钟覆盖率（%）</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3AD09224">
            <w:pPr>
              <w:spacing w:line="240" w:lineRule="auto"/>
              <w:ind w:firstLine="0" w:firstLineChars="0"/>
              <w:jc w:val="center"/>
              <w:rPr>
                <w:rFonts w:eastAsia="仿宋" w:cs="Times New Roman"/>
                <w:sz w:val="21"/>
                <w:lang w:bidi="zh-CN"/>
              </w:rPr>
            </w:pPr>
            <w:r>
              <w:rPr>
                <w:rFonts w:hint="eastAsia" w:eastAsia="仿宋" w:cs="Times New Roman"/>
                <w:sz w:val="21"/>
                <w:lang w:bidi="zh-CN"/>
              </w:rPr>
              <w:t>32.64</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6E834013">
            <w:pPr>
              <w:spacing w:line="240" w:lineRule="auto"/>
              <w:ind w:firstLine="0" w:firstLineChars="0"/>
              <w:jc w:val="center"/>
              <w:rPr>
                <w:rFonts w:eastAsia="仿宋" w:cs="Times New Roman"/>
                <w:sz w:val="21"/>
                <w:lang w:bidi="zh-CN"/>
              </w:rPr>
            </w:pPr>
            <w:r>
              <w:rPr>
                <w:rFonts w:hint="eastAsia" w:eastAsia="仿宋" w:cs="Times New Roman"/>
                <w:sz w:val="21"/>
                <w:lang w:bidi="zh-CN"/>
              </w:rPr>
              <w:t>≥45</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3C3E004E">
            <w:pPr>
              <w:spacing w:line="240" w:lineRule="auto"/>
              <w:ind w:firstLine="0" w:firstLineChars="0"/>
              <w:jc w:val="center"/>
              <w:rPr>
                <w:rFonts w:eastAsia="仿宋" w:cs="Times New Roman"/>
                <w:sz w:val="21"/>
                <w:lang w:bidi="zh-CN"/>
              </w:rPr>
            </w:pPr>
            <w:r>
              <w:rPr>
                <w:rFonts w:hint="eastAsia" w:eastAsia="仿宋" w:cs="Times New Roman"/>
                <w:sz w:val="21"/>
                <w:lang w:bidi="zh-CN"/>
              </w:rPr>
              <w:t>≥75</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19E7D4A">
            <w:pPr>
              <w:spacing w:line="240" w:lineRule="auto"/>
              <w:ind w:firstLine="0" w:firstLineChars="0"/>
              <w:jc w:val="center"/>
              <w:rPr>
                <w:rFonts w:eastAsia="仿宋" w:cs="Times New Roman"/>
                <w:sz w:val="21"/>
                <w:lang w:bidi="zh-CN"/>
              </w:rPr>
            </w:pPr>
            <w:r>
              <w:rPr>
                <w:rFonts w:hint="eastAsia" w:eastAsia="仿宋" w:cs="Times New Roman"/>
                <w:sz w:val="21"/>
                <w:lang w:bidi="zh-CN"/>
              </w:rPr>
              <w:t>约束性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8394844">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6AA6E5E6">
        <w:tblPrEx>
          <w:tblCellMar>
            <w:top w:w="0" w:type="dxa"/>
            <w:left w:w="0" w:type="dxa"/>
            <w:bottom w:w="0" w:type="dxa"/>
            <w:right w:w="0" w:type="dxa"/>
          </w:tblCellMar>
        </w:tblPrEx>
        <w:trPr>
          <w:trHeight w:val="380" w:hRule="atLeast"/>
        </w:trPr>
        <w:tc>
          <w:tcPr>
            <w:tcW w:w="309" w:type="pct"/>
            <w:vMerge w:val="restar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20A339A">
            <w:pPr>
              <w:spacing w:line="240" w:lineRule="auto"/>
              <w:ind w:firstLine="0" w:firstLineChars="0"/>
              <w:jc w:val="center"/>
              <w:rPr>
                <w:rFonts w:eastAsia="仿宋" w:cs="Times New Roman"/>
                <w:sz w:val="21"/>
                <w:lang w:bidi="zh-CN"/>
              </w:rPr>
            </w:pPr>
            <w:r>
              <w:rPr>
                <w:rFonts w:hint="eastAsia" w:eastAsia="仿宋" w:cs="Times New Roman"/>
                <w:sz w:val="21"/>
                <w:lang w:bidi="zh-CN"/>
              </w:rPr>
              <w:t>24</w:t>
            </w:r>
          </w:p>
          <w:p w14:paraId="0C6A84F9">
            <w:pPr>
              <w:spacing w:line="240" w:lineRule="auto"/>
              <w:ind w:firstLine="0" w:firstLineChars="0"/>
              <w:jc w:val="center"/>
              <w:rPr>
                <w:rFonts w:eastAsia="仿宋" w:cs="Times New Roman"/>
                <w:sz w:val="21"/>
                <w:lang w:bidi="zh-CN"/>
              </w:rPr>
            </w:pPr>
            <w:r>
              <w:rPr>
                <w:rFonts w:hint="eastAsia" w:eastAsia="仿宋" w:cs="Times New Roman"/>
                <w:sz w:val="21"/>
                <w:lang w:bidi="zh-CN"/>
              </w:rPr>
              <w:t> </w:t>
            </w:r>
          </w:p>
        </w:tc>
        <w:tc>
          <w:tcPr>
            <w:tcW w:w="558" w:type="pct"/>
            <w:gridSpan w:val="2"/>
            <w:vMerge w:val="restar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D7BF8D4">
            <w:pPr>
              <w:spacing w:line="240" w:lineRule="auto"/>
              <w:ind w:firstLine="0" w:firstLineChars="0"/>
              <w:jc w:val="center"/>
              <w:rPr>
                <w:rFonts w:eastAsia="仿宋" w:cs="Times New Roman"/>
                <w:sz w:val="21"/>
                <w:lang w:bidi="zh-CN"/>
              </w:rPr>
            </w:pPr>
            <w:r>
              <w:rPr>
                <w:rFonts w:hint="eastAsia" w:eastAsia="仿宋" w:cs="Times New Roman"/>
                <w:sz w:val="21"/>
                <w:lang w:bidi="zh-CN"/>
              </w:rPr>
              <w:t>卫生、养老、教育、文化、体育等社区公共服务设施步行15分钟覆盖率（%）</w:t>
            </w:r>
          </w:p>
        </w:tc>
        <w:tc>
          <w:tcPr>
            <w:tcW w:w="133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805DBF2">
            <w:pPr>
              <w:spacing w:line="240" w:lineRule="auto"/>
              <w:ind w:firstLine="0" w:firstLineChars="0"/>
              <w:jc w:val="center"/>
              <w:rPr>
                <w:rFonts w:eastAsia="仿宋" w:cs="Times New Roman"/>
                <w:sz w:val="21"/>
                <w:lang w:bidi="zh-CN"/>
              </w:rPr>
            </w:pPr>
            <w:r>
              <w:rPr>
                <w:rFonts w:hint="eastAsia" w:eastAsia="仿宋" w:cs="Times New Roman"/>
                <w:sz w:val="21"/>
                <w:lang w:bidi="zh-CN"/>
              </w:rPr>
              <w:t>社区卫生服务设施步行15分钟覆盖率（%）</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23D3A15E">
            <w:pPr>
              <w:spacing w:line="240" w:lineRule="auto"/>
              <w:ind w:firstLine="0" w:firstLineChars="0"/>
              <w:jc w:val="center"/>
              <w:rPr>
                <w:rFonts w:eastAsia="仿宋" w:cs="Times New Roman"/>
                <w:sz w:val="21"/>
                <w:lang w:bidi="zh-CN"/>
              </w:rPr>
            </w:pPr>
            <w:r>
              <w:rPr>
                <w:rFonts w:hint="eastAsia" w:eastAsia="仿宋" w:cs="Times New Roman"/>
                <w:sz w:val="21"/>
                <w:lang w:bidi="zh-CN"/>
              </w:rPr>
              <w:t>46.53</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8E24D72">
            <w:pPr>
              <w:spacing w:line="240" w:lineRule="auto"/>
              <w:ind w:firstLine="0" w:firstLineChars="0"/>
              <w:jc w:val="center"/>
              <w:rPr>
                <w:rFonts w:eastAsia="仿宋" w:cs="Times New Roman"/>
                <w:sz w:val="21"/>
                <w:lang w:bidi="zh-CN"/>
              </w:rPr>
            </w:pPr>
            <w:r>
              <w:rPr>
                <w:rFonts w:hint="eastAsia" w:eastAsia="仿宋" w:cs="Times New Roman"/>
                <w:sz w:val="21"/>
                <w:lang w:bidi="zh-CN"/>
              </w:rPr>
              <w:t>≥55</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6CC1CE07">
            <w:pPr>
              <w:spacing w:line="240" w:lineRule="auto"/>
              <w:ind w:firstLine="0" w:firstLineChars="0"/>
              <w:jc w:val="center"/>
              <w:rPr>
                <w:rFonts w:eastAsia="仿宋" w:cs="Times New Roman"/>
                <w:sz w:val="21"/>
                <w:lang w:bidi="zh-CN"/>
              </w:rPr>
            </w:pPr>
            <w:r>
              <w:rPr>
                <w:rFonts w:hint="eastAsia" w:eastAsia="仿宋" w:cs="Times New Roman"/>
                <w:sz w:val="21"/>
                <w:lang w:bidi="zh-CN"/>
              </w:rPr>
              <w:t>≥70</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209C48C">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BC61F2E">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5A931319">
        <w:tblPrEx>
          <w:tblCellMar>
            <w:top w:w="0" w:type="dxa"/>
            <w:left w:w="0" w:type="dxa"/>
            <w:bottom w:w="0" w:type="dxa"/>
            <w:right w:w="0" w:type="dxa"/>
          </w:tblCellMar>
        </w:tblPrEx>
        <w:trPr>
          <w:trHeight w:val="38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FCE9F9E">
            <w:pPr>
              <w:spacing w:line="240" w:lineRule="auto"/>
              <w:ind w:firstLine="0" w:firstLineChars="0"/>
              <w:jc w:val="center"/>
              <w:rPr>
                <w:rFonts w:eastAsia="仿宋" w:cs="Times New Roman"/>
                <w:sz w:val="21"/>
                <w:lang w:bidi="zh-CN"/>
              </w:rPr>
            </w:pPr>
          </w:p>
        </w:tc>
        <w:tc>
          <w:tcPr>
            <w:tcW w:w="55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4CE3BED">
            <w:pPr>
              <w:spacing w:line="240" w:lineRule="auto"/>
              <w:ind w:firstLine="0" w:firstLineChars="0"/>
              <w:jc w:val="center"/>
              <w:rPr>
                <w:rFonts w:eastAsia="仿宋" w:cs="Times New Roman"/>
                <w:sz w:val="21"/>
                <w:lang w:bidi="zh-CN"/>
              </w:rPr>
            </w:pPr>
          </w:p>
        </w:tc>
        <w:tc>
          <w:tcPr>
            <w:tcW w:w="133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6DDD089">
            <w:pPr>
              <w:spacing w:line="240" w:lineRule="auto"/>
              <w:ind w:firstLine="0" w:firstLineChars="0"/>
              <w:jc w:val="center"/>
              <w:rPr>
                <w:rFonts w:eastAsia="仿宋" w:cs="Times New Roman"/>
                <w:sz w:val="21"/>
                <w:lang w:bidi="zh-CN"/>
              </w:rPr>
            </w:pPr>
            <w:r>
              <w:rPr>
                <w:rFonts w:hint="eastAsia" w:eastAsia="仿宋" w:cs="Times New Roman"/>
                <w:sz w:val="21"/>
                <w:lang w:bidi="zh-CN"/>
              </w:rPr>
              <w:t>社区养老设施步行15分钟覆盖率（%）</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695DEA8">
            <w:pPr>
              <w:spacing w:line="240" w:lineRule="auto"/>
              <w:ind w:firstLine="0" w:firstLineChars="0"/>
              <w:jc w:val="center"/>
              <w:rPr>
                <w:rFonts w:eastAsia="仿宋" w:cs="Times New Roman"/>
                <w:sz w:val="21"/>
                <w:lang w:bidi="zh-CN"/>
              </w:rPr>
            </w:pPr>
            <w:r>
              <w:rPr>
                <w:rFonts w:hint="eastAsia" w:eastAsia="仿宋" w:cs="Times New Roman"/>
                <w:sz w:val="21"/>
                <w:lang w:bidi="zh-CN"/>
              </w:rPr>
              <w:t>39</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3E8B8010">
            <w:pPr>
              <w:spacing w:line="240" w:lineRule="auto"/>
              <w:ind w:firstLine="0" w:firstLineChars="0"/>
              <w:jc w:val="center"/>
              <w:rPr>
                <w:rFonts w:eastAsia="仿宋" w:cs="Times New Roman"/>
                <w:sz w:val="21"/>
                <w:lang w:bidi="zh-CN"/>
              </w:rPr>
            </w:pPr>
            <w:r>
              <w:rPr>
                <w:rFonts w:hint="eastAsia" w:eastAsia="仿宋" w:cs="Times New Roman"/>
                <w:sz w:val="21"/>
                <w:lang w:bidi="zh-CN"/>
              </w:rPr>
              <w:t>≥38</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8BCC606">
            <w:pPr>
              <w:spacing w:line="240" w:lineRule="auto"/>
              <w:ind w:firstLine="0" w:firstLineChars="0"/>
              <w:jc w:val="center"/>
              <w:rPr>
                <w:rFonts w:eastAsia="仿宋" w:cs="Times New Roman"/>
                <w:sz w:val="21"/>
                <w:lang w:bidi="zh-CN"/>
              </w:rPr>
            </w:pPr>
            <w:r>
              <w:rPr>
                <w:rFonts w:hint="eastAsia" w:eastAsia="仿宋" w:cs="Times New Roman"/>
                <w:sz w:val="21"/>
                <w:lang w:bidi="zh-CN"/>
              </w:rPr>
              <w:t>≥80</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D059059">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97F7AB3">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09143F70">
        <w:tblPrEx>
          <w:tblCellMar>
            <w:top w:w="0" w:type="dxa"/>
            <w:left w:w="0" w:type="dxa"/>
            <w:bottom w:w="0" w:type="dxa"/>
            <w:right w:w="0" w:type="dxa"/>
          </w:tblCellMar>
        </w:tblPrEx>
        <w:trPr>
          <w:trHeight w:val="38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7507967">
            <w:pPr>
              <w:spacing w:line="240" w:lineRule="auto"/>
              <w:ind w:firstLine="0" w:firstLineChars="0"/>
              <w:jc w:val="center"/>
              <w:rPr>
                <w:rFonts w:eastAsia="仿宋" w:cs="Times New Roman"/>
                <w:sz w:val="21"/>
                <w:lang w:bidi="zh-CN"/>
              </w:rPr>
            </w:pPr>
          </w:p>
        </w:tc>
        <w:tc>
          <w:tcPr>
            <w:tcW w:w="55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54E3DA8">
            <w:pPr>
              <w:spacing w:line="240" w:lineRule="auto"/>
              <w:ind w:firstLine="0" w:firstLineChars="0"/>
              <w:jc w:val="center"/>
              <w:rPr>
                <w:rFonts w:eastAsia="仿宋" w:cs="Times New Roman"/>
                <w:sz w:val="21"/>
                <w:lang w:bidi="zh-CN"/>
              </w:rPr>
            </w:pPr>
          </w:p>
        </w:tc>
        <w:tc>
          <w:tcPr>
            <w:tcW w:w="133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5A03CAE">
            <w:pPr>
              <w:spacing w:line="240" w:lineRule="auto"/>
              <w:ind w:firstLine="0" w:firstLineChars="0"/>
              <w:jc w:val="center"/>
              <w:rPr>
                <w:rFonts w:eastAsia="仿宋" w:cs="Times New Roman"/>
                <w:sz w:val="21"/>
                <w:lang w:bidi="zh-CN"/>
              </w:rPr>
            </w:pPr>
            <w:r>
              <w:rPr>
                <w:rFonts w:hint="eastAsia" w:eastAsia="仿宋" w:cs="Times New Roman"/>
                <w:sz w:val="21"/>
                <w:lang w:bidi="zh-CN"/>
              </w:rPr>
              <w:t>社区教育设施步行15分钟覆盖率（%）</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4F44D991">
            <w:pPr>
              <w:spacing w:line="240" w:lineRule="auto"/>
              <w:ind w:firstLine="0" w:firstLineChars="0"/>
              <w:jc w:val="center"/>
              <w:rPr>
                <w:rFonts w:eastAsia="仿宋" w:cs="Times New Roman"/>
                <w:sz w:val="21"/>
                <w:lang w:bidi="zh-CN"/>
              </w:rPr>
            </w:pPr>
            <w:r>
              <w:rPr>
                <w:rFonts w:hint="eastAsia" w:eastAsia="仿宋" w:cs="Times New Roman"/>
                <w:sz w:val="21"/>
                <w:lang w:bidi="zh-CN"/>
              </w:rPr>
              <w:t>81</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1F5B8145">
            <w:pPr>
              <w:spacing w:line="240" w:lineRule="auto"/>
              <w:ind w:firstLine="0" w:firstLineChars="0"/>
              <w:jc w:val="center"/>
              <w:rPr>
                <w:rFonts w:eastAsia="仿宋" w:cs="Times New Roman"/>
                <w:sz w:val="21"/>
                <w:lang w:bidi="zh-CN"/>
              </w:rPr>
            </w:pPr>
            <w:r>
              <w:rPr>
                <w:rFonts w:hint="eastAsia" w:eastAsia="仿宋" w:cs="Times New Roman"/>
                <w:sz w:val="21"/>
                <w:lang w:bidi="zh-CN"/>
              </w:rPr>
              <w:t>≥85</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147AF5A2">
            <w:pPr>
              <w:spacing w:line="240" w:lineRule="auto"/>
              <w:ind w:firstLine="0" w:firstLineChars="0"/>
              <w:jc w:val="center"/>
              <w:rPr>
                <w:rFonts w:eastAsia="仿宋" w:cs="Times New Roman"/>
                <w:sz w:val="21"/>
                <w:lang w:bidi="zh-CN"/>
              </w:rPr>
            </w:pPr>
            <w:r>
              <w:rPr>
                <w:rFonts w:hint="eastAsia" w:eastAsia="仿宋" w:cs="Times New Roman"/>
                <w:sz w:val="21"/>
                <w:lang w:bidi="zh-CN"/>
              </w:rPr>
              <w:t>≥85</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C2DF8DB">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AB0BB75">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1AF4613F">
        <w:tblPrEx>
          <w:tblCellMar>
            <w:top w:w="0" w:type="dxa"/>
            <w:left w:w="0" w:type="dxa"/>
            <w:bottom w:w="0" w:type="dxa"/>
            <w:right w:w="0" w:type="dxa"/>
          </w:tblCellMar>
        </w:tblPrEx>
        <w:trPr>
          <w:trHeight w:val="38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8D26D8C">
            <w:pPr>
              <w:spacing w:line="240" w:lineRule="auto"/>
              <w:ind w:firstLine="0" w:firstLineChars="0"/>
              <w:jc w:val="center"/>
              <w:rPr>
                <w:rFonts w:eastAsia="仿宋" w:cs="Times New Roman"/>
                <w:sz w:val="21"/>
                <w:lang w:bidi="zh-CN"/>
              </w:rPr>
            </w:pPr>
          </w:p>
        </w:tc>
        <w:tc>
          <w:tcPr>
            <w:tcW w:w="55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BC18719">
            <w:pPr>
              <w:spacing w:line="240" w:lineRule="auto"/>
              <w:ind w:firstLine="0" w:firstLineChars="0"/>
              <w:jc w:val="center"/>
              <w:rPr>
                <w:rFonts w:eastAsia="仿宋" w:cs="Times New Roman"/>
                <w:sz w:val="21"/>
                <w:lang w:bidi="zh-CN"/>
              </w:rPr>
            </w:pPr>
          </w:p>
        </w:tc>
        <w:tc>
          <w:tcPr>
            <w:tcW w:w="133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A68B1DB">
            <w:pPr>
              <w:spacing w:line="240" w:lineRule="auto"/>
              <w:ind w:firstLine="0" w:firstLineChars="0"/>
              <w:jc w:val="center"/>
              <w:rPr>
                <w:rFonts w:eastAsia="仿宋" w:cs="Times New Roman"/>
                <w:sz w:val="21"/>
                <w:lang w:bidi="zh-CN"/>
              </w:rPr>
            </w:pPr>
            <w:r>
              <w:rPr>
                <w:rFonts w:hint="eastAsia" w:eastAsia="仿宋" w:cs="Times New Roman"/>
                <w:sz w:val="21"/>
                <w:lang w:bidi="zh-CN"/>
              </w:rPr>
              <w:t>社区文化活动设施步行15分钟覆盖率（%）</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1D7C0E6E">
            <w:pPr>
              <w:spacing w:line="240" w:lineRule="auto"/>
              <w:ind w:firstLine="0" w:firstLineChars="0"/>
              <w:jc w:val="center"/>
              <w:rPr>
                <w:rFonts w:eastAsia="仿宋" w:cs="Times New Roman"/>
                <w:sz w:val="21"/>
                <w:lang w:bidi="zh-CN"/>
              </w:rPr>
            </w:pPr>
            <w:r>
              <w:rPr>
                <w:rFonts w:hint="eastAsia" w:eastAsia="仿宋" w:cs="Times New Roman"/>
                <w:sz w:val="21"/>
                <w:lang w:bidi="zh-CN"/>
              </w:rPr>
              <w:t>50.21</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3B424CC8">
            <w:pPr>
              <w:spacing w:line="240" w:lineRule="auto"/>
              <w:ind w:firstLine="0" w:firstLineChars="0"/>
              <w:jc w:val="center"/>
              <w:rPr>
                <w:rFonts w:eastAsia="仿宋" w:cs="Times New Roman"/>
                <w:sz w:val="21"/>
                <w:lang w:bidi="zh-CN"/>
              </w:rPr>
            </w:pPr>
            <w:r>
              <w:rPr>
                <w:rFonts w:hint="eastAsia" w:eastAsia="仿宋" w:cs="Times New Roman"/>
                <w:sz w:val="21"/>
                <w:lang w:bidi="zh-CN"/>
              </w:rPr>
              <w:t>≥55</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79885EAF">
            <w:pPr>
              <w:spacing w:line="240" w:lineRule="auto"/>
              <w:ind w:firstLine="0" w:firstLineChars="0"/>
              <w:jc w:val="center"/>
              <w:rPr>
                <w:rFonts w:eastAsia="仿宋" w:cs="Times New Roman"/>
                <w:sz w:val="21"/>
                <w:lang w:bidi="zh-CN"/>
              </w:rPr>
            </w:pPr>
            <w:r>
              <w:rPr>
                <w:rFonts w:hint="eastAsia" w:eastAsia="仿宋" w:cs="Times New Roman"/>
                <w:sz w:val="21"/>
                <w:lang w:bidi="zh-CN"/>
              </w:rPr>
              <w:t>≥70</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FA54B18">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33ECABD">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74D9D96B">
        <w:tblPrEx>
          <w:tblCellMar>
            <w:top w:w="0" w:type="dxa"/>
            <w:left w:w="0" w:type="dxa"/>
            <w:bottom w:w="0" w:type="dxa"/>
            <w:right w:w="0" w:type="dxa"/>
          </w:tblCellMar>
        </w:tblPrEx>
        <w:trPr>
          <w:trHeight w:val="380" w:hRule="atLeast"/>
        </w:trPr>
        <w:tc>
          <w:tcPr>
            <w:tcW w:w="309" w:type="pct"/>
            <w:vMerge w:val="continue"/>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C43644A">
            <w:pPr>
              <w:spacing w:line="240" w:lineRule="auto"/>
              <w:ind w:firstLine="0" w:firstLineChars="0"/>
              <w:jc w:val="center"/>
              <w:rPr>
                <w:rFonts w:eastAsia="仿宋" w:cs="Times New Roman"/>
                <w:sz w:val="21"/>
                <w:lang w:bidi="zh-CN"/>
              </w:rPr>
            </w:pPr>
          </w:p>
        </w:tc>
        <w:tc>
          <w:tcPr>
            <w:tcW w:w="558" w:type="pct"/>
            <w:gridSpan w:val="2"/>
            <w:vMerge w:val="continue"/>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06B306B">
            <w:pPr>
              <w:spacing w:line="240" w:lineRule="auto"/>
              <w:ind w:firstLine="0" w:firstLineChars="0"/>
              <w:jc w:val="center"/>
              <w:rPr>
                <w:rFonts w:eastAsia="仿宋" w:cs="Times New Roman"/>
                <w:sz w:val="21"/>
                <w:lang w:bidi="zh-CN"/>
              </w:rPr>
            </w:pPr>
          </w:p>
        </w:tc>
        <w:tc>
          <w:tcPr>
            <w:tcW w:w="133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B2D41EE">
            <w:pPr>
              <w:spacing w:line="240" w:lineRule="auto"/>
              <w:ind w:firstLine="0" w:firstLineChars="0"/>
              <w:jc w:val="center"/>
              <w:rPr>
                <w:rFonts w:eastAsia="仿宋" w:cs="Times New Roman"/>
                <w:sz w:val="21"/>
                <w:lang w:bidi="zh-CN"/>
              </w:rPr>
            </w:pPr>
            <w:r>
              <w:rPr>
                <w:rFonts w:hint="eastAsia" w:eastAsia="仿宋" w:cs="Times New Roman"/>
                <w:sz w:val="21"/>
                <w:lang w:bidi="zh-CN"/>
              </w:rPr>
              <w:t>社区体育设施步行15分钟覆盖率（%）</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3246FEC2">
            <w:pPr>
              <w:spacing w:line="240" w:lineRule="auto"/>
              <w:ind w:firstLine="0" w:firstLineChars="0"/>
              <w:jc w:val="center"/>
              <w:rPr>
                <w:rFonts w:eastAsia="仿宋" w:cs="Times New Roman"/>
                <w:sz w:val="21"/>
                <w:lang w:bidi="zh-CN"/>
              </w:rPr>
            </w:pPr>
            <w:r>
              <w:rPr>
                <w:rFonts w:hint="eastAsia" w:eastAsia="仿宋" w:cs="Times New Roman"/>
                <w:sz w:val="21"/>
                <w:lang w:bidi="zh-CN"/>
              </w:rPr>
              <w:t>56.51</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68A83443">
            <w:pPr>
              <w:spacing w:line="240" w:lineRule="auto"/>
              <w:ind w:firstLine="0" w:firstLineChars="0"/>
              <w:jc w:val="center"/>
              <w:rPr>
                <w:rFonts w:eastAsia="仿宋" w:cs="Times New Roman"/>
                <w:sz w:val="21"/>
                <w:lang w:bidi="zh-CN"/>
              </w:rPr>
            </w:pPr>
            <w:r>
              <w:rPr>
                <w:rFonts w:hint="eastAsia" w:eastAsia="仿宋" w:cs="Times New Roman"/>
                <w:sz w:val="21"/>
                <w:lang w:bidi="zh-CN"/>
              </w:rPr>
              <w:t>≥48</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17E9DBBD">
            <w:pPr>
              <w:spacing w:line="240" w:lineRule="auto"/>
              <w:ind w:firstLine="0" w:firstLineChars="0"/>
              <w:jc w:val="center"/>
              <w:rPr>
                <w:rFonts w:eastAsia="仿宋" w:cs="Times New Roman"/>
                <w:sz w:val="21"/>
                <w:lang w:bidi="zh-CN"/>
              </w:rPr>
            </w:pPr>
            <w:r>
              <w:rPr>
                <w:rFonts w:hint="eastAsia" w:eastAsia="仿宋" w:cs="Times New Roman"/>
                <w:sz w:val="21"/>
                <w:lang w:bidi="zh-CN"/>
              </w:rPr>
              <w:t>≥70</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019F9CA2">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348A474">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2306D68B">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476DD06">
            <w:pPr>
              <w:spacing w:line="240" w:lineRule="auto"/>
              <w:ind w:firstLine="0" w:firstLineChars="0"/>
              <w:jc w:val="center"/>
              <w:rPr>
                <w:rFonts w:eastAsia="仿宋" w:cs="Times New Roman"/>
                <w:sz w:val="21"/>
                <w:lang w:bidi="zh-CN"/>
              </w:rPr>
            </w:pPr>
            <w:r>
              <w:rPr>
                <w:rFonts w:hint="eastAsia" w:eastAsia="仿宋" w:cs="Times New Roman"/>
                <w:sz w:val="21"/>
                <w:lang w:bidi="zh-CN"/>
              </w:rPr>
              <w:t>25</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3F0A1276">
            <w:pPr>
              <w:spacing w:line="240" w:lineRule="auto"/>
              <w:ind w:firstLine="0" w:firstLineChars="0"/>
              <w:jc w:val="center"/>
              <w:rPr>
                <w:rFonts w:eastAsia="仿宋" w:cs="Times New Roman"/>
                <w:sz w:val="21"/>
                <w:lang w:bidi="zh-CN"/>
              </w:rPr>
            </w:pPr>
            <w:r>
              <w:rPr>
                <w:rFonts w:hint="eastAsia" w:eastAsia="仿宋" w:cs="Times New Roman"/>
                <w:sz w:val="21"/>
                <w:lang w:bidi="zh-CN"/>
              </w:rPr>
              <w:t>每千名老年人拥有养老床位数（张）</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0730633">
            <w:pPr>
              <w:spacing w:line="240" w:lineRule="auto"/>
              <w:ind w:firstLine="0" w:firstLineChars="0"/>
              <w:jc w:val="center"/>
              <w:rPr>
                <w:rFonts w:eastAsia="仿宋" w:cs="Times New Roman"/>
                <w:sz w:val="21"/>
                <w:lang w:bidi="zh-CN"/>
              </w:rPr>
            </w:pPr>
            <w:r>
              <w:rPr>
                <w:rFonts w:hint="eastAsia" w:eastAsia="仿宋" w:cs="Times New Roman"/>
                <w:sz w:val="21"/>
                <w:lang w:bidi="zh-CN"/>
              </w:rPr>
              <w:t>10.08</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57C17106">
            <w:pPr>
              <w:spacing w:line="240" w:lineRule="auto"/>
              <w:ind w:firstLine="0" w:firstLineChars="0"/>
              <w:jc w:val="center"/>
              <w:rPr>
                <w:rFonts w:eastAsia="仿宋" w:cs="Times New Roman"/>
                <w:sz w:val="21"/>
                <w:lang w:bidi="zh-CN"/>
              </w:rPr>
            </w:pPr>
            <w:r>
              <w:rPr>
                <w:rFonts w:hint="eastAsia" w:eastAsia="仿宋" w:cs="Times New Roman"/>
                <w:sz w:val="21"/>
                <w:lang w:bidi="zh-CN"/>
              </w:rPr>
              <w:t>≥15</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3319CA40">
            <w:pPr>
              <w:spacing w:line="240" w:lineRule="auto"/>
              <w:ind w:firstLine="0" w:firstLineChars="0"/>
              <w:jc w:val="center"/>
              <w:rPr>
                <w:rFonts w:eastAsia="仿宋" w:cs="Times New Roman"/>
                <w:sz w:val="21"/>
                <w:lang w:bidi="zh-CN"/>
              </w:rPr>
            </w:pPr>
            <w:r>
              <w:rPr>
                <w:rFonts w:hint="eastAsia" w:eastAsia="仿宋" w:cs="Times New Roman"/>
                <w:sz w:val="21"/>
                <w:lang w:bidi="zh-CN"/>
              </w:rPr>
              <w:t>≥30</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F70BABC">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2B8B50F">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551D9B39">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8616105">
            <w:pPr>
              <w:spacing w:line="240" w:lineRule="auto"/>
              <w:ind w:firstLine="0" w:firstLineChars="0"/>
              <w:jc w:val="center"/>
              <w:rPr>
                <w:rFonts w:eastAsia="仿宋" w:cs="Times New Roman"/>
                <w:sz w:val="21"/>
                <w:lang w:bidi="zh-CN"/>
              </w:rPr>
            </w:pPr>
            <w:r>
              <w:rPr>
                <w:rFonts w:hint="eastAsia" w:eastAsia="仿宋" w:cs="Times New Roman"/>
                <w:sz w:val="21"/>
                <w:lang w:bidi="zh-CN"/>
              </w:rPr>
              <w:t>26</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AD3E472">
            <w:pPr>
              <w:spacing w:line="240" w:lineRule="auto"/>
              <w:ind w:firstLine="0" w:firstLineChars="0"/>
              <w:jc w:val="center"/>
              <w:rPr>
                <w:rFonts w:eastAsia="仿宋" w:cs="Times New Roman"/>
                <w:sz w:val="21"/>
                <w:lang w:bidi="zh-CN"/>
              </w:rPr>
            </w:pPr>
            <w:r>
              <w:rPr>
                <w:rFonts w:hint="eastAsia" w:eastAsia="仿宋" w:cs="Times New Roman"/>
                <w:sz w:val="21"/>
                <w:lang w:bidi="zh-CN"/>
              </w:rPr>
              <w:t>每千人口医疗卫生机构床位数（张）</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1DEFA4E9">
            <w:pPr>
              <w:spacing w:line="240" w:lineRule="auto"/>
              <w:ind w:firstLine="0" w:firstLineChars="0"/>
              <w:jc w:val="center"/>
              <w:rPr>
                <w:rFonts w:eastAsia="仿宋" w:cs="Times New Roman"/>
                <w:sz w:val="21"/>
                <w:lang w:bidi="zh-CN"/>
              </w:rPr>
            </w:pPr>
            <w:r>
              <w:rPr>
                <w:rFonts w:hint="eastAsia" w:eastAsia="仿宋" w:cs="Times New Roman"/>
                <w:sz w:val="21"/>
                <w:lang w:bidi="zh-CN"/>
              </w:rPr>
              <w:t>6.72</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D963AAA">
            <w:pPr>
              <w:spacing w:line="240" w:lineRule="auto"/>
              <w:ind w:firstLine="0" w:firstLineChars="0"/>
              <w:jc w:val="center"/>
              <w:rPr>
                <w:rFonts w:eastAsia="仿宋" w:cs="Times New Roman"/>
                <w:sz w:val="21"/>
                <w:lang w:bidi="zh-CN"/>
              </w:rPr>
            </w:pPr>
            <w:r>
              <w:rPr>
                <w:rFonts w:hint="eastAsia" w:eastAsia="仿宋" w:cs="Times New Roman"/>
                <w:sz w:val="21"/>
                <w:lang w:bidi="zh-CN"/>
              </w:rPr>
              <w:t>≥8</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57555230">
            <w:pPr>
              <w:spacing w:line="240" w:lineRule="auto"/>
              <w:ind w:firstLine="0" w:firstLineChars="0"/>
              <w:jc w:val="center"/>
              <w:rPr>
                <w:rFonts w:eastAsia="仿宋" w:cs="Times New Roman"/>
                <w:sz w:val="21"/>
                <w:lang w:bidi="zh-CN"/>
              </w:rPr>
            </w:pPr>
            <w:r>
              <w:rPr>
                <w:rFonts w:hint="eastAsia" w:eastAsia="仿宋" w:cs="Times New Roman"/>
                <w:sz w:val="21"/>
                <w:lang w:bidi="zh-CN"/>
              </w:rPr>
              <w:t>≥8</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F3EF1BF">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CCD2553">
            <w:pPr>
              <w:spacing w:line="240" w:lineRule="auto"/>
              <w:ind w:firstLine="0" w:firstLineChars="0"/>
              <w:jc w:val="center"/>
              <w:rPr>
                <w:rFonts w:eastAsia="仿宋" w:cs="Times New Roman"/>
                <w:sz w:val="21"/>
                <w:lang w:bidi="zh-CN"/>
              </w:rPr>
            </w:pPr>
            <w:r>
              <w:rPr>
                <w:rFonts w:hint="eastAsia" w:eastAsia="仿宋" w:cs="Times New Roman"/>
                <w:sz w:val="21"/>
                <w:lang w:bidi="zh-CN"/>
              </w:rPr>
              <w:t>全域</w:t>
            </w:r>
          </w:p>
        </w:tc>
      </w:tr>
      <w:tr w14:paraId="44FC2E2A">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BD8AAC7">
            <w:pPr>
              <w:spacing w:line="240" w:lineRule="auto"/>
              <w:ind w:firstLine="0" w:firstLineChars="0"/>
              <w:jc w:val="center"/>
              <w:rPr>
                <w:rFonts w:eastAsia="仿宋" w:cs="Times New Roman"/>
                <w:sz w:val="21"/>
                <w:lang w:bidi="zh-CN"/>
              </w:rPr>
            </w:pPr>
            <w:r>
              <w:rPr>
                <w:rFonts w:hint="eastAsia" w:eastAsia="仿宋" w:cs="Times New Roman"/>
                <w:sz w:val="21"/>
                <w:lang w:bidi="zh-CN"/>
              </w:rPr>
              <w:t>27</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21C82A9">
            <w:pPr>
              <w:spacing w:line="240" w:lineRule="auto"/>
              <w:ind w:firstLine="0" w:firstLineChars="0"/>
              <w:jc w:val="center"/>
              <w:rPr>
                <w:rFonts w:eastAsia="仿宋" w:cs="Times New Roman"/>
                <w:sz w:val="21"/>
                <w:lang w:bidi="zh-CN"/>
              </w:rPr>
            </w:pPr>
            <w:r>
              <w:rPr>
                <w:rFonts w:hint="eastAsia" w:eastAsia="仿宋" w:cs="Times New Roman"/>
                <w:sz w:val="21"/>
                <w:lang w:bidi="zh-CN"/>
              </w:rPr>
              <w:t>人均体育用地面积（平方米）</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4ACD7CAA">
            <w:pPr>
              <w:spacing w:line="240" w:lineRule="auto"/>
              <w:ind w:firstLine="0" w:firstLineChars="0"/>
              <w:jc w:val="center"/>
              <w:rPr>
                <w:rFonts w:eastAsia="仿宋" w:cs="Times New Roman"/>
                <w:sz w:val="21"/>
                <w:lang w:bidi="zh-CN"/>
              </w:rPr>
            </w:pPr>
            <w:r>
              <w:rPr>
                <w:rFonts w:hint="eastAsia" w:eastAsia="仿宋" w:cs="Times New Roman"/>
                <w:sz w:val="21"/>
                <w:lang w:bidi="zh-CN"/>
              </w:rPr>
              <w:t>0.08</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4834558E">
            <w:pPr>
              <w:spacing w:line="240" w:lineRule="auto"/>
              <w:ind w:firstLine="0" w:firstLineChars="0"/>
              <w:jc w:val="center"/>
              <w:rPr>
                <w:rFonts w:eastAsia="仿宋" w:cs="Times New Roman"/>
                <w:sz w:val="21"/>
                <w:lang w:bidi="zh-CN"/>
              </w:rPr>
            </w:pPr>
            <w:r>
              <w:rPr>
                <w:rFonts w:hint="eastAsia" w:eastAsia="仿宋" w:cs="Times New Roman"/>
                <w:sz w:val="21"/>
                <w:lang w:bidi="zh-CN"/>
              </w:rPr>
              <w:t>≥0.1</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1AC31396">
            <w:pPr>
              <w:spacing w:line="240" w:lineRule="auto"/>
              <w:ind w:firstLine="0" w:firstLineChars="0"/>
              <w:jc w:val="center"/>
              <w:rPr>
                <w:rFonts w:eastAsia="仿宋" w:cs="Times New Roman"/>
                <w:sz w:val="21"/>
                <w:lang w:bidi="zh-CN"/>
              </w:rPr>
            </w:pPr>
            <w:r>
              <w:rPr>
                <w:rFonts w:hint="eastAsia" w:eastAsia="仿宋" w:cs="Times New Roman"/>
                <w:sz w:val="21"/>
                <w:lang w:bidi="zh-CN"/>
              </w:rPr>
              <w:t>≥0.6</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48D323A7">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70BA66A">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673C70B3">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983CC30">
            <w:pPr>
              <w:spacing w:line="240" w:lineRule="auto"/>
              <w:ind w:firstLine="0" w:firstLineChars="0"/>
              <w:jc w:val="center"/>
              <w:rPr>
                <w:rFonts w:eastAsia="仿宋" w:cs="Times New Roman"/>
                <w:sz w:val="21"/>
                <w:lang w:bidi="zh-CN"/>
              </w:rPr>
            </w:pPr>
            <w:r>
              <w:rPr>
                <w:rFonts w:hint="eastAsia" w:eastAsia="仿宋" w:cs="Times New Roman"/>
                <w:sz w:val="21"/>
                <w:lang w:bidi="zh-CN"/>
              </w:rPr>
              <w:t>28</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703D197D">
            <w:pPr>
              <w:spacing w:line="240" w:lineRule="auto"/>
              <w:ind w:firstLine="0" w:firstLineChars="0"/>
              <w:jc w:val="center"/>
              <w:rPr>
                <w:rFonts w:eastAsia="仿宋" w:cs="Times New Roman"/>
                <w:sz w:val="21"/>
                <w:lang w:bidi="zh-CN"/>
              </w:rPr>
            </w:pPr>
            <w:r>
              <w:rPr>
                <w:rFonts w:hint="eastAsia" w:eastAsia="仿宋" w:cs="Times New Roman"/>
                <w:sz w:val="21"/>
                <w:lang w:bidi="zh-CN"/>
              </w:rPr>
              <w:t>人均公园绿地面积（平方米）</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7307B842">
            <w:pPr>
              <w:spacing w:line="240" w:lineRule="auto"/>
              <w:ind w:firstLine="0" w:firstLineChars="0"/>
              <w:jc w:val="center"/>
              <w:rPr>
                <w:rFonts w:eastAsia="仿宋" w:cs="Times New Roman"/>
                <w:sz w:val="21"/>
                <w:lang w:bidi="zh-CN"/>
              </w:rPr>
            </w:pPr>
            <w:r>
              <w:rPr>
                <w:rFonts w:hint="eastAsia" w:eastAsia="仿宋" w:cs="Times New Roman"/>
                <w:sz w:val="21"/>
                <w:lang w:bidi="zh-CN"/>
              </w:rPr>
              <w:t>1.56</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A34B2E4">
            <w:pPr>
              <w:spacing w:line="240" w:lineRule="auto"/>
              <w:ind w:firstLine="0" w:firstLineChars="0"/>
              <w:jc w:val="center"/>
              <w:rPr>
                <w:rFonts w:eastAsia="仿宋" w:cs="Times New Roman"/>
                <w:sz w:val="21"/>
                <w:lang w:bidi="zh-CN"/>
              </w:rPr>
            </w:pPr>
            <w:r>
              <w:rPr>
                <w:rFonts w:hint="eastAsia" w:eastAsia="仿宋" w:cs="Times New Roman"/>
                <w:sz w:val="21"/>
                <w:lang w:bidi="zh-CN"/>
              </w:rPr>
              <w:t>≥2</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22BF927F">
            <w:pPr>
              <w:spacing w:line="240" w:lineRule="auto"/>
              <w:ind w:firstLine="0" w:firstLineChars="0"/>
              <w:jc w:val="center"/>
              <w:rPr>
                <w:rFonts w:eastAsia="仿宋" w:cs="Times New Roman"/>
                <w:sz w:val="21"/>
                <w:lang w:bidi="zh-CN"/>
              </w:rPr>
            </w:pPr>
            <w:r>
              <w:rPr>
                <w:rFonts w:hint="eastAsia" w:eastAsia="仿宋" w:cs="Times New Roman"/>
                <w:sz w:val="21"/>
                <w:lang w:bidi="zh-CN"/>
              </w:rPr>
              <w:t>≥8</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2A63D86C">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372693F">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r w14:paraId="73B3A3C5">
        <w:tblPrEx>
          <w:tblCellMar>
            <w:top w:w="0" w:type="dxa"/>
            <w:left w:w="0" w:type="dxa"/>
            <w:bottom w:w="0" w:type="dxa"/>
            <w:right w:w="0" w:type="dxa"/>
          </w:tblCellMar>
        </w:tblPrEx>
        <w:trPr>
          <w:trHeight w:val="380" w:hRule="atLeast"/>
        </w:trPr>
        <w:tc>
          <w:tcPr>
            <w:tcW w:w="309"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4BC6290">
            <w:pPr>
              <w:spacing w:line="240" w:lineRule="auto"/>
              <w:ind w:firstLine="0" w:firstLineChars="0"/>
              <w:jc w:val="center"/>
              <w:rPr>
                <w:rFonts w:eastAsia="仿宋" w:cs="Times New Roman"/>
                <w:sz w:val="21"/>
                <w:lang w:bidi="zh-CN"/>
              </w:rPr>
            </w:pPr>
            <w:r>
              <w:rPr>
                <w:rFonts w:hint="eastAsia" w:eastAsia="仿宋" w:cs="Times New Roman"/>
                <w:sz w:val="21"/>
                <w:lang w:bidi="zh-CN"/>
              </w:rPr>
              <w:t>29</w:t>
            </w:r>
          </w:p>
        </w:tc>
        <w:tc>
          <w:tcPr>
            <w:tcW w:w="1897" w:type="pct"/>
            <w:gridSpan w:val="3"/>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1A1DF87F">
            <w:pPr>
              <w:spacing w:line="240" w:lineRule="auto"/>
              <w:ind w:firstLine="0" w:firstLineChars="0"/>
              <w:jc w:val="center"/>
              <w:rPr>
                <w:rFonts w:eastAsia="仿宋" w:cs="Times New Roman"/>
                <w:sz w:val="21"/>
                <w:lang w:bidi="zh-CN"/>
              </w:rPr>
            </w:pPr>
            <w:r>
              <w:rPr>
                <w:rFonts w:hint="eastAsia" w:eastAsia="仿宋" w:cs="Times New Roman"/>
                <w:sz w:val="21"/>
                <w:lang w:bidi="zh-CN"/>
              </w:rPr>
              <w:t>绿色交通出行比例（%）</w:t>
            </w:r>
          </w:p>
        </w:tc>
        <w:tc>
          <w:tcPr>
            <w:tcW w:w="607"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0AD2CCDF">
            <w:pPr>
              <w:spacing w:line="240" w:lineRule="auto"/>
              <w:ind w:firstLine="0" w:firstLineChars="0"/>
              <w:jc w:val="center"/>
              <w:rPr>
                <w:rFonts w:eastAsia="仿宋" w:cs="Times New Roman"/>
                <w:sz w:val="21"/>
                <w:lang w:bidi="zh-CN"/>
              </w:rPr>
            </w:pPr>
            <w:r>
              <w:rPr>
                <w:rFonts w:hint="eastAsia" w:eastAsia="仿宋" w:cs="Times New Roman"/>
                <w:sz w:val="21"/>
                <w:lang w:bidi="zh-CN"/>
              </w:rPr>
              <w:t>52</w:t>
            </w:r>
          </w:p>
        </w:tc>
        <w:tc>
          <w:tcPr>
            <w:tcW w:w="626"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540A4B58">
            <w:pPr>
              <w:spacing w:line="240" w:lineRule="auto"/>
              <w:ind w:firstLine="0" w:firstLineChars="0"/>
              <w:jc w:val="center"/>
              <w:rPr>
                <w:rFonts w:eastAsia="仿宋" w:cs="Times New Roman"/>
                <w:sz w:val="21"/>
                <w:lang w:bidi="zh-CN"/>
              </w:rPr>
            </w:pPr>
            <w:r>
              <w:rPr>
                <w:rFonts w:hint="eastAsia" w:eastAsia="仿宋" w:cs="Times New Roman"/>
                <w:sz w:val="21"/>
                <w:lang w:bidi="zh-CN"/>
              </w:rPr>
              <w:t>60</w:t>
            </w:r>
          </w:p>
        </w:tc>
        <w:tc>
          <w:tcPr>
            <w:tcW w:w="613" w:type="pct"/>
            <w:tcBorders>
              <w:top w:val="single" w:color="000000" w:sz="4" w:space="0"/>
              <w:left w:val="single" w:color="000000" w:sz="4" w:space="0"/>
              <w:bottom w:val="single" w:color="000000" w:sz="4" w:space="0"/>
              <w:right w:val="single" w:color="000000" w:sz="4" w:space="0"/>
            </w:tcBorders>
            <w:shd w:val="clear" w:color="auto" w:fill="FFFFFF"/>
            <w:tcMar>
              <w:left w:w="2" w:type="dxa"/>
              <w:right w:w="2" w:type="dxa"/>
            </w:tcMar>
            <w:vAlign w:val="center"/>
          </w:tcPr>
          <w:p w14:paraId="29F961FC">
            <w:pPr>
              <w:spacing w:line="240" w:lineRule="auto"/>
              <w:ind w:firstLine="0" w:firstLineChars="0"/>
              <w:jc w:val="center"/>
              <w:rPr>
                <w:rFonts w:eastAsia="仿宋" w:cs="Times New Roman"/>
                <w:sz w:val="21"/>
                <w:lang w:bidi="zh-CN"/>
              </w:rPr>
            </w:pPr>
            <w:r>
              <w:rPr>
                <w:rFonts w:hint="eastAsia" w:eastAsia="仿宋" w:cs="Times New Roman"/>
                <w:sz w:val="21"/>
                <w:lang w:bidi="zh-CN"/>
              </w:rPr>
              <w:t>75</w:t>
            </w:r>
          </w:p>
        </w:tc>
        <w:tc>
          <w:tcPr>
            <w:tcW w:w="434"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5F30D36A">
            <w:pPr>
              <w:spacing w:line="240" w:lineRule="auto"/>
              <w:ind w:firstLine="0" w:firstLineChars="0"/>
              <w:jc w:val="center"/>
              <w:rPr>
                <w:rFonts w:eastAsia="仿宋" w:cs="Times New Roman"/>
                <w:sz w:val="21"/>
                <w:lang w:bidi="zh-CN"/>
              </w:rPr>
            </w:pPr>
            <w:r>
              <w:rPr>
                <w:rFonts w:hint="eastAsia" w:eastAsia="仿宋" w:cs="Times New Roman"/>
                <w:sz w:val="21"/>
                <w:lang w:bidi="zh-CN"/>
              </w:rPr>
              <w:t>预期性</w:t>
            </w:r>
          </w:p>
        </w:tc>
        <w:tc>
          <w:tcPr>
            <w:tcW w:w="510" w:type="pct"/>
            <w:tcBorders>
              <w:top w:val="single" w:color="000000" w:sz="4" w:space="0"/>
              <w:left w:val="single" w:color="000000" w:sz="4" w:space="0"/>
              <w:bottom w:val="single" w:color="000000" w:sz="4" w:space="0"/>
              <w:right w:val="single" w:color="000000" w:sz="4" w:space="0"/>
            </w:tcBorders>
            <w:shd w:val="clear" w:color="auto" w:fill="FFFFFF"/>
            <w:tcMar>
              <w:left w:w="1" w:type="dxa"/>
              <w:right w:w="1" w:type="dxa"/>
            </w:tcMar>
            <w:vAlign w:val="center"/>
          </w:tcPr>
          <w:p w14:paraId="6F2B85A9">
            <w:pPr>
              <w:spacing w:line="240" w:lineRule="auto"/>
              <w:ind w:firstLine="0" w:firstLineChars="0"/>
              <w:jc w:val="center"/>
              <w:rPr>
                <w:rFonts w:eastAsia="仿宋" w:cs="Times New Roman"/>
                <w:sz w:val="21"/>
                <w:lang w:bidi="zh-CN"/>
              </w:rPr>
            </w:pPr>
            <w:r>
              <w:rPr>
                <w:rFonts w:hint="eastAsia" w:eastAsia="仿宋" w:cs="Times New Roman"/>
                <w:sz w:val="21"/>
                <w:lang w:bidi="zh-CN"/>
              </w:rPr>
              <w:t>镇中心</w:t>
            </w:r>
          </w:p>
        </w:tc>
      </w:tr>
    </w:tbl>
    <w:p w14:paraId="7E0B123A">
      <w:pPr>
        <w:ind w:firstLine="640"/>
        <w:rPr>
          <w:rFonts w:hint="eastAsia" w:cs="Times New Roman"/>
        </w:rPr>
      </w:pPr>
    </w:p>
    <w:p w14:paraId="01A1524F">
      <w:pPr>
        <w:pStyle w:val="2"/>
        <w:spacing w:before="312" w:after="312"/>
        <w:rPr>
          <w:rFonts w:ascii="Times New Roman" w:hAnsi="Times New Roman" w:cs="Times New Roman"/>
          <w:color w:val="auto"/>
        </w:rPr>
      </w:pPr>
      <w:bookmarkStart w:id="19" w:name="_Toc220921260"/>
      <w:r>
        <w:rPr>
          <w:rFonts w:ascii="Times New Roman" w:hAnsi="Times New Roman" w:cs="Times New Roman"/>
          <w:color w:val="auto"/>
        </w:rPr>
        <w:t>第</w:t>
      </w:r>
      <w:r>
        <w:rPr>
          <w:rFonts w:hint="eastAsia" w:ascii="Times New Roman" w:hAnsi="Times New Roman" w:cs="Times New Roman"/>
          <w:color w:val="auto"/>
        </w:rPr>
        <w:t>四</w:t>
      </w:r>
      <w:r>
        <w:rPr>
          <w:rFonts w:ascii="Times New Roman" w:hAnsi="Times New Roman" w:cs="Times New Roman"/>
          <w:color w:val="auto"/>
        </w:rPr>
        <w:t>章国土空间开发保护格局</w:t>
      </w:r>
      <w:bookmarkEnd w:id="19"/>
    </w:p>
    <w:p w14:paraId="24DF597F">
      <w:pPr>
        <w:ind w:firstLine="640"/>
        <w:rPr>
          <w:rFonts w:cs="Times New Roman"/>
        </w:rPr>
      </w:pPr>
      <w:r>
        <w:rPr>
          <w:rFonts w:cs="Times New Roman"/>
        </w:rPr>
        <w:t>以区域自然地理格局为基础，结合桓仁县国土空间开发适宜性评价、灾害风险评估、规划实施评估等成果，强化三条控制线的底线约束，落实规划目标与定位，构建</w:t>
      </w:r>
      <w:r>
        <w:rPr>
          <w:rFonts w:hint="eastAsia" w:cs="Times New Roman"/>
        </w:rPr>
        <w:t>黑沟</w:t>
      </w:r>
      <w:r>
        <w:rPr>
          <w:rFonts w:cs="Times New Roman"/>
        </w:rPr>
        <w:t>乡国土空间开发保护总体格局。</w:t>
      </w:r>
    </w:p>
    <w:p w14:paraId="27792AD7">
      <w:pPr>
        <w:pStyle w:val="3"/>
        <w:rPr>
          <w:rFonts w:ascii="Times New Roman" w:hAnsi="Times New Roman" w:cs="Times New Roman"/>
          <w:color w:val="auto"/>
        </w:rPr>
      </w:pPr>
      <w:bookmarkStart w:id="20" w:name="_Toc220921261"/>
      <w:r>
        <w:rPr>
          <w:rFonts w:ascii="Times New Roman" w:hAnsi="Times New Roman" w:cs="Times New Roman"/>
          <w:color w:val="auto"/>
        </w:rPr>
        <w:t>第一节总体格局</w:t>
      </w:r>
      <w:bookmarkEnd w:id="20"/>
    </w:p>
    <w:p w14:paraId="6E6D46F1">
      <w:pPr>
        <w:pStyle w:val="4"/>
        <w:numPr>
          <w:ilvl w:val="0"/>
          <w:numId w:val="9"/>
        </w:numPr>
        <w:ind w:left="198" w:firstLine="641"/>
      </w:pPr>
      <w:r>
        <w:t>国土空间开发保护格局</w:t>
      </w:r>
    </w:p>
    <w:p w14:paraId="71478305">
      <w:pPr>
        <w:ind w:firstLine="640"/>
        <w:rPr>
          <w:rFonts w:cs="Times New Roman"/>
        </w:rPr>
      </w:pPr>
      <w:r>
        <w:rPr>
          <w:rFonts w:cs="Times New Roman"/>
        </w:rPr>
        <w:t>以桓仁县国土空间总体规划确定的“一核、一心、四副、两轴、三区”的国土空间格局为引领，以</w:t>
      </w:r>
      <w:r>
        <w:rPr>
          <w:rFonts w:hint="eastAsia" w:cs="Times New Roman"/>
        </w:rPr>
        <w:t>黑沟</w:t>
      </w:r>
      <w:r>
        <w:rPr>
          <w:rFonts w:cs="Times New Roman"/>
        </w:rPr>
        <w:t>乡山水相依的自然地理格局为依托，构建“</w:t>
      </w:r>
      <w:r>
        <w:rPr>
          <w:rFonts w:hint="eastAsia" w:cs="Times New Roman"/>
        </w:rPr>
        <w:t>一核、双心、两轴、三区</w:t>
      </w:r>
      <w:r>
        <w:rPr>
          <w:rFonts w:cs="Times New Roman"/>
        </w:rPr>
        <w:t>”的国土空间开发保护利用总体格局。</w:t>
      </w:r>
    </w:p>
    <w:p w14:paraId="5F7A5BF6">
      <w:pPr>
        <w:ind w:firstLine="643"/>
        <w:rPr>
          <w:rFonts w:cs="Times New Roman"/>
        </w:rPr>
      </w:pPr>
      <w:r>
        <w:rPr>
          <w:rFonts w:cs="Times New Roman"/>
          <w:b/>
          <w:bCs/>
        </w:rPr>
        <w:t>强化一核，增强乡中心区辐射带动能力。</w:t>
      </w:r>
      <w:r>
        <w:rPr>
          <w:rFonts w:cs="Times New Roman"/>
        </w:rPr>
        <w:t>以</w:t>
      </w:r>
      <w:r>
        <w:rPr>
          <w:rFonts w:hint="eastAsia" w:cs="Times New Roman"/>
        </w:rPr>
        <w:t>黑沟</w:t>
      </w:r>
      <w:r>
        <w:rPr>
          <w:rFonts w:cs="Times New Roman"/>
        </w:rPr>
        <w:t>乡中心区为核心，优先打造全域综合服务功能和转型发展的主要承载地，重点聚焦品质塑造和功能优化，提升乡中心区的综合承载力和吸引力，推进乡中心区品质提升，强化全域社会、经济、文化发展的核心功能。</w:t>
      </w:r>
    </w:p>
    <w:p w14:paraId="7426E406">
      <w:pPr>
        <w:ind w:firstLine="643"/>
        <w:rPr>
          <w:rFonts w:cs="Times New Roman"/>
        </w:rPr>
      </w:pPr>
      <w:r>
        <w:rPr>
          <w:rFonts w:cs="Times New Roman"/>
          <w:b/>
          <w:bCs/>
        </w:rPr>
        <w:t>培育</w:t>
      </w:r>
      <w:r>
        <w:rPr>
          <w:rFonts w:hint="eastAsia" w:cs="Times New Roman"/>
          <w:b/>
          <w:bCs/>
        </w:rPr>
        <w:t>双</w:t>
      </w:r>
      <w:r>
        <w:rPr>
          <w:rFonts w:cs="Times New Roman"/>
          <w:b/>
          <w:bCs/>
        </w:rPr>
        <w:t>心，打造</w:t>
      </w:r>
      <w:r>
        <w:rPr>
          <w:rFonts w:hint="eastAsia" w:cs="Times New Roman"/>
          <w:b/>
          <w:bCs/>
        </w:rPr>
        <w:t>黑沟乡</w:t>
      </w:r>
      <w:r>
        <w:rPr>
          <w:rFonts w:cs="Times New Roman"/>
          <w:b/>
          <w:bCs/>
        </w:rPr>
        <w:t>发展的新增长极。</w:t>
      </w:r>
      <w:r>
        <w:rPr>
          <w:rFonts w:hint="eastAsia" w:cs="Times New Roman"/>
        </w:rPr>
        <w:t>以西部的大川村和东部的六道沟村为黑沟乡副中心，辐射带动周边乡村，推动一二三产融合发展。</w:t>
      </w:r>
    </w:p>
    <w:p w14:paraId="1306BD75">
      <w:pPr>
        <w:ind w:firstLine="643"/>
        <w:rPr>
          <w:rFonts w:cs="Times New Roman"/>
        </w:rPr>
      </w:pPr>
      <w:r>
        <w:rPr>
          <w:rFonts w:cs="Times New Roman"/>
          <w:b/>
          <w:bCs/>
        </w:rPr>
        <w:t>集聚两轴，打造经济协同发展带。</w:t>
      </w:r>
      <w:r>
        <w:rPr>
          <w:rFonts w:cs="Times New Roman"/>
        </w:rPr>
        <w:t>即依托乡内主要道路形成的发展轴线。</w:t>
      </w:r>
      <w:r>
        <w:rPr>
          <w:rFonts w:hint="eastAsia" w:cs="Times New Roman"/>
        </w:rPr>
        <w:t>依托国道鹤大线加强黑沟乡与桓仁县城之间的联系，打造对外联通发展轴线；依托省道S305柞本线串联沿线村庄及重点项目，打造乡村联动发展轴线。</w:t>
      </w:r>
    </w:p>
    <w:p w14:paraId="049EEDFA">
      <w:pPr>
        <w:ind w:firstLine="643"/>
        <w:rPr>
          <w:rFonts w:cs="Times New Roman"/>
        </w:rPr>
      </w:pPr>
      <w:bookmarkStart w:id="21" w:name="_Hlk184398921"/>
      <w:r>
        <w:rPr>
          <w:rFonts w:cs="Times New Roman"/>
          <w:b/>
          <w:bCs/>
        </w:rPr>
        <w:t>协调三区，推动国土空间差异化发展。</w:t>
      </w:r>
      <w:r>
        <w:rPr>
          <w:rFonts w:cs="Times New Roman"/>
        </w:rPr>
        <w:t>建设</w:t>
      </w:r>
      <w:r>
        <w:rPr>
          <w:rFonts w:hint="eastAsia" w:cs="Times New Roman"/>
        </w:rPr>
        <w:t>西部特色温泉产业区</w:t>
      </w:r>
      <w:r>
        <w:rPr>
          <w:rFonts w:cs="Times New Roman"/>
        </w:rPr>
        <w:t>、</w:t>
      </w:r>
      <w:r>
        <w:rPr>
          <w:rFonts w:hint="eastAsia" w:cs="Times New Roman"/>
        </w:rPr>
        <w:t>中部城乡综合服务区</w:t>
      </w:r>
      <w:r>
        <w:rPr>
          <w:rFonts w:cs="Times New Roman"/>
        </w:rPr>
        <w:t>、</w:t>
      </w:r>
      <w:r>
        <w:rPr>
          <w:rFonts w:hint="eastAsia" w:cs="Times New Roman"/>
        </w:rPr>
        <w:t>东部生态环境保育区</w:t>
      </w:r>
      <w:r>
        <w:rPr>
          <w:rFonts w:cs="Times New Roman"/>
        </w:rPr>
        <w:t>，打造三大乡域经济引擎。</w:t>
      </w:r>
    </w:p>
    <w:p w14:paraId="601C3356">
      <w:pPr>
        <w:ind w:firstLine="640"/>
        <w:rPr>
          <w:rFonts w:cs="Times New Roman"/>
        </w:rPr>
      </w:pPr>
      <w:r>
        <w:rPr>
          <w:rFonts w:cs="Times New Roman"/>
        </w:rPr>
        <w:t>——</w:t>
      </w:r>
      <w:bookmarkStart w:id="22" w:name="OLE_LINK4"/>
      <w:r>
        <w:rPr>
          <w:rFonts w:hint="eastAsia" w:cs="Times New Roman"/>
        </w:rPr>
        <w:t>西部特色温泉产业区</w:t>
      </w:r>
      <w:bookmarkEnd w:id="22"/>
      <w:r>
        <w:rPr>
          <w:rFonts w:cs="Times New Roman"/>
        </w:rPr>
        <w:t>。以</w:t>
      </w:r>
      <w:r>
        <w:rPr>
          <w:rFonts w:hint="eastAsia" w:cs="Times New Roman"/>
        </w:rPr>
        <w:t>大川村县域范围内特色温泉资源</w:t>
      </w:r>
      <w:r>
        <w:rPr>
          <w:rFonts w:cs="Times New Roman"/>
        </w:rPr>
        <w:t>为基础，大力发展</w:t>
      </w:r>
      <w:r>
        <w:rPr>
          <w:rFonts w:hint="eastAsia" w:cs="Times New Roman"/>
        </w:rPr>
        <w:t>特色民宿、优质稻米种植</w:t>
      </w:r>
      <w:r>
        <w:rPr>
          <w:rFonts w:cs="Times New Roman"/>
        </w:rPr>
        <w:t>等</w:t>
      </w:r>
      <w:r>
        <w:rPr>
          <w:rFonts w:hint="eastAsia" w:cs="Times New Roman"/>
        </w:rPr>
        <w:t>特色产业</w:t>
      </w:r>
      <w:r>
        <w:rPr>
          <w:rFonts w:cs="Times New Roman"/>
        </w:rPr>
        <w:t>，</w:t>
      </w:r>
      <w:r>
        <w:rPr>
          <w:rFonts w:hint="eastAsia" w:cs="Times New Roman"/>
        </w:rPr>
        <w:t>建立桓仁温泉产业发展中心，构建温泉+产业体系</w:t>
      </w:r>
      <w:r>
        <w:rPr>
          <w:rFonts w:cs="Times New Roman"/>
        </w:rPr>
        <w:t>；</w:t>
      </w:r>
    </w:p>
    <w:p w14:paraId="34EA47D4">
      <w:pPr>
        <w:spacing w:line="360" w:lineRule="auto"/>
        <w:ind w:firstLine="640"/>
        <w:rPr>
          <w:rFonts w:cs="Times New Roman"/>
        </w:rPr>
      </w:pPr>
      <w:r>
        <w:rPr>
          <w:rFonts w:cs="Times New Roman"/>
        </w:rPr>
        <w:t>——</w:t>
      </w:r>
      <w:bookmarkStart w:id="23" w:name="OLE_LINK5"/>
      <w:r>
        <w:rPr>
          <w:rFonts w:hint="eastAsia" w:cs="Times New Roman"/>
        </w:rPr>
        <w:t>中部城乡综合服务区</w:t>
      </w:r>
      <w:bookmarkEnd w:id="23"/>
      <w:r>
        <w:rPr>
          <w:rFonts w:cs="Times New Roman"/>
        </w:rPr>
        <w:t>。</w:t>
      </w:r>
      <w:r>
        <w:rPr>
          <w:rFonts w:hint="eastAsia" w:cs="Times New Roman"/>
        </w:rPr>
        <w:t>结合黑沟乡中心区综合服务和乡域发展核心优势，大力发展规模化、特色化、智慧化设施农业，打造区域优势农业品牌。</w:t>
      </w:r>
      <w:r>
        <w:rPr>
          <w:rFonts w:hint="eastAsia" w:ascii="仿宋_GB2312" w:hAnsi="仿宋_GB2312" w:cs="仿宋_GB2312"/>
          <w:szCs w:val="32"/>
        </w:rPr>
        <w:t>在稻米种植、民宿综合开发等方面加大招商引资力度，推动整村农业产业快速发展</w:t>
      </w:r>
      <w:r>
        <w:rPr>
          <w:rFonts w:hint="eastAsia" w:ascii="仿宋" w:hAnsi="仿宋" w:eastAsia="仿宋" w:cs="仿宋"/>
          <w:szCs w:val="32"/>
        </w:rPr>
        <w:t>。</w:t>
      </w:r>
      <w:r>
        <w:rPr>
          <w:rFonts w:hint="eastAsia" w:ascii="仿宋_GB2312" w:hAnsi="仿宋_GB2312" w:cs="仿宋_GB2312"/>
          <w:szCs w:val="32"/>
        </w:rPr>
        <w:t>利用乡域中药材种植优势，结合现有制药企业，进一步开发六道沟村</w:t>
      </w:r>
    </w:p>
    <w:p w14:paraId="1AD264D6">
      <w:pPr>
        <w:ind w:firstLine="640"/>
        <w:jc w:val="left"/>
        <w:rPr>
          <w:rFonts w:cs="Times New Roman"/>
          <w:i/>
          <w:iCs/>
        </w:rPr>
      </w:pPr>
      <w:r>
        <w:rPr>
          <w:rFonts w:cs="Times New Roman"/>
        </w:rPr>
        <w:t>——</w:t>
      </w:r>
      <w:bookmarkStart w:id="24" w:name="OLE_LINK6"/>
      <w:r>
        <w:rPr>
          <w:rFonts w:hint="eastAsia" w:cs="Times New Roman"/>
        </w:rPr>
        <w:t>东部生态环境保育区</w:t>
      </w:r>
      <w:bookmarkEnd w:id="24"/>
      <w:r>
        <w:rPr>
          <w:rFonts w:cs="Times New Roman"/>
        </w:rPr>
        <w:t>。</w:t>
      </w:r>
      <w:r>
        <w:rPr>
          <w:rFonts w:hint="eastAsia" w:cs="Times New Roman"/>
        </w:rPr>
        <w:t>大东沟社区为东部生态环境保育区主要载体，打造黑沟乡环水库重要生态保育区，严格控制对水源保护有影响的相关产业类型发展，保障东部重要生态功能。</w:t>
      </w:r>
    </w:p>
    <w:bookmarkEnd w:id="21"/>
    <w:p w14:paraId="147330E6">
      <w:pPr>
        <w:pStyle w:val="3"/>
        <w:rPr>
          <w:rFonts w:ascii="Times New Roman" w:hAnsi="Times New Roman" w:cs="Times New Roman"/>
          <w:color w:val="auto"/>
        </w:rPr>
      </w:pPr>
      <w:bookmarkStart w:id="25" w:name="_Toc220921262"/>
      <w:r>
        <w:rPr>
          <w:rFonts w:ascii="Times New Roman" w:hAnsi="Times New Roman" w:cs="Times New Roman"/>
          <w:color w:val="auto"/>
        </w:rPr>
        <w:t>第二节重要控制线划定</w:t>
      </w:r>
      <w:bookmarkEnd w:id="25"/>
    </w:p>
    <w:p w14:paraId="2227A227">
      <w:pPr>
        <w:pStyle w:val="4"/>
        <w:numPr>
          <w:ilvl w:val="0"/>
          <w:numId w:val="10"/>
        </w:numPr>
        <w:ind w:left="198" w:firstLine="641"/>
      </w:pPr>
      <w:r>
        <w:t>耕地和永久基本农田</w:t>
      </w:r>
    </w:p>
    <w:p w14:paraId="6584674A">
      <w:pPr>
        <w:ind w:firstLine="640"/>
        <w:rPr>
          <w:rFonts w:cs="Times New Roman"/>
        </w:rPr>
      </w:pPr>
      <w:r>
        <w:rPr>
          <w:rFonts w:cs="Times New Roman"/>
        </w:rPr>
        <w:t>落实《桓仁满族自治县国土空间总体规划（2021-2035年）》下达的耕地和永久基本农田约束指标，严守永久基本农田控制线，优化永久基本农田布局，</w:t>
      </w:r>
      <w:r>
        <w:rPr>
          <w:rFonts w:cs="Times New Roman"/>
          <w:u w:val="single"/>
        </w:rPr>
        <w:t>全域转落耕地保护目标1728.47公顷，转落永久基本农田面积</w:t>
      </w:r>
      <w:r>
        <w:rPr>
          <w:rFonts w:hint="eastAsia" w:cs="Times New Roman"/>
          <w:u w:val="single"/>
        </w:rPr>
        <w:t>1640.59</w:t>
      </w:r>
      <w:r>
        <w:rPr>
          <w:rFonts w:cs="Times New Roman"/>
          <w:u w:val="single"/>
        </w:rPr>
        <w:t>公顷，</w:t>
      </w:r>
      <w:r>
        <w:rPr>
          <w:rFonts w:cs="Times New Roman"/>
        </w:rPr>
        <w:t>占全域国土总面积的</w:t>
      </w:r>
      <w:r>
        <w:rPr>
          <w:rFonts w:hint="eastAsia" w:cs="Times New Roman"/>
        </w:rPr>
        <w:t>7.69</w:t>
      </w:r>
      <w:r>
        <w:rPr>
          <w:rFonts w:cs="Times New Roman"/>
        </w:rPr>
        <w:t>%。</w:t>
      </w:r>
      <w:r>
        <w:rPr>
          <w:rFonts w:cs="Times New Roman"/>
          <w:lang w:bidi="ar"/>
        </w:rPr>
        <w:t>严格落实国家对耕地和永久基本农田保护红线的法律法规与规范性文件。</w:t>
      </w:r>
    </w:p>
    <w:p w14:paraId="237B79C5">
      <w:pPr>
        <w:pStyle w:val="4"/>
      </w:pPr>
      <w:r>
        <w:t>生态保护红线</w:t>
      </w:r>
    </w:p>
    <w:p w14:paraId="52FB4605">
      <w:pPr>
        <w:ind w:firstLine="640"/>
        <w:rPr>
          <w:rFonts w:cs="Times New Roman"/>
        </w:rPr>
      </w:pPr>
      <w:r>
        <w:rPr>
          <w:rFonts w:cs="Times New Roman"/>
        </w:rPr>
        <w:t>落实《桓仁满族自治县国土空间总体规划（2021-2035年）》下达的生态保护红线约束性指标，</w:t>
      </w:r>
      <w:r>
        <w:rPr>
          <w:rFonts w:cs="Times New Roman"/>
          <w:u w:val="single"/>
        </w:rPr>
        <w:t>全域转落生态保护红线面积</w:t>
      </w:r>
      <w:r>
        <w:rPr>
          <w:rFonts w:hint="eastAsia" w:cs="Times New Roman"/>
          <w:u w:val="single"/>
        </w:rPr>
        <w:t>11222.64</w:t>
      </w:r>
      <w:r>
        <w:rPr>
          <w:rFonts w:cs="Times New Roman"/>
          <w:u w:val="single"/>
        </w:rPr>
        <w:t>公顷，</w:t>
      </w:r>
      <w:r>
        <w:rPr>
          <w:rFonts w:cs="Times New Roman"/>
        </w:rPr>
        <w:t>占全域国土总面积的</w:t>
      </w:r>
      <w:r>
        <w:rPr>
          <w:rFonts w:hint="eastAsia" w:cs="Times New Roman"/>
        </w:rPr>
        <w:t>0.53</w:t>
      </w:r>
      <w:r>
        <w:rPr>
          <w:rFonts w:cs="Times New Roman"/>
        </w:rPr>
        <w:t>%。</w:t>
      </w:r>
      <w:r>
        <w:rPr>
          <w:rFonts w:cs="Times New Roman"/>
          <w:lang w:bidi="ar"/>
        </w:rPr>
        <w:t>严格落实国家、省对生态保护红线的法律法规与规范性文件。</w:t>
      </w:r>
    </w:p>
    <w:p w14:paraId="0CBA044A">
      <w:pPr>
        <w:pStyle w:val="4"/>
      </w:pPr>
      <w:r>
        <w:t>城镇开发边界</w:t>
      </w:r>
    </w:p>
    <w:p w14:paraId="57432F86">
      <w:pPr>
        <w:ind w:firstLine="640"/>
        <w:rPr>
          <w:rFonts w:cs="Times New Roman"/>
          <w:lang w:bidi="ar"/>
        </w:rPr>
      </w:pPr>
      <w:r>
        <w:rPr>
          <w:rFonts w:cs="Times New Roman"/>
        </w:rPr>
        <w:t>落实《桓仁满族自治县国土空间总体规划（2021-2035年）》下达的城镇开发边界约束性指标，</w:t>
      </w:r>
      <w:r>
        <w:rPr>
          <w:rFonts w:cs="Times New Roman"/>
          <w:u w:val="single"/>
        </w:rPr>
        <w:t>全域转落城镇开发边界面积</w:t>
      </w:r>
      <w:r>
        <w:rPr>
          <w:rFonts w:hint="eastAsia" w:cs="Times New Roman"/>
          <w:u w:val="single"/>
        </w:rPr>
        <w:t>53.15</w:t>
      </w:r>
      <w:r>
        <w:rPr>
          <w:rFonts w:cs="Times New Roman"/>
          <w:u w:val="single"/>
        </w:rPr>
        <w:t>公顷</w:t>
      </w:r>
      <w:r>
        <w:rPr>
          <w:rFonts w:cs="Times New Roman"/>
        </w:rPr>
        <w:t>。</w:t>
      </w:r>
      <w:r>
        <w:rPr>
          <w:rFonts w:cs="Times New Roman"/>
          <w:lang w:bidi="ar"/>
        </w:rPr>
        <w:t>严格落实国家、省对城镇开发边界的法律法规与规范性文件。</w:t>
      </w:r>
    </w:p>
    <w:p w14:paraId="4782FAB3">
      <w:pPr>
        <w:pStyle w:val="4"/>
      </w:pPr>
      <w:r>
        <w:t>村庄建设边界</w:t>
      </w:r>
    </w:p>
    <w:p w14:paraId="06D888C3">
      <w:pPr>
        <w:ind w:firstLine="640"/>
        <w:rPr>
          <w:rFonts w:cs="Times New Roman"/>
        </w:rPr>
      </w:pPr>
      <w:r>
        <w:rPr>
          <w:rFonts w:cs="Times New Roman"/>
        </w:rPr>
        <w:t>以村庄建设边界初划成果为基础，结合村庄发展需要，在符合“三区三线”管控要求前提下，优化村庄建设边界，推动乡村建设用地集约利用，</w:t>
      </w:r>
      <w:r>
        <w:rPr>
          <w:rFonts w:cs="Times New Roman"/>
          <w:u w:val="single"/>
        </w:rPr>
        <w:t>全域划定村庄建设边界</w:t>
      </w:r>
      <w:r>
        <w:rPr>
          <w:rFonts w:hint="eastAsia" w:cs="Times New Roman"/>
          <w:u w:val="single"/>
        </w:rPr>
        <w:t>352.53</w:t>
      </w:r>
      <w:r>
        <w:rPr>
          <w:rFonts w:cs="Times New Roman"/>
          <w:u w:val="single"/>
        </w:rPr>
        <w:t>公顷，坚持集聚建设，引导乡村建设向边界内集聚</w:t>
      </w:r>
      <w:r>
        <w:rPr>
          <w:rFonts w:cs="Times New Roman"/>
        </w:rPr>
        <w:t>。其中村庄规划新增区</w:t>
      </w:r>
      <w:r>
        <w:rPr>
          <w:rFonts w:hint="eastAsia" w:cs="Times New Roman"/>
        </w:rPr>
        <w:t>72.02</w:t>
      </w:r>
      <w:r>
        <w:rPr>
          <w:rFonts w:cs="Times New Roman"/>
        </w:rPr>
        <w:t>公顷。全域村庄建设边界规模不超过2020年度国土变更调查村庄用地规模。</w:t>
      </w:r>
    </w:p>
    <w:p w14:paraId="3C034B40">
      <w:pPr>
        <w:widowControl/>
        <w:adjustRightInd w:val="0"/>
        <w:snapToGrid w:val="0"/>
        <w:ind w:firstLine="640"/>
        <w:rPr>
          <w:rFonts w:cs="Times New Roman"/>
        </w:rPr>
      </w:pPr>
      <w:r>
        <w:rPr>
          <w:rFonts w:cs="Times New Roman"/>
        </w:rPr>
        <w:t>强化村庄建设边界对开发建设行为的刚性约束作用。积极引导乡村建设行为向村庄建设用地边界内集聚，鼓励乡村建设用地复合利用。必要情况外，原则上不在村庄建设边界外安排项目。在不占用耕地和永久基本农田、生态保护红线、不突破国土空间规划建设用地指标等约束条件、不破坏生态环境和乡村风貌的前提下，利用农村本地资源开展农产品初加工、发展休闲观光旅游而</w:t>
      </w:r>
      <w:r>
        <w:rPr>
          <w:rFonts w:hint="eastAsia" w:cs="Times New Roman"/>
        </w:rPr>
        <w:t>必需的</w:t>
      </w:r>
      <w:r>
        <w:rPr>
          <w:rFonts w:cs="Times New Roman"/>
        </w:rPr>
        <w:t>配套设施建设用地，可在村庄建设边界外安排少量“点状”建设用地；农村道路、电力、电讯等线性公益设施用地，以及宗教、殡葬等特殊用地可在边界外安排；符合县、镇级国土空间规划村庄国土空间用途管制规则和建设管控要求的可在边界外安排用地，项目确需建设的，可向县级自然资源主管部门申请使用机动指标。</w:t>
      </w:r>
    </w:p>
    <w:p w14:paraId="656AA8BE">
      <w:pPr>
        <w:pStyle w:val="4"/>
      </w:pPr>
      <w:r>
        <w:t>历史文化保护线</w:t>
      </w:r>
    </w:p>
    <w:p w14:paraId="47D880B3">
      <w:pPr>
        <w:ind w:firstLine="640"/>
        <w:rPr>
          <w:rFonts w:cs="Times New Roman"/>
          <w:szCs w:val="32"/>
          <w:lang w:bidi="ar"/>
        </w:rPr>
      </w:pPr>
      <w:r>
        <w:rPr>
          <w:rFonts w:cs="Times New Roman"/>
          <w:szCs w:val="32"/>
          <w:lang w:bidi="ar"/>
        </w:rPr>
        <w:t>保护</w:t>
      </w:r>
      <w:r>
        <w:rPr>
          <w:rFonts w:hint="eastAsia" w:cs="Times New Roman"/>
          <w:szCs w:val="32"/>
          <w:lang w:bidi="ar"/>
        </w:rPr>
        <w:t>黑沟</w:t>
      </w:r>
      <w:r>
        <w:rPr>
          <w:rFonts w:cs="Times New Roman"/>
          <w:szCs w:val="32"/>
          <w:lang w:bidi="ar"/>
        </w:rPr>
        <w:t>乡内的历史文化资源，包括</w:t>
      </w:r>
      <w:bookmarkStart w:id="26" w:name="OLE_LINK7"/>
      <w:r>
        <w:rPr>
          <w:rFonts w:hint="eastAsia" w:cs="Times New Roman"/>
          <w:szCs w:val="32"/>
          <w:lang w:bidi="ar"/>
        </w:rPr>
        <w:t>黑沟大川抗联遗址（含抗联一军烈士墓、青云寺秘密交通站、日军掩体及战壕遗址）</w:t>
      </w:r>
      <w:bookmarkEnd w:id="26"/>
      <w:r>
        <w:rPr>
          <w:rFonts w:hint="eastAsia" w:cs="Times New Roman"/>
          <w:szCs w:val="32"/>
          <w:lang w:bidi="ar"/>
        </w:rPr>
        <w:t>等，</w:t>
      </w:r>
      <w:r>
        <w:rPr>
          <w:rFonts w:cs="Times New Roman"/>
          <w:szCs w:val="32"/>
          <w:lang w:bidi="ar"/>
        </w:rPr>
        <w:t>统筹划定历史文化保护线，并及时落实动态补划。历史文化保护线的具体边界可在详细规划编制和实施中落实。在历史文化保护线范围内进行新建或者改建各类建筑物、构筑物和其他设施，对规划确定保护的建筑物、构筑物和其他设施进行修缮和维修以及改变建筑物、构筑物的使用性质，应当依照相关法律法规的规定，办理相关手续后方可进行。加强历史文化遗产与周边山水环境之间的整体保护，与所在地域农业、生态空间之间的协同保护与涉及建设活动空间之间的协调。</w:t>
      </w:r>
    </w:p>
    <w:p w14:paraId="28467C27">
      <w:pPr>
        <w:ind w:firstLine="640"/>
        <w:rPr>
          <w:rFonts w:cs="Times New Roman"/>
          <w:szCs w:val="32"/>
          <w:lang w:bidi="ar"/>
        </w:rPr>
      </w:pPr>
    </w:p>
    <w:tbl>
      <w:tblPr>
        <w:tblStyle w:val="15"/>
        <w:tblW w:w="4998" w:type="pct"/>
        <w:tblInd w:w="0" w:type="dxa"/>
        <w:tblLayout w:type="autofit"/>
        <w:tblCellMar>
          <w:top w:w="0" w:type="dxa"/>
          <w:left w:w="108" w:type="dxa"/>
          <w:bottom w:w="0" w:type="dxa"/>
          <w:right w:w="108" w:type="dxa"/>
        </w:tblCellMar>
      </w:tblPr>
      <w:tblGrid>
        <w:gridCol w:w="1117"/>
        <w:gridCol w:w="1121"/>
        <w:gridCol w:w="2025"/>
        <w:gridCol w:w="1663"/>
        <w:gridCol w:w="1301"/>
        <w:gridCol w:w="1301"/>
      </w:tblGrid>
      <w:tr w14:paraId="4C50C93C">
        <w:tblPrEx>
          <w:tblCellMar>
            <w:top w:w="0" w:type="dxa"/>
            <w:left w:w="108" w:type="dxa"/>
            <w:bottom w:w="0" w:type="dxa"/>
            <w:right w:w="108" w:type="dxa"/>
          </w:tblCellMar>
        </w:tblPrEx>
        <w:trPr>
          <w:trHeight w:val="270" w:hRule="atLeast"/>
        </w:trPr>
        <w:tc>
          <w:tcPr>
            <w:tcW w:w="805" w:type="pct"/>
            <w:tcBorders>
              <w:top w:val="single" w:color="000000" w:sz="8" w:space="0"/>
              <w:left w:val="single" w:color="000000" w:sz="8" w:space="0"/>
              <w:bottom w:val="single" w:color="000000" w:sz="8" w:space="0"/>
              <w:right w:val="single" w:color="000000" w:sz="8" w:space="0"/>
            </w:tcBorders>
            <w:noWrap/>
            <w:vAlign w:val="bottom"/>
          </w:tcPr>
          <w:p w14:paraId="4D5E8850">
            <w:pPr>
              <w:tabs>
                <w:tab w:val="left" w:pos="360"/>
              </w:tabs>
              <w:snapToGrid w:val="0"/>
              <w:spacing w:line="240" w:lineRule="auto"/>
              <w:ind w:firstLine="0" w:firstLineChars="0"/>
              <w:jc w:val="center"/>
              <w:textAlignment w:val="baseline"/>
              <w:rPr>
                <w:rFonts w:cs="Times New Roman"/>
                <w:b/>
                <w:kern w:val="21"/>
                <w:sz w:val="21"/>
                <w:szCs w:val="21"/>
              </w:rPr>
            </w:pPr>
            <w:r>
              <w:rPr>
                <w:rFonts w:hint="eastAsia" w:cs="Times New Roman"/>
                <w:b/>
                <w:kern w:val="21"/>
                <w:sz w:val="21"/>
                <w:szCs w:val="21"/>
              </w:rPr>
              <w:t>行政村名</w:t>
            </w:r>
          </w:p>
        </w:tc>
        <w:tc>
          <w:tcPr>
            <w:tcW w:w="863" w:type="pct"/>
            <w:tcBorders>
              <w:top w:val="single" w:color="000000" w:sz="8" w:space="0"/>
              <w:left w:val="nil"/>
              <w:bottom w:val="single" w:color="000000" w:sz="8" w:space="0"/>
              <w:right w:val="single" w:color="000000" w:sz="8" w:space="0"/>
            </w:tcBorders>
            <w:noWrap/>
            <w:vAlign w:val="bottom"/>
          </w:tcPr>
          <w:p w14:paraId="3EA03E9A">
            <w:pPr>
              <w:tabs>
                <w:tab w:val="left" w:pos="360"/>
              </w:tabs>
              <w:snapToGrid w:val="0"/>
              <w:spacing w:line="240" w:lineRule="auto"/>
              <w:ind w:firstLine="0" w:firstLineChars="0"/>
              <w:jc w:val="center"/>
              <w:textAlignment w:val="baseline"/>
              <w:rPr>
                <w:rFonts w:cs="Times New Roman"/>
                <w:b/>
                <w:kern w:val="21"/>
                <w:sz w:val="21"/>
                <w:szCs w:val="21"/>
              </w:rPr>
            </w:pPr>
            <w:r>
              <w:rPr>
                <w:rFonts w:hint="eastAsia" w:cs="Times New Roman"/>
                <w:b/>
                <w:kern w:val="21"/>
                <w:sz w:val="21"/>
                <w:szCs w:val="21"/>
              </w:rPr>
              <w:t>耕地保有量</w:t>
            </w:r>
          </w:p>
        </w:tc>
        <w:tc>
          <w:tcPr>
            <w:tcW w:w="1138" w:type="pct"/>
            <w:tcBorders>
              <w:top w:val="single" w:color="000000" w:sz="8" w:space="0"/>
              <w:left w:val="nil"/>
              <w:bottom w:val="single" w:color="000000" w:sz="8" w:space="0"/>
              <w:right w:val="single" w:color="000000" w:sz="8" w:space="0"/>
            </w:tcBorders>
            <w:noWrap/>
            <w:vAlign w:val="bottom"/>
          </w:tcPr>
          <w:p w14:paraId="248E761C">
            <w:pPr>
              <w:tabs>
                <w:tab w:val="left" w:pos="360"/>
              </w:tabs>
              <w:snapToGrid w:val="0"/>
              <w:spacing w:line="240" w:lineRule="auto"/>
              <w:ind w:firstLine="0" w:firstLineChars="0"/>
              <w:jc w:val="center"/>
              <w:textAlignment w:val="baseline"/>
              <w:rPr>
                <w:rFonts w:cs="Times New Roman"/>
                <w:b/>
                <w:kern w:val="21"/>
                <w:sz w:val="21"/>
                <w:szCs w:val="21"/>
              </w:rPr>
            </w:pPr>
            <w:r>
              <w:rPr>
                <w:rFonts w:hint="eastAsia" w:cs="Times New Roman"/>
                <w:b/>
                <w:kern w:val="21"/>
                <w:sz w:val="21"/>
                <w:szCs w:val="21"/>
              </w:rPr>
              <w:t>永久基本农田保护面积</w:t>
            </w:r>
          </w:p>
        </w:tc>
        <w:tc>
          <w:tcPr>
            <w:tcW w:w="762" w:type="pct"/>
            <w:tcBorders>
              <w:top w:val="single" w:color="000000" w:sz="8" w:space="0"/>
              <w:left w:val="nil"/>
              <w:bottom w:val="single" w:color="000000" w:sz="8" w:space="0"/>
              <w:right w:val="single" w:color="000000" w:sz="8" w:space="0"/>
            </w:tcBorders>
            <w:noWrap/>
            <w:vAlign w:val="bottom"/>
          </w:tcPr>
          <w:p w14:paraId="0855D3B0">
            <w:pPr>
              <w:tabs>
                <w:tab w:val="left" w:pos="360"/>
              </w:tabs>
              <w:snapToGrid w:val="0"/>
              <w:spacing w:line="240" w:lineRule="auto"/>
              <w:ind w:firstLine="0" w:firstLineChars="0"/>
              <w:jc w:val="center"/>
              <w:textAlignment w:val="baseline"/>
              <w:rPr>
                <w:rFonts w:cs="Times New Roman"/>
                <w:b/>
                <w:kern w:val="21"/>
                <w:sz w:val="21"/>
                <w:szCs w:val="21"/>
              </w:rPr>
            </w:pPr>
            <w:r>
              <w:rPr>
                <w:rFonts w:hint="eastAsia" w:cs="Times New Roman"/>
                <w:b/>
                <w:kern w:val="21"/>
                <w:sz w:val="21"/>
                <w:szCs w:val="21"/>
              </w:rPr>
              <w:t>生态保护红线面积</w:t>
            </w:r>
          </w:p>
        </w:tc>
        <w:tc>
          <w:tcPr>
            <w:tcW w:w="625" w:type="pct"/>
            <w:tcBorders>
              <w:top w:val="single" w:color="000000" w:sz="8" w:space="0"/>
              <w:left w:val="nil"/>
              <w:bottom w:val="single" w:color="000000" w:sz="8" w:space="0"/>
              <w:right w:val="single" w:color="000000" w:sz="8" w:space="0"/>
            </w:tcBorders>
            <w:noWrap/>
            <w:vAlign w:val="bottom"/>
          </w:tcPr>
          <w:p w14:paraId="5FA6AD4D">
            <w:pPr>
              <w:tabs>
                <w:tab w:val="left" w:pos="360"/>
              </w:tabs>
              <w:snapToGrid w:val="0"/>
              <w:spacing w:line="240" w:lineRule="auto"/>
              <w:ind w:firstLine="0" w:firstLineChars="0"/>
              <w:jc w:val="center"/>
              <w:textAlignment w:val="baseline"/>
              <w:rPr>
                <w:rFonts w:cs="Times New Roman"/>
                <w:b/>
                <w:kern w:val="21"/>
                <w:sz w:val="21"/>
                <w:szCs w:val="21"/>
              </w:rPr>
            </w:pPr>
            <w:r>
              <w:rPr>
                <w:rFonts w:hint="eastAsia" w:cs="Times New Roman"/>
                <w:b/>
                <w:kern w:val="21"/>
                <w:sz w:val="21"/>
                <w:szCs w:val="21"/>
              </w:rPr>
              <w:t>城镇开发边界</w:t>
            </w:r>
          </w:p>
        </w:tc>
        <w:tc>
          <w:tcPr>
            <w:tcW w:w="805" w:type="pct"/>
            <w:tcBorders>
              <w:top w:val="single" w:color="000000" w:sz="8" w:space="0"/>
              <w:left w:val="nil"/>
              <w:bottom w:val="single" w:color="000000" w:sz="8" w:space="0"/>
              <w:right w:val="single" w:color="000000" w:sz="8" w:space="0"/>
            </w:tcBorders>
            <w:noWrap/>
            <w:vAlign w:val="bottom"/>
          </w:tcPr>
          <w:p w14:paraId="18533CD0">
            <w:pPr>
              <w:tabs>
                <w:tab w:val="left" w:pos="360"/>
              </w:tabs>
              <w:snapToGrid w:val="0"/>
              <w:spacing w:line="240" w:lineRule="auto"/>
              <w:ind w:firstLine="0" w:firstLineChars="0"/>
              <w:jc w:val="center"/>
              <w:textAlignment w:val="baseline"/>
              <w:rPr>
                <w:rFonts w:cs="Times New Roman"/>
                <w:b/>
                <w:kern w:val="21"/>
                <w:sz w:val="21"/>
                <w:szCs w:val="21"/>
              </w:rPr>
            </w:pPr>
            <w:r>
              <w:rPr>
                <w:rFonts w:hint="eastAsia" w:cs="Times New Roman"/>
                <w:b/>
                <w:kern w:val="21"/>
                <w:sz w:val="21"/>
                <w:szCs w:val="21"/>
              </w:rPr>
              <w:t>村庄建设边界</w:t>
            </w:r>
          </w:p>
        </w:tc>
      </w:tr>
      <w:tr w14:paraId="26905705">
        <w:tblPrEx>
          <w:tblCellMar>
            <w:top w:w="0" w:type="dxa"/>
            <w:left w:w="108" w:type="dxa"/>
            <w:bottom w:w="0" w:type="dxa"/>
            <w:right w:w="108" w:type="dxa"/>
          </w:tblCellMar>
        </w:tblPrEx>
        <w:trPr>
          <w:trHeight w:val="285" w:hRule="atLeast"/>
        </w:trPr>
        <w:tc>
          <w:tcPr>
            <w:tcW w:w="805" w:type="pct"/>
            <w:tcBorders>
              <w:top w:val="nil"/>
              <w:left w:val="single" w:color="000000" w:sz="8" w:space="0"/>
              <w:bottom w:val="single" w:color="000000" w:sz="8" w:space="0"/>
              <w:right w:val="single" w:color="000000" w:sz="8" w:space="0"/>
            </w:tcBorders>
            <w:noWrap/>
            <w:vAlign w:val="bottom"/>
          </w:tcPr>
          <w:p w14:paraId="5244DC2F">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大川村</w:t>
            </w:r>
          </w:p>
        </w:tc>
        <w:tc>
          <w:tcPr>
            <w:tcW w:w="863" w:type="pct"/>
            <w:tcBorders>
              <w:top w:val="nil"/>
              <w:left w:val="nil"/>
              <w:bottom w:val="single" w:color="000000" w:sz="8" w:space="0"/>
              <w:right w:val="single" w:color="000000" w:sz="8" w:space="0"/>
            </w:tcBorders>
            <w:noWrap/>
            <w:vAlign w:val="bottom"/>
          </w:tcPr>
          <w:p w14:paraId="36BFEBAA">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587.17</w:t>
            </w:r>
          </w:p>
        </w:tc>
        <w:tc>
          <w:tcPr>
            <w:tcW w:w="1138" w:type="pct"/>
            <w:tcBorders>
              <w:top w:val="nil"/>
              <w:left w:val="nil"/>
              <w:bottom w:val="single" w:color="000000" w:sz="8" w:space="0"/>
              <w:right w:val="single" w:color="000000" w:sz="8" w:space="0"/>
            </w:tcBorders>
            <w:noWrap/>
            <w:vAlign w:val="bottom"/>
          </w:tcPr>
          <w:p w14:paraId="7BC0A482">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571.94</w:t>
            </w:r>
          </w:p>
        </w:tc>
        <w:tc>
          <w:tcPr>
            <w:tcW w:w="762" w:type="pct"/>
            <w:tcBorders>
              <w:top w:val="nil"/>
              <w:left w:val="nil"/>
              <w:bottom w:val="single" w:color="000000" w:sz="8" w:space="0"/>
              <w:right w:val="single" w:color="000000" w:sz="8" w:space="0"/>
            </w:tcBorders>
            <w:noWrap/>
            <w:vAlign w:val="bottom"/>
          </w:tcPr>
          <w:p w14:paraId="28740192">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1535.56</w:t>
            </w:r>
          </w:p>
        </w:tc>
        <w:tc>
          <w:tcPr>
            <w:tcW w:w="625" w:type="pct"/>
            <w:tcBorders>
              <w:top w:val="single" w:color="000000" w:sz="8" w:space="0"/>
              <w:left w:val="nil"/>
              <w:bottom w:val="single" w:color="000000" w:sz="8" w:space="0"/>
              <w:right w:val="single" w:color="000000" w:sz="8" w:space="0"/>
            </w:tcBorders>
            <w:noWrap/>
            <w:vAlign w:val="bottom"/>
          </w:tcPr>
          <w:p w14:paraId="056CF8B6">
            <w:pPr>
              <w:tabs>
                <w:tab w:val="left" w:pos="360"/>
              </w:tabs>
              <w:snapToGrid w:val="0"/>
              <w:spacing w:line="240" w:lineRule="auto"/>
              <w:ind w:firstLine="0" w:firstLineChars="0"/>
              <w:jc w:val="center"/>
              <w:textAlignment w:val="baseline"/>
              <w:rPr>
                <w:rFonts w:cs="Times New Roman"/>
                <w:bCs/>
                <w:kern w:val="21"/>
                <w:sz w:val="21"/>
                <w:szCs w:val="21"/>
              </w:rPr>
            </w:pPr>
          </w:p>
        </w:tc>
        <w:tc>
          <w:tcPr>
            <w:tcW w:w="805" w:type="pct"/>
            <w:tcBorders>
              <w:top w:val="single" w:color="000000" w:sz="8" w:space="0"/>
              <w:left w:val="nil"/>
              <w:bottom w:val="single" w:color="000000" w:sz="8" w:space="0"/>
              <w:right w:val="single" w:color="000000" w:sz="8" w:space="0"/>
            </w:tcBorders>
            <w:noWrap/>
            <w:vAlign w:val="bottom"/>
          </w:tcPr>
          <w:p w14:paraId="408E1A36">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107.32</w:t>
            </w:r>
          </w:p>
        </w:tc>
      </w:tr>
      <w:tr w14:paraId="5DCF4FD7">
        <w:tblPrEx>
          <w:tblCellMar>
            <w:top w:w="0" w:type="dxa"/>
            <w:left w:w="108" w:type="dxa"/>
            <w:bottom w:w="0" w:type="dxa"/>
            <w:right w:w="108" w:type="dxa"/>
          </w:tblCellMar>
        </w:tblPrEx>
        <w:trPr>
          <w:trHeight w:val="285" w:hRule="atLeast"/>
        </w:trPr>
        <w:tc>
          <w:tcPr>
            <w:tcW w:w="805" w:type="pct"/>
            <w:tcBorders>
              <w:top w:val="nil"/>
              <w:left w:val="single" w:color="000000" w:sz="8" w:space="0"/>
              <w:bottom w:val="single" w:color="000000" w:sz="8" w:space="0"/>
              <w:right w:val="single" w:color="000000" w:sz="8" w:space="0"/>
            </w:tcBorders>
            <w:noWrap/>
            <w:vAlign w:val="bottom"/>
          </w:tcPr>
          <w:p w14:paraId="0A6726A6">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大东沟社区</w:t>
            </w:r>
          </w:p>
        </w:tc>
        <w:tc>
          <w:tcPr>
            <w:tcW w:w="863" w:type="pct"/>
            <w:tcBorders>
              <w:top w:val="nil"/>
              <w:left w:val="nil"/>
              <w:bottom w:val="single" w:color="000000" w:sz="8" w:space="0"/>
              <w:right w:val="single" w:color="000000" w:sz="8" w:space="0"/>
            </w:tcBorders>
            <w:noWrap/>
            <w:vAlign w:val="bottom"/>
          </w:tcPr>
          <w:p w14:paraId="32425AE3">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57.68</w:t>
            </w:r>
          </w:p>
        </w:tc>
        <w:tc>
          <w:tcPr>
            <w:tcW w:w="1138" w:type="pct"/>
            <w:tcBorders>
              <w:top w:val="nil"/>
              <w:left w:val="nil"/>
              <w:bottom w:val="single" w:color="000000" w:sz="8" w:space="0"/>
              <w:right w:val="single" w:color="000000" w:sz="8" w:space="0"/>
            </w:tcBorders>
            <w:noWrap/>
            <w:vAlign w:val="bottom"/>
          </w:tcPr>
          <w:p w14:paraId="36A5933A">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52.64</w:t>
            </w:r>
          </w:p>
        </w:tc>
        <w:tc>
          <w:tcPr>
            <w:tcW w:w="762" w:type="pct"/>
            <w:tcBorders>
              <w:top w:val="nil"/>
              <w:left w:val="nil"/>
              <w:bottom w:val="single" w:color="000000" w:sz="8" w:space="0"/>
              <w:right w:val="single" w:color="000000" w:sz="8" w:space="0"/>
            </w:tcBorders>
            <w:noWrap/>
            <w:vAlign w:val="bottom"/>
          </w:tcPr>
          <w:p w14:paraId="090DECF8">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4747.32</w:t>
            </w:r>
          </w:p>
        </w:tc>
        <w:tc>
          <w:tcPr>
            <w:tcW w:w="625" w:type="pct"/>
            <w:tcBorders>
              <w:top w:val="single" w:color="000000" w:sz="8" w:space="0"/>
              <w:left w:val="nil"/>
              <w:bottom w:val="single" w:color="000000" w:sz="8" w:space="0"/>
              <w:right w:val="single" w:color="000000" w:sz="8" w:space="0"/>
            </w:tcBorders>
            <w:noWrap/>
            <w:vAlign w:val="bottom"/>
          </w:tcPr>
          <w:p w14:paraId="764891D9">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0.35</w:t>
            </w:r>
          </w:p>
        </w:tc>
        <w:tc>
          <w:tcPr>
            <w:tcW w:w="805" w:type="pct"/>
            <w:tcBorders>
              <w:top w:val="single" w:color="000000" w:sz="8" w:space="0"/>
              <w:left w:val="nil"/>
              <w:bottom w:val="single" w:color="000000" w:sz="8" w:space="0"/>
              <w:right w:val="single" w:color="000000" w:sz="8" w:space="0"/>
            </w:tcBorders>
            <w:noWrap/>
            <w:vAlign w:val="bottom"/>
          </w:tcPr>
          <w:p w14:paraId="59103508">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38.41</w:t>
            </w:r>
          </w:p>
        </w:tc>
      </w:tr>
      <w:tr w14:paraId="37C7404A">
        <w:tblPrEx>
          <w:tblCellMar>
            <w:top w:w="0" w:type="dxa"/>
            <w:left w:w="108" w:type="dxa"/>
            <w:bottom w:w="0" w:type="dxa"/>
            <w:right w:w="108" w:type="dxa"/>
          </w:tblCellMar>
        </w:tblPrEx>
        <w:trPr>
          <w:trHeight w:val="285" w:hRule="atLeast"/>
        </w:trPr>
        <w:tc>
          <w:tcPr>
            <w:tcW w:w="805" w:type="pct"/>
            <w:tcBorders>
              <w:top w:val="nil"/>
              <w:left w:val="single" w:color="000000" w:sz="8" w:space="0"/>
              <w:bottom w:val="single" w:color="000000" w:sz="8" w:space="0"/>
              <w:right w:val="single" w:color="000000" w:sz="8" w:space="0"/>
            </w:tcBorders>
            <w:noWrap/>
            <w:vAlign w:val="bottom"/>
          </w:tcPr>
          <w:p w14:paraId="7536E66F">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黑沟村</w:t>
            </w:r>
          </w:p>
        </w:tc>
        <w:tc>
          <w:tcPr>
            <w:tcW w:w="863" w:type="pct"/>
            <w:tcBorders>
              <w:top w:val="nil"/>
              <w:left w:val="nil"/>
              <w:bottom w:val="single" w:color="000000" w:sz="8" w:space="0"/>
              <w:right w:val="single" w:color="000000" w:sz="8" w:space="0"/>
            </w:tcBorders>
            <w:noWrap/>
            <w:vAlign w:val="bottom"/>
          </w:tcPr>
          <w:p w14:paraId="56332FC7">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311.9</w:t>
            </w:r>
          </w:p>
        </w:tc>
        <w:tc>
          <w:tcPr>
            <w:tcW w:w="1138" w:type="pct"/>
            <w:tcBorders>
              <w:top w:val="nil"/>
              <w:left w:val="nil"/>
              <w:bottom w:val="single" w:color="000000" w:sz="8" w:space="0"/>
              <w:right w:val="single" w:color="000000" w:sz="8" w:space="0"/>
            </w:tcBorders>
            <w:noWrap/>
            <w:vAlign w:val="bottom"/>
          </w:tcPr>
          <w:p w14:paraId="04BCBE16">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294.02</w:t>
            </w:r>
          </w:p>
        </w:tc>
        <w:tc>
          <w:tcPr>
            <w:tcW w:w="762" w:type="pct"/>
            <w:tcBorders>
              <w:top w:val="nil"/>
              <w:left w:val="nil"/>
              <w:bottom w:val="single" w:color="000000" w:sz="8" w:space="0"/>
              <w:right w:val="single" w:color="000000" w:sz="8" w:space="0"/>
            </w:tcBorders>
            <w:noWrap/>
            <w:vAlign w:val="bottom"/>
          </w:tcPr>
          <w:p w14:paraId="57D50ED5">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1827.48</w:t>
            </w:r>
          </w:p>
        </w:tc>
        <w:tc>
          <w:tcPr>
            <w:tcW w:w="625" w:type="pct"/>
            <w:tcBorders>
              <w:top w:val="single" w:color="000000" w:sz="8" w:space="0"/>
              <w:left w:val="nil"/>
              <w:bottom w:val="single" w:color="000000" w:sz="8" w:space="0"/>
              <w:right w:val="single" w:color="000000" w:sz="8" w:space="0"/>
            </w:tcBorders>
            <w:noWrap/>
            <w:vAlign w:val="bottom"/>
          </w:tcPr>
          <w:p w14:paraId="23A6EE1A">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51.96</w:t>
            </w:r>
          </w:p>
        </w:tc>
        <w:tc>
          <w:tcPr>
            <w:tcW w:w="805" w:type="pct"/>
            <w:tcBorders>
              <w:top w:val="single" w:color="000000" w:sz="8" w:space="0"/>
              <w:left w:val="nil"/>
              <w:bottom w:val="single" w:color="000000" w:sz="8" w:space="0"/>
              <w:right w:val="single" w:color="000000" w:sz="8" w:space="0"/>
            </w:tcBorders>
            <w:noWrap/>
            <w:vAlign w:val="bottom"/>
          </w:tcPr>
          <w:p w14:paraId="5609246D">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55.15</w:t>
            </w:r>
          </w:p>
        </w:tc>
      </w:tr>
      <w:tr w14:paraId="4926BE31">
        <w:tblPrEx>
          <w:tblCellMar>
            <w:top w:w="0" w:type="dxa"/>
            <w:left w:w="108" w:type="dxa"/>
            <w:bottom w:w="0" w:type="dxa"/>
            <w:right w:w="108" w:type="dxa"/>
          </w:tblCellMar>
        </w:tblPrEx>
        <w:trPr>
          <w:trHeight w:val="285" w:hRule="atLeast"/>
        </w:trPr>
        <w:tc>
          <w:tcPr>
            <w:tcW w:w="805" w:type="pct"/>
            <w:tcBorders>
              <w:top w:val="nil"/>
              <w:left w:val="single" w:color="000000" w:sz="8" w:space="0"/>
              <w:bottom w:val="single" w:color="000000" w:sz="8" w:space="0"/>
              <w:right w:val="single" w:color="000000" w:sz="8" w:space="0"/>
            </w:tcBorders>
            <w:noWrap/>
            <w:vAlign w:val="bottom"/>
          </w:tcPr>
          <w:p w14:paraId="71FA36CA">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六道沟村</w:t>
            </w:r>
          </w:p>
        </w:tc>
        <w:tc>
          <w:tcPr>
            <w:tcW w:w="863" w:type="pct"/>
            <w:tcBorders>
              <w:top w:val="nil"/>
              <w:left w:val="nil"/>
              <w:bottom w:val="single" w:color="000000" w:sz="8" w:space="0"/>
              <w:right w:val="single" w:color="000000" w:sz="8" w:space="0"/>
            </w:tcBorders>
            <w:noWrap/>
            <w:vAlign w:val="bottom"/>
          </w:tcPr>
          <w:p w14:paraId="2714D068">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245.68</w:t>
            </w:r>
          </w:p>
        </w:tc>
        <w:tc>
          <w:tcPr>
            <w:tcW w:w="1138" w:type="pct"/>
            <w:tcBorders>
              <w:top w:val="nil"/>
              <w:left w:val="nil"/>
              <w:bottom w:val="single" w:color="000000" w:sz="8" w:space="0"/>
              <w:right w:val="single" w:color="000000" w:sz="8" w:space="0"/>
            </w:tcBorders>
            <w:noWrap/>
            <w:vAlign w:val="bottom"/>
          </w:tcPr>
          <w:p w14:paraId="648BE458">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215.38</w:t>
            </w:r>
          </w:p>
        </w:tc>
        <w:tc>
          <w:tcPr>
            <w:tcW w:w="762" w:type="pct"/>
            <w:tcBorders>
              <w:top w:val="nil"/>
              <w:left w:val="nil"/>
              <w:bottom w:val="single" w:color="000000" w:sz="8" w:space="0"/>
              <w:right w:val="single" w:color="000000" w:sz="8" w:space="0"/>
            </w:tcBorders>
            <w:noWrap/>
            <w:vAlign w:val="bottom"/>
          </w:tcPr>
          <w:p w14:paraId="65C3F782">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897.67</w:t>
            </w:r>
          </w:p>
        </w:tc>
        <w:tc>
          <w:tcPr>
            <w:tcW w:w="625" w:type="pct"/>
            <w:tcBorders>
              <w:top w:val="single" w:color="000000" w:sz="8" w:space="0"/>
              <w:left w:val="nil"/>
              <w:bottom w:val="single" w:color="000000" w:sz="8" w:space="0"/>
              <w:right w:val="single" w:color="000000" w:sz="8" w:space="0"/>
            </w:tcBorders>
            <w:noWrap/>
            <w:vAlign w:val="bottom"/>
          </w:tcPr>
          <w:p w14:paraId="29FB1384">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0.84</w:t>
            </w:r>
          </w:p>
        </w:tc>
        <w:tc>
          <w:tcPr>
            <w:tcW w:w="805" w:type="pct"/>
            <w:tcBorders>
              <w:top w:val="single" w:color="000000" w:sz="8" w:space="0"/>
              <w:left w:val="nil"/>
              <w:bottom w:val="single" w:color="000000" w:sz="8" w:space="0"/>
              <w:right w:val="single" w:color="000000" w:sz="8" w:space="0"/>
            </w:tcBorders>
            <w:noWrap/>
            <w:vAlign w:val="bottom"/>
          </w:tcPr>
          <w:p w14:paraId="202867E7">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56.16</w:t>
            </w:r>
          </w:p>
        </w:tc>
      </w:tr>
      <w:tr w14:paraId="3DD9DA5D">
        <w:tblPrEx>
          <w:tblCellMar>
            <w:top w:w="0" w:type="dxa"/>
            <w:left w:w="108" w:type="dxa"/>
            <w:bottom w:w="0" w:type="dxa"/>
            <w:right w:w="108" w:type="dxa"/>
          </w:tblCellMar>
        </w:tblPrEx>
        <w:trPr>
          <w:trHeight w:val="285" w:hRule="atLeast"/>
        </w:trPr>
        <w:tc>
          <w:tcPr>
            <w:tcW w:w="805" w:type="pct"/>
            <w:tcBorders>
              <w:top w:val="nil"/>
              <w:left w:val="single" w:color="000000" w:sz="8" w:space="0"/>
              <w:bottom w:val="single" w:color="000000" w:sz="8" w:space="0"/>
              <w:right w:val="single" w:color="000000" w:sz="8" w:space="0"/>
            </w:tcBorders>
            <w:noWrap/>
            <w:vAlign w:val="bottom"/>
          </w:tcPr>
          <w:p w14:paraId="6E5B3D42">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石虎子村</w:t>
            </w:r>
          </w:p>
        </w:tc>
        <w:tc>
          <w:tcPr>
            <w:tcW w:w="863" w:type="pct"/>
            <w:tcBorders>
              <w:top w:val="nil"/>
              <w:left w:val="nil"/>
              <w:bottom w:val="single" w:color="000000" w:sz="8" w:space="0"/>
              <w:right w:val="single" w:color="000000" w:sz="8" w:space="0"/>
            </w:tcBorders>
            <w:noWrap/>
            <w:vAlign w:val="bottom"/>
          </w:tcPr>
          <w:p w14:paraId="3D49F68D">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526.04</w:t>
            </w:r>
          </w:p>
        </w:tc>
        <w:tc>
          <w:tcPr>
            <w:tcW w:w="1138" w:type="pct"/>
            <w:tcBorders>
              <w:top w:val="nil"/>
              <w:left w:val="nil"/>
              <w:bottom w:val="single" w:color="000000" w:sz="8" w:space="0"/>
              <w:right w:val="single" w:color="000000" w:sz="8" w:space="0"/>
            </w:tcBorders>
            <w:noWrap/>
            <w:vAlign w:val="bottom"/>
          </w:tcPr>
          <w:p w14:paraId="59845683">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506.61</w:t>
            </w:r>
          </w:p>
        </w:tc>
        <w:tc>
          <w:tcPr>
            <w:tcW w:w="762" w:type="pct"/>
            <w:tcBorders>
              <w:top w:val="nil"/>
              <w:left w:val="nil"/>
              <w:bottom w:val="single" w:color="000000" w:sz="8" w:space="0"/>
              <w:right w:val="single" w:color="000000" w:sz="8" w:space="0"/>
            </w:tcBorders>
            <w:noWrap/>
            <w:vAlign w:val="bottom"/>
          </w:tcPr>
          <w:p w14:paraId="44F7D0E2">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2214.61</w:t>
            </w:r>
          </w:p>
        </w:tc>
        <w:tc>
          <w:tcPr>
            <w:tcW w:w="625" w:type="pct"/>
            <w:tcBorders>
              <w:top w:val="single" w:color="000000" w:sz="8" w:space="0"/>
              <w:left w:val="nil"/>
              <w:bottom w:val="single" w:color="000000" w:sz="8" w:space="0"/>
              <w:right w:val="single" w:color="000000" w:sz="8" w:space="0"/>
            </w:tcBorders>
            <w:noWrap/>
            <w:vAlign w:val="bottom"/>
          </w:tcPr>
          <w:p w14:paraId="72153A27">
            <w:pPr>
              <w:tabs>
                <w:tab w:val="left" w:pos="360"/>
              </w:tabs>
              <w:snapToGrid w:val="0"/>
              <w:spacing w:line="240" w:lineRule="auto"/>
              <w:ind w:firstLine="0" w:firstLineChars="0"/>
              <w:jc w:val="center"/>
              <w:textAlignment w:val="baseline"/>
              <w:rPr>
                <w:rFonts w:cs="Times New Roman"/>
                <w:bCs/>
                <w:kern w:val="21"/>
                <w:sz w:val="21"/>
                <w:szCs w:val="21"/>
              </w:rPr>
            </w:pPr>
          </w:p>
        </w:tc>
        <w:tc>
          <w:tcPr>
            <w:tcW w:w="805" w:type="pct"/>
            <w:tcBorders>
              <w:top w:val="single" w:color="000000" w:sz="8" w:space="0"/>
              <w:left w:val="nil"/>
              <w:bottom w:val="single" w:color="000000" w:sz="8" w:space="0"/>
              <w:right w:val="single" w:color="000000" w:sz="8" w:space="0"/>
            </w:tcBorders>
            <w:noWrap/>
            <w:vAlign w:val="bottom"/>
          </w:tcPr>
          <w:p w14:paraId="3364D205">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95.49</w:t>
            </w:r>
          </w:p>
        </w:tc>
      </w:tr>
      <w:tr w14:paraId="0A78EFCD">
        <w:tblPrEx>
          <w:tblCellMar>
            <w:top w:w="0" w:type="dxa"/>
            <w:left w:w="108" w:type="dxa"/>
            <w:bottom w:w="0" w:type="dxa"/>
            <w:right w:w="108" w:type="dxa"/>
          </w:tblCellMar>
        </w:tblPrEx>
        <w:trPr>
          <w:trHeight w:val="285" w:hRule="atLeast"/>
        </w:trPr>
        <w:tc>
          <w:tcPr>
            <w:tcW w:w="805" w:type="pct"/>
            <w:tcBorders>
              <w:top w:val="nil"/>
              <w:left w:val="single" w:color="000000" w:sz="8" w:space="0"/>
              <w:bottom w:val="single" w:color="000000" w:sz="8" w:space="0"/>
              <w:right w:val="single" w:color="000000" w:sz="8" w:space="0"/>
            </w:tcBorders>
            <w:noWrap/>
            <w:vAlign w:val="bottom"/>
          </w:tcPr>
          <w:p w14:paraId="699B05BD">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总计</w:t>
            </w:r>
          </w:p>
        </w:tc>
        <w:tc>
          <w:tcPr>
            <w:tcW w:w="863" w:type="pct"/>
            <w:tcBorders>
              <w:top w:val="nil"/>
              <w:left w:val="nil"/>
              <w:bottom w:val="single" w:color="000000" w:sz="8" w:space="0"/>
              <w:right w:val="single" w:color="000000" w:sz="8" w:space="0"/>
            </w:tcBorders>
            <w:noWrap/>
            <w:vAlign w:val="bottom"/>
          </w:tcPr>
          <w:p w14:paraId="7B380956">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1728.47</w:t>
            </w:r>
          </w:p>
        </w:tc>
        <w:tc>
          <w:tcPr>
            <w:tcW w:w="1138" w:type="pct"/>
            <w:tcBorders>
              <w:top w:val="nil"/>
              <w:left w:val="nil"/>
              <w:bottom w:val="single" w:color="000000" w:sz="8" w:space="0"/>
              <w:right w:val="single" w:color="000000" w:sz="8" w:space="0"/>
            </w:tcBorders>
            <w:noWrap/>
            <w:vAlign w:val="bottom"/>
          </w:tcPr>
          <w:p w14:paraId="2FCB14BD">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1640.59</w:t>
            </w:r>
          </w:p>
        </w:tc>
        <w:tc>
          <w:tcPr>
            <w:tcW w:w="762" w:type="pct"/>
            <w:tcBorders>
              <w:top w:val="nil"/>
              <w:left w:val="nil"/>
              <w:bottom w:val="single" w:color="000000" w:sz="8" w:space="0"/>
              <w:right w:val="single" w:color="000000" w:sz="8" w:space="0"/>
            </w:tcBorders>
            <w:noWrap/>
            <w:vAlign w:val="bottom"/>
          </w:tcPr>
          <w:p w14:paraId="1CE7711A">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11222.64</w:t>
            </w:r>
          </w:p>
        </w:tc>
        <w:tc>
          <w:tcPr>
            <w:tcW w:w="625" w:type="pct"/>
            <w:tcBorders>
              <w:top w:val="single" w:color="000000" w:sz="8" w:space="0"/>
              <w:left w:val="nil"/>
              <w:bottom w:val="single" w:color="000000" w:sz="8" w:space="0"/>
              <w:right w:val="single" w:color="000000" w:sz="8" w:space="0"/>
            </w:tcBorders>
            <w:noWrap/>
            <w:vAlign w:val="bottom"/>
          </w:tcPr>
          <w:p w14:paraId="75EAAF22">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53.15</w:t>
            </w:r>
          </w:p>
        </w:tc>
        <w:tc>
          <w:tcPr>
            <w:tcW w:w="805" w:type="pct"/>
            <w:tcBorders>
              <w:top w:val="single" w:color="000000" w:sz="8" w:space="0"/>
              <w:left w:val="nil"/>
              <w:bottom w:val="single" w:color="000000" w:sz="8" w:space="0"/>
              <w:right w:val="single" w:color="000000" w:sz="8" w:space="0"/>
            </w:tcBorders>
            <w:noWrap/>
            <w:vAlign w:val="bottom"/>
          </w:tcPr>
          <w:p w14:paraId="474DB080">
            <w:pPr>
              <w:tabs>
                <w:tab w:val="left" w:pos="360"/>
              </w:tabs>
              <w:snapToGrid w:val="0"/>
              <w:spacing w:line="240" w:lineRule="auto"/>
              <w:ind w:firstLine="0" w:firstLineChars="0"/>
              <w:jc w:val="center"/>
              <w:textAlignment w:val="baseline"/>
              <w:rPr>
                <w:rFonts w:cs="Times New Roman"/>
                <w:bCs/>
                <w:kern w:val="21"/>
                <w:sz w:val="21"/>
                <w:szCs w:val="21"/>
              </w:rPr>
            </w:pPr>
            <w:r>
              <w:rPr>
                <w:rFonts w:hint="eastAsia" w:cs="Times New Roman"/>
                <w:bCs/>
                <w:kern w:val="21"/>
                <w:sz w:val="21"/>
                <w:szCs w:val="21"/>
              </w:rPr>
              <w:t>352.53</w:t>
            </w:r>
          </w:p>
        </w:tc>
      </w:tr>
    </w:tbl>
    <w:p w14:paraId="640A65B1">
      <w:pPr>
        <w:ind w:firstLine="640"/>
        <w:rPr>
          <w:rFonts w:hint="eastAsia" w:cs="Times New Roman"/>
          <w:szCs w:val="32"/>
          <w:lang w:bidi="ar"/>
        </w:rPr>
      </w:pPr>
    </w:p>
    <w:p w14:paraId="57CE40A5">
      <w:pPr>
        <w:pStyle w:val="3"/>
        <w:rPr>
          <w:rFonts w:ascii="Times New Roman" w:hAnsi="Times New Roman" w:cs="Times New Roman"/>
          <w:color w:val="auto"/>
        </w:rPr>
      </w:pPr>
      <w:bookmarkStart w:id="27" w:name="_Toc220921263"/>
      <w:r>
        <w:rPr>
          <w:rFonts w:ascii="Times New Roman" w:hAnsi="Times New Roman" w:cs="Times New Roman"/>
          <w:color w:val="auto"/>
        </w:rPr>
        <w:t>第三节规划分区</w:t>
      </w:r>
      <w:bookmarkEnd w:id="27"/>
    </w:p>
    <w:p w14:paraId="1E92F02E">
      <w:pPr>
        <w:pStyle w:val="4"/>
        <w:numPr>
          <w:ilvl w:val="0"/>
          <w:numId w:val="11"/>
        </w:numPr>
        <w:ind w:left="198" w:firstLine="442"/>
      </w:pPr>
      <w:r>
        <w:t>规划分区</w:t>
      </w:r>
    </w:p>
    <w:p w14:paraId="0614E051">
      <w:pPr>
        <w:ind w:firstLine="640"/>
        <w:rPr>
          <w:rFonts w:cs="Times New Roman"/>
        </w:rPr>
      </w:pPr>
      <w:r>
        <w:rPr>
          <w:rFonts w:hint="eastAsia" w:cs="Times New Roman"/>
        </w:rPr>
        <w:t>规划分区分为一级规划分区和二级规划分区。一级规划分区包括以下6类：生态保护区、生态控制区、农田保护区、城镇发展区、乡村发展区、矿产能源发展区。城镇发展区和乡村发展区分别细分为二级规划分区。规划分区管控应按照国家转换原则和准入要求规定执行。</w:t>
      </w:r>
    </w:p>
    <w:p w14:paraId="69EE4177">
      <w:pPr>
        <w:ind w:firstLine="640"/>
        <w:rPr>
          <w:rFonts w:cs="Times New Roman"/>
        </w:rPr>
      </w:pPr>
      <w:r>
        <w:rPr>
          <w:rFonts w:hint="eastAsia" w:cs="Times New Roman"/>
        </w:rPr>
        <w:t>生态保护区指具有特殊重要生态功能或生态敏感脆弱、必须强制性严格保护的自然区域，总面积约为11223.40公顷，约占黑沟乡国土总面积的52.62%。</w:t>
      </w:r>
    </w:p>
    <w:p w14:paraId="74525B5A">
      <w:pPr>
        <w:ind w:firstLine="640"/>
        <w:rPr>
          <w:rFonts w:cs="Times New Roman"/>
        </w:rPr>
      </w:pPr>
      <w:r>
        <w:rPr>
          <w:rFonts w:hint="eastAsia" w:cs="Times New Roman"/>
        </w:rPr>
        <w:t>生态控制区指生态保护红线外，需要予以保留原貌、强化生态保育和生态建设、限制开发建设的区域，总面积约为7717.12公顷，约占黑沟乡国土总面积的36.18%。</w:t>
      </w:r>
    </w:p>
    <w:p w14:paraId="168785D5">
      <w:pPr>
        <w:ind w:firstLine="640"/>
        <w:rPr>
          <w:rFonts w:cs="Times New Roman"/>
        </w:rPr>
      </w:pPr>
      <w:r>
        <w:rPr>
          <w:rFonts w:hint="eastAsia" w:cs="Times New Roman"/>
        </w:rPr>
        <w:t>农田保护区指永久基本农田相对集中需严格保护的区域，主要分布在中部和东部等永久基本农田大规模集中的地区，总面积约为1641.32公顷，约占黑沟乡国土总面积的7.69%。</w:t>
      </w:r>
    </w:p>
    <w:p w14:paraId="6825F2DA">
      <w:pPr>
        <w:ind w:firstLine="640"/>
        <w:rPr>
          <w:rFonts w:cs="Times New Roman"/>
        </w:rPr>
      </w:pPr>
      <w:r>
        <w:rPr>
          <w:rFonts w:hint="eastAsia" w:cs="Times New Roman"/>
        </w:rPr>
        <w:t>乡村发展区指农田保护区外，为满足农林牧渔等农业发展以及农民集中生活和生产配套为主的区域，主要分布于城镇发展区、农田保护区周边，总面积约为596.32公顷，约占黑沟乡国土总面积的2.80%。</w:t>
      </w:r>
    </w:p>
    <w:p w14:paraId="12E2710F">
      <w:pPr>
        <w:ind w:firstLine="640"/>
        <w:rPr>
          <w:rFonts w:cs="Times New Roman"/>
        </w:rPr>
      </w:pPr>
      <w:r>
        <w:rPr>
          <w:rFonts w:hint="eastAsia" w:cs="Times New Roman"/>
        </w:rPr>
        <w:t>城镇发展区指城镇开发边界围合的范围，是城镇集中开发建设并可满足城镇生产、生活需要的区域，主要分布在黑沟乡中心区，总面积约为55.32公顷，约占黑沟乡国土总面积的0.26%。</w:t>
      </w:r>
    </w:p>
    <w:p w14:paraId="14181A74">
      <w:pPr>
        <w:ind w:firstLine="640"/>
        <w:rPr>
          <w:rFonts w:cs="Times New Roman"/>
        </w:rPr>
      </w:pPr>
      <w:r>
        <w:rPr>
          <w:rFonts w:hint="eastAsia" w:cs="Times New Roman"/>
        </w:rPr>
        <w:t>矿产能源发展区指为适应国家能源安全与矿业发展的重要陆域采矿区、战略性矿产储量区等区域，主要分布在大川村南侧，总面积约为97.43公顷，约占黑沟乡国土总面积的0.45%。</w:t>
      </w:r>
    </w:p>
    <w:p w14:paraId="7BBB8AFC">
      <w:pPr>
        <w:pStyle w:val="3"/>
        <w:rPr>
          <w:rFonts w:ascii="Times New Roman" w:hAnsi="Times New Roman" w:cs="Times New Roman"/>
          <w:color w:val="auto"/>
        </w:rPr>
      </w:pPr>
      <w:bookmarkStart w:id="28" w:name="_Toc220921264"/>
      <w:r>
        <w:rPr>
          <w:rFonts w:ascii="Times New Roman" w:hAnsi="Times New Roman" w:cs="Times New Roman"/>
          <w:color w:val="auto"/>
        </w:rPr>
        <w:t>第四节国土空间用途结构优化</w:t>
      </w:r>
      <w:bookmarkEnd w:id="28"/>
    </w:p>
    <w:p w14:paraId="64CFE440">
      <w:pPr>
        <w:ind w:firstLine="640"/>
        <w:rPr>
          <w:rFonts w:cs="Times New Roman"/>
        </w:rPr>
      </w:pPr>
      <w:r>
        <w:rPr>
          <w:rFonts w:cs="Times New Roman"/>
          <w:lang w:bidi="ar"/>
        </w:rPr>
        <w:t>加强全域用途管制，统筹国土空间用途结构优化。</w:t>
      </w:r>
    </w:p>
    <w:p w14:paraId="16744B16">
      <w:pPr>
        <w:pStyle w:val="4"/>
        <w:numPr>
          <w:ilvl w:val="0"/>
          <w:numId w:val="12"/>
        </w:numPr>
        <w:ind w:left="198" w:firstLine="641"/>
      </w:pPr>
      <w:r>
        <w:t>耕地和永久基本农田布局优化</w:t>
      </w:r>
    </w:p>
    <w:p w14:paraId="06714AAF">
      <w:pPr>
        <w:ind w:firstLine="640"/>
        <w:rPr>
          <w:rFonts w:cs="Times New Roman"/>
        </w:rPr>
      </w:pPr>
      <w:r>
        <w:rPr>
          <w:rFonts w:cs="Times New Roman"/>
        </w:rPr>
        <w:t>保障优化农业空间，落实最严格的耕地保护制度，多渠道补充耕地，切实完成耕地保护任务，通过实施土地整治等工程促使耕地尤其是永久基本农田集中连片布局。</w:t>
      </w:r>
    </w:p>
    <w:p w14:paraId="434ADE30">
      <w:pPr>
        <w:ind w:firstLine="640"/>
        <w:rPr>
          <w:rFonts w:cs="Times New Roman"/>
        </w:rPr>
      </w:pPr>
      <w:r>
        <w:rPr>
          <w:rFonts w:cs="Times New Roman"/>
        </w:rPr>
        <w:t>规划到2035年，耕地保护面积不低于</w:t>
      </w:r>
      <w:r>
        <w:rPr>
          <w:rFonts w:hint="eastAsia" w:cs="Times New Roman"/>
        </w:rPr>
        <w:t>1728.47</w:t>
      </w:r>
      <w:r>
        <w:rPr>
          <w:rFonts w:cs="Times New Roman"/>
        </w:rPr>
        <w:t>公顷，永久基本农田保护面积不低于</w:t>
      </w:r>
      <w:r>
        <w:rPr>
          <w:rFonts w:hint="eastAsia" w:cs="Times New Roman"/>
        </w:rPr>
        <w:t>1640.59</w:t>
      </w:r>
      <w:r>
        <w:rPr>
          <w:rFonts w:cs="Times New Roman"/>
        </w:rPr>
        <w:t>公顷。</w:t>
      </w:r>
    </w:p>
    <w:p w14:paraId="2A3A9D46">
      <w:pPr>
        <w:pStyle w:val="4"/>
      </w:pPr>
      <w:r>
        <w:t>园地布局优化</w:t>
      </w:r>
    </w:p>
    <w:p w14:paraId="25B044FF">
      <w:pPr>
        <w:ind w:firstLine="640"/>
        <w:rPr>
          <w:rFonts w:cs="Times New Roman"/>
        </w:rPr>
      </w:pPr>
      <w:r>
        <w:rPr>
          <w:rFonts w:cs="Times New Roman"/>
        </w:rPr>
        <w:t>规划期间合理引导园地发展，综合运用农业措施，改善生产条件，提高园地利用效益，推动农产品加工等产业发展。</w:t>
      </w:r>
    </w:p>
    <w:p w14:paraId="7653B7CF">
      <w:pPr>
        <w:pStyle w:val="4"/>
      </w:pPr>
      <w:r>
        <w:t>林草和水域用地布局优化</w:t>
      </w:r>
    </w:p>
    <w:p w14:paraId="04BF83DA">
      <w:pPr>
        <w:ind w:firstLine="640"/>
        <w:rPr>
          <w:rFonts w:cs="Times New Roman"/>
        </w:rPr>
      </w:pPr>
      <w:r>
        <w:rPr>
          <w:rFonts w:cs="Times New Roman"/>
        </w:rPr>
        <w:t>规划期间林地保持稳定发展，推进林地质量提升，在保护林地资源的前提下发展林下经济。草地主要以维护天然牧草地为主，适度改造宜牧荒草地，提升草地质量。保障重要河湖水面空间，保护湿地资源，筑牢生态源地，推动生态空间健康发展。</w:t>
      </w:r>
    </w:p>
    <w:p w14:paraId="4231FB37">
      <w:pPr>
        <w:pStyle w:val="4"/>
      </w:pPr>
      <w:r>
        <w:t>建设用地结构优化</w:t>
      </w:r>
    </w:p>
    <w:p w14:paraId="127F4F97">
      <w:pPr>
        <w:ind w:firstLine="640"/>
        <w:rPr>
          <w:rFonts w:cs="Times New Roman"/>
        </w:rPr>
      </w:pPr>
      <w:r>
        <w:rPr>
          <w:rFonts w:cs="Times New Roman"/>
        </w:rPr>
        <w:t>统筹城乡居住、基础设施、公共服务、产业发展布局，推动城乡建设用地结构优化。节约集约用地，引导工业区分散用地集中布局，优化职住比例和空间布局。提升公共管理与公共服务设施用地、商业服务业用地占比，增加基础设施，完善路网结构，鼓励宅基地集约化建设，引导乡村人口集中居住。</w:t>
      </w:r>
    </w:p>
    <w:p w14:paraId="391D08D5">
      <w:pPr>
        <w:ind w:firstLine="640"/>
        <w:rPr>
          <w:rFonts w:cs="Times New Roman"/>
        </w:rPr>
      </w:pPr>
      <w:r>
        <w:rPr>
          <w:rFonts w:cs="Times New Roman"/>
        </w:rPr>
        <w:t>促进建设用地集约利用。促进集约集聚建设，提高土地节约集约利用水平。推进闲置土地二次开发，积极引导城中村集中成片改造，推动城中村向现代化社区转变，提升土地利用效率和环境品质。逐步增加城乡建设用地增减挂钩、工矿废弃地复垦利用等流量指标，通过建设用地流量供应推动建设用地在城镇和农村内部、城乡之间合理流动。到2035年，全域城镇开发边界面积控制在</w:t>
      </w:r>
      <w:r>
        <w:rPr>
          <w:rFonts w:hint="eastAsia" w:cs="Times New Roman"/>
        </w:rPr>
        <w:t>0.53</w:t>
      </w:r>
      <w:r>
        <w:rPr>
          <w:rFonts w:cs="Times New Roman"/>
        </w:rPr>
        <w:t>平方公里以内。</w:t>
      </w:r>
    </w:p>
    <w:p w14:paraId="29E896F7">
      <w:pPr>
        <w:ind w:firstLine="640"/>
        <w:rPr>
          <w:rFonts w:cs="Times New Roman"/>
        </w:rPr>
      </w:pPr>
      <w:r>
        <w:rPr>
          <w:rFonts w:cs="Times New Roman"/>
        </w:rPr>
        <w:t>推动乡村建设用地集约利用。加强农村宅基地管理、推进农村土地综合整治，提升土地的综合承载能力，为乡村产业发展、公共服务设施建设提供有力支撑。引导工业向城镇产业空间集聚，加大产业集聚区基础设施建设投入。充分利用农村土地制度改革成果，合理保障农村新产业新业态发展用地。在符合法律法规、政策要求的前提下，可预留不高于5%的建设用地机动指标，用于村民居住、农村公共公益设施、零星分散的乡村文旅设施及农村新产业新业态等用地需求。到2035年，全域村庄建设用地规模控制在</w:t>
      </w:r>
      <w:r>
        <w:rPr>
          <w:rFonts w:hint="eastAsia" w:cs="Times New Roman"/>
        </w:rPr>
        <w:t>2.53</w:t>
      </w:r>
      <w:r>
        <w:rPr>
          <w:rFonts w:cs="Times New Roman"/>
        </w:rPr>
        <w:t>平方公里以内，新增村庄建设用地规模控制在</w:t>
      </w:r>
      <w:r>
        <w:rPr>
          <w:rFonts w:hint="eastAsia" w:cs="Times New Roman"/>
        </w:rPr>
        <w:t>72.02</w:t>
      </w:r>
      <w:r>
        <w:rPr>
          <w:rFonts w:cs="Times New Roman"/>
        </w:rPr>
        <w:t>公顷。</w:t>
      </w:r>
    </w:p>
    <w:p w14:paraId="2353D6BB">
      <w:pPr>
        <w:ind w:firstLine="640"/>
        <w:rPr>
          <w:rFonts w:cs="Times New Roman"/>
        </w:rPr>
      </w:pPr>
    </w:p>
    <w:tbl>
      <w:tblPr>
        <w:tblStyle w:val="15"/>
        <w:tblpPr w:leftFromText="180" w:rightFromText="180" w:vertAnchor="text" w:horzAnchor="page" w:tblpX="1806" w:tblpY="418"/>
        <w:tblOverlap w:val="never"/>
        <w:tblW w:w="4998" w:type="pct"/>
        <w:tblInd w:w="0" w:type="dxa"/>
        <w:tblLayout w:type="autofit"/>
        <w:tblCellMar>
          <w:top w:w="0" w:type="dxa"/>
          <w:left w:w="108" w:type="dxa"/>
          <w:bottom w:w="0" w:type="dxa"/>
          <w:right w:w="108" w:type="dxa"/>
        </w:tblCellMar>
      </w:tblPr>
      <w:tblGrid>
        <w:gridCol w:w="1418"/>
        <w:gridCol w:w="1419"/>
        <w:gridCol w:w="1965"/>
        <w:gridCol w:w="982"/>
        <w:gridCol w:w="1757"/>
        <w:gridCol w:w="984"/>
      </w:tblGrid>
      <w:tr w14:paraId="224A3766">
        <w:tblPrEx>
          <w:tblCellMar>
            <w:top w:w="0" w:type="dxa"/>
            <w:left w:w="108" w:type="dxa"/>
            <w:bottom w:w="0" w:type="dxa"/>
            <w:right w:w="108" w:type="dxa"/>
          </w:tblCellMar>
        </w:tblPrEx>
        <w:trPr>
          <w:trHeight w:val="270" w:hRule="atLeast"/>
        </w:trPr>
        <w:tc>
          <w:tcPr>
            <w:tcW w:w="1664" w:type="pct"/>
            <w:gridSpan w:val="2"/>
            <w:vMerge w:val="restart"/>
            <w:tcBorders>
              <w:top w:val="single" w:color="000000" w:sz="8" w:space="0"/>
              <w:left w:val="single" w:color="000000" w:sz="8" w:space="0"/>
              <w:bottom w:val="single" w:color="000000" w:sz="8" w:space="0"/>
              <w:right w:val="single" w:color="000000" w:sz="8" w:space="0"/>
            </w:tcBorders>
            <w:vAlign w:val="center"/>
          </w:tcPr>
          <w:p w14:paraId="5C943503">
            <w:pPr>
              <w:tabs>
                <w:tab w:val="left" w:pos="360"/>
              </w:tabs>
              <w:snapToGrid w:val="0"/>
              <w:spacing w:line="240" w:lineRule="auto"/>
              <w:ind w:firstLine="0" w:firstLineChars="0"/>
              <w:jc w:val="center"/>
              <w:textAlignment w:val="baseline"/>
              <w:rPr>
                <w:rFonts w:cs="Times New Roman"/>
                <w:bCs/>
                <w:kern w:val="21"/>
                <w:sz w:val="21"/>
                <w:szCs w:val="21"/>
                <w:lang w:bidi="zh-CN"/>
              </w:rPr>
            </w:pPr>
            <w:r>
              <w:rPr>
                <w:rFonts w:cs="Times New Roman"/>
                <w:bCs/>
                <w:kern w:val="21"/>
                <w:sz w:val="21"/>
                <w:szCs w:val="21"/>
                <w:lang w:bidi="zh-CN"/>
              </w:rPr>
              <w:t>用地类型</w:t>
            </w:r>
          </w:p>
        </w:tc>
        <w:tc>
          <w:tcPr>
            <w:tcW w:w="1728" w:type="pct"/>
            <w:gridSpan w:val="2"/>
            <w:tcBorders>
              <w:top w:val="single" w:color="000000" w:sz="8" w:space="0"/>
              <w:left w:val="nil"/>
              <w:bottom w:val="single" w:color="000000" w:sz="8" w:space="0"/>
              <w:right w:val="single" w:color="000000" w:sz="8" w:space="0"/>
            </w:tcBorders>
            <w:vAlign w:val="center"/>
          </w:tcPr>
          <w:p w14:paraId="3CC28D7B">
            <w:pPr>
              <w:tabs>
                <w:tab w:val="left" w:pos="360"/>
              </w:tabs>
              <w:snapToGrid w:val="0"/>
              <w:spacing w:line="240" w:lineRule="auto"/>
              <w:ind w:firstLine="0" w:firstLineChars="0"/>
              <w:jc w:val="center"/>
              <w:textAlignment w:val="baseline"/>
              <w:rPr>
                <w:rFonts w:cs="Times New Roman"/>
                <w:bCs/>
                <w:kern w:val="21"/>
                <w:sz w:val="21"/>
                <w:szCs w:val="21"/>
                <w:lang w:bidi="zh-CN"/>
              </w:rPr>
            </w:pPr>
            <w:r>
              <w:rPr>
                <w:rFonts w:cs="Times New Roman"/>
                <w:bCs/>
                <w:kern w:val="21"/>
                <w:sz w:val="21"/>
                <w:szCs w:val="21"/>
                <w:lang w:bidi="zh-CN"/>
              </w:rPr>
              <w:t>规划基期年</w:t>
            </w:r>
          </w:p>
        </w:tc>
        <w:tc>
          <w:tcPr>
            <w:tcW w:w="1607" w:type="pct"/>
            <w:gridSpan w:val="2"/>
            <w:tcBorders>
              <w:top w:val="single" w:color="000000" w:sz="8" w:space="0"/>
              <w:left w:val="nil"/>
              <w:bottom w:val="single" w:color="000000" w:sz="8" w:space="0"/>
              <w:right w:val="single" w:color="000000" w:sz="8" w:space="0"/>
            </w:tcBorders>
            <w:vAlign w:val="center"/>
          </w:tcPr>
          <w:p w14:paraId="0EBA75E9">
            <w:pPr>
              <w:tabs>
                <w:tab w:val="left" w:pos="360"/>
              </w:tabs>
              <w:snapToGrid w:val="0"/>
              <w:spacing w:line="240" w:lineRule="auto"/>
              <w:ind w:firstLine="0" w:firstLineChars="0"/>
              <w:jc w:val="center"/>
              <w:textAlignment w:val="baseline"/>
              <w:rPr>
                <w:rFonts w:cs="Times New Roman"/>
                <w:bCs/>
                <w:kern w:val="21"/>
                <w:sz w:val="21"/>
                <w:szCs w:val="21"/>
                <w:lang w:bidi="zh-CN"/>
              </w:rPr>
            </w:pPr>
            <w:r>
              <w:rPr>
                <w:rFonts w:cs="Times New Roman"/>
                <w:bCs/>
                <w:kern w:val="21"/>
                <w:sz w:val="21"/>
                <w:szCs w:val="21"/>
                <w:lang w:bidi="zh-CN"/>
              </w:rPr>
              <w:t>规划目标年</w:t>
            </w:r>
          </w:p>
        </w:tc>
      </w:tr>
      <w:tr w14:paraId="63B77451">
        <w:tblPrEx>
          <w:tblCellMar>
            <w:top w:w="0" w:type="dxa"/>
            <w:left w:w="108" w:type="dxa"/>
            <w:bottom w:w="0" w:type="dxa"/>
            <w:right w:w="108" w:type="dxa"/>
          </w:tblCellMar>
        </w:tblPrEx>
        <w:trPr>
          <w:trHeight w:val="270" w:hRule="atLeast"/>
        </w:trPr>
        <w:tc>
          <w:tcPr>
            <w:tcW w:w="1664" w:type="pct"/>
            <w:gridSpan w:val="2"/>
            <w:vMerge w:val="continue"/>
            <w:tcBorders>
              <w:top w:val="single" w:color="000000" w:sz="8" w:space="0"/>
              <w:left w:val="single" w:color="000000" w:sz="8" w:space="0"/>
              <w:bottom w:val="single" w:color="000000" w:sz="8" w:space="0"/>
              <w:right w:val="single" w:color="000000" w:sz="8" w:space="0"/>
            </w:tcBorders>
            <w:vAlign w:val="center"/>
          </w:tcPr>
          <w:p w14:paraId="143C1009">
            <w:pPr>
              <w:tabs>
                <w:tab w:val="left" w:pos="360"/>
              </w:tabs>
              <w:snapToGrid w:val="0"/>
              <w:spacing w:line="240" w:lineRule="auto"/>
              <w:ind w:firstLine="0" w:firstLineChars="0"/>
              <w:jc w:val="center"/>
              <w:textAlignment w:val="baseline"/>
              <w:rPr>
                <w:rFonts w:cs="Times New Roman"/>
                <w:bCs/>
                <w:kern w:val="21"/>
                <w:sz w:val="21"/>
                <w:szCs w:val="21"/>
              </w:rPr>
            </w:pPr>
          </w:p>
        </w:tc>
        <w:tc>
          <w:tcPr>
            <w:tcW w:w="1152" w:type="pct"/>
            <w:tcBorders>
              <w:top w:val="nil"/>
              <w:left w:val="nil"/>
              <w:bottom w:val="single" w:color="000000" w:sz="8" w:space="0"/>
              <w:right w:val="single" w:color="000000" w:sz="8" w:space="0"/>
            </w:tcBorders>
            <w:vAlign w:val="center"/>
          </w:tcPr>
          <w:p w14:paraId="5F3FE3C9">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面积</w:t>
            </w:r>
          </w:p>
        </w:tc>
        <w:tc>
          <w:tcPr>
            <w:tcW w:w="575" w:type="pct"/>
            <w:tcBorders>
              <w:top w:val="nil"/>
              <w:left w:val="nil"/>
              <w:bottom w:val="single" w:color="000000" w:sz="8" w:space="0"/>
              <w:right w:val="single" w:color="000000" w:sz="8" w:space="0"/>
            </w:tcBorders>
            <w:vAlign w:val="center"/>
          </w:tcPr>
          <w:p w14:paraId="311290E7">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比重</w:t>
            </w:r>
          </w:p>
        </w:tc>
        <w:tc>
          <w:tcPr>
            <w:tcW w:w="1030" w:type="pct"/>
            <w:tcBorders>
              <w:top w:val="single" w:color="000000" w:sz="8" w:space="0"/>
              <w:left w:val="nil"/>
              <w:bottom w:val="single" w:color="000000" w:sz="8" w:space="0"/>
              <w:right w:val="single" w:color="000000" w:sz="8" w:space="0"/>
            </w:tcBorders>
            <w:vAlign w:val="center"/>
          </w:tcPr>
          <w:p w14:paraId="304DC390">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面积</w:t>
            </w:r>
          </w:p>
        </w:tc>
        <w:tc>
          <w:tcPr>
            <w:tcW w:w="576" w:type="pct"/>
            <w:tcBorders>
              <w:top w:val="single" w:color="000000" w:sz="8" w:space="0"/>
              <w:left w:val="nil"/>
              <w:bottom w:val="single" w:color="000000" w:sz="8" w:space="0"/>
              <w:right w:val="single" w:color="000000" w:sz="8" w:space="0"/>
            </w:tcBorders>
            <w:vAlign w:val="center"/>
          </w:tcPr>
          <w:p w14:paraId="32543664">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比重</w:t>
            </w:r>
          </w:p>
        </w:tc>
      </w:tr>
      <w:tr w14:paraId="682DA488">
        <w:tblPrEx>
          <w:tblCellMar>
            <w:top w:w="0" w:type="dxa"/>
            <w:left w:w="108" w:type="dxa"/>
            <w:bottom w:w="0" w:type="dxa"/>
            <w:right w:w="108" w:type="dxa"/>
          </w:tblCellMar>
        </w:tblPrEx>
        <w:trPr>
          <w:trHeight w:val="285" w:hRule="atLeast"/>
        </w:trPr>
        <w:tc>
          <w:tcPr>
            <w:tcW w:w="1664" w:type="pct"/>
            <w:gridSpan w:val="2"/>
            <w:tcBorders>
              <w:top w:val="nil"/>
              <w:left w:val="single" w:color="000000" w:sz="8" w:space="0"/>
              <w:bottom w:val="single" w:color="000000" w:sz="8" w:space="0"/>
              <w:right w:val="single" w:color="000000" w:sz="8" w:space="0"/>
            </w:tcBorders>
            <w:vAlign w:val="center"/>
          </w:tcPr>
          <w:p w14:paraId="0FF6270A">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耕地</w:t>
            </w:r>
          </w:p>
        </w:tc>
        <w:tc>
          <w:tcPr>
            <w:tcW w:w="1152" w:type="pct"/>
            <w:tcBorders>
              <w:top w:val="nil"/>
              <w:left w:val="nil"/>
              <w:bottom w:val="single" w:color="000000" w:sz="8" w:space="0"/>
              <w:right w:val="single" w:color="000000" w:sz="8" w:space="0"/>
            </w:tcBorders>
            <w:noWrap/>
            <w:vAlign w:val="center"/>
          </w:tcPr>
          <w:p w14:paraId="7144556A">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1740.06</w:t>
            </w:r>
          </w:p>
        </w:tc>
        <w:tc>
          <w:tcPr>
            <w:tcW w:w="575" w:type="pct"/>
            <w:tcBorders>
              <w:top w:val="nil"/>
              <w:left w:val="nil"/>
              <w:bottom w:val="single" w:color="000000" w:sz="8" w:space="0"/>
              <w:right w:val="single" w:color="000000" w:sz="8" w:space="0"/>
            </w:tcBorders>
            <w:noWrap/>
            <w:vAlign w:val="center"/>
          </w:tcPr>
          <w:p w14:paraId="658DB8D8">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8.16</w:t>
            </w:r>
          </w:p>
        </w:tc>
        <w:tc>
          <w:tcPr>
            <w:tcW w:w="1030" w:type="pct"/>
            <w:tcBorders>
              <w:top w:val="nil"/>
              <w:left w:val="nil"/>
              <w:bottom w:val="single" w:color="000000" w:sz="8" w:space="0"/>
              <w:right w:val="single" w:color="000000" w:sz="8" w:space="0"/>
            </w:tcBorders>
            <w:vAlign w:val="center"/>
          </w:tcPr>
          <w:p w14:paraId="08F921B2">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≥1728.47</w:t>
            </w:r>
          </w:p>
        </w:tc>
        <w:tc>
          <w:tcPr>
            <w:tcW w:w="576" w:type="pct"/>
            <w:tcBorders>
              <w:top w:val="nil"/>
              <w:left w:val="nil"/>
              <w:bottom w:val="single" w:color="000000" w:sz="8" w:space="0"/>
              <w:right w:val="single" w:color="000000" w:sz="8" w:space="0"/>
            </w:tcBorders>
            <w:noWrap/>
            <w:vAlign w:val="center"/>
          </w:tcPr>
          <w:p w14:paraId="588E5A5E">
            <w:pPr>
              <w:tabs>
                <w:tab w:val="left" w:pos="360"/>
              </w:tabs>
              <w:snapToGrid w:val="0"/>
              <w:spacing w:line="240" w:lineRule="auto"/>
              <w:ind w:firstLine="0" w:firstLineChars="0"/>
              <w:jc w:val="center"/>
              <w:textAlignment w:val="baseline"/>
              <w:rPr>
                <w:rFonts w:cs="Times New Roman"/>
                <w:bCs/>
                <w:kern w:val="21"/>
                <w:sz w:val="21"/>
                <w:szCs w:val="21"/>
              </w:rPr>
            </w:pPr>
          </w:p>
        </w:tc>
      </w:tr>
      <w:tr w14:paraId="0917EF35">
        <w:tblPrEx>
          <w:tblCellMar>
            <w:top w:w="0" w:type="dxa"/>
            <w:left w:w="108" w:type="dxa"/>
            <w:bottom w:w="0" w:type="dxa"/>
            <w:right w:w="108" w:type="dxa"/>
          </w:tblCellMar>
        </w:tblPrEx>
        <w:trPr>
          <w:trHeight w:val="285" w:hRule="atLeast"/>
        </w:trPr>
        <w:tc>
          <w:tcPr>
            <w:tcW w:w="1664" w:type="pct"/>
            <w:gridSpan w:val="2"/>
            <w:tcBorders>
              <w:top w:val="nil"/>
              <w:left w:val="single" w:color="000000" w:sz="8" w:space="0"/>
              <w:bottom w:val="single" w:color="000000" w:sz="8" w:space="0"/>
              <w:right w:val="single" w:color="000000" w:sz="8" w:space="0"/>
            </w:tcBorders>
            <w:vAlign w:val="center"/>
          </w:tcPr>
          <w:p w14:paraId="3A0DF430">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园地</w:t>
            </w:r>
          </w:p>
        </w:tc>
        <w:tc>
          <w:tcPr>
            <w:tcW w:w="1152" w:type="pct"/>
            <w:tcBorders>
              <w:top w:val="nil"/>
              <w:left w:val="nil"/>
              <w:bottom w:val="single" w:color="000000" w:sz="8" w:space="0"/>
              <w:right w:val="single" w:color="000000" w:sz="8" w:space="0"/>
            </w:tcBorders>
            <w:noWrap/>
            <w:vAlign w:val="center"/>
          </w:tcPr>
          <w:p w14:paraId="445D95CD">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99.75</w:t>
            </w:r>
          </w:p>
        </w:tc>
        <w:tc>
          <w:tcPr>
            <w:tcW w:w="575" w:type="pct"/>
            <w:tcBorders>
              <w:top w:val="nil"/>
              <w:left w:val="nil"/>
              <w:bottom w:val="single" w:color="000000" w:sz="8" w:space="0"/>
              <w:right w:val="single" w:color="000000" w:sz="8" w:space="0"/>
            </w:tcBorders>
            <w:noWrap/>
            <w:vAlign w:val="center"/>
          </w:tcPr>
          <w:p w14:paraId="5548B46F">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0.47</w:t>
            </w:r>
          </w:p>
        </w:tc>
        <w:tc>
          <w:tcPr>
            <w:tcW w:w="1030" w:type="pct"/>
            <w:tcBorders>
              <w:top w:val="nil"/>
              <w:left w:val="nil"/>
              <w:bottom w:val="single" w:color="000000" w:sz="8" w:space="0"/>
              <w:right w:val="single" w:color="000000" w:sz="8" w:space="0"/>
            </w:tcBorders>
            <w:vAlign w:val="center"/>
          </w:tcPr>
          <w:p w14:paraId="613EF3CB">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保持稳定</w:t>
            </w:r>
          </w:p>
        </w:tc>
        <w:tc>
          <w:tcPr>
            <w:tcW w:w="576" w:type="pct"/>
            <w:tcBorders>
              <w:top w:val="nil"/>
              <w:left w:val="nil"/>
              <w:bottom w:val="single" w:color="000000" w:sz="8" w:space="0"/>
              <w:right w:val="single" w:color="000000" w:sz="8" w:space="0"/>
            </w:tcBorders>
            <w:noWrap/>
            <w:vAlign w:val="center"/>
          </w:tcPr>
          <w:p w14:paraId="471B9B0C">
            <w:pPr>
              <w:tabs>
                <w:tab w:val="left" w:pos="360"/>
              </w:tabs>
              <w:snapToGrid w:val="0"/>
              <w:spacing w:line="240" w:lineRule="auto"/>
              <w:ind w:firstLine="0" w:firstLineChars="0"/>
              <w:jc w:val="center"/>
              <w:textAlignment w:val="baseline"/>
              <w:rPr>
                <w:rFonts w:cs="Times New Roman"/>
                <w:bCs/>
                <w:kern w:val="21"/>
                <w:sz w:val="21"/>
                <w:szCs w:val="21"/>
              </w:rPr>
            </w:pPr>
          </w:p>
        </w:tc>
      </w:tr>
      <w:tr w14:paraId="1AB2AE13">
        <w:tblPrEx>
          <w:tblCellMar>
            <w:top w:w="0" w:type="dxa"/>
            <w:left w:w="108" w:type="dxa"/>
            <w:bottom w:w="0" w:type="dxa"/>
            <w:right w:w="108" w:type="dxa"/>
          </w:tblCellMar>
        </w:tblPrEx>
        <w:trPr>
          <w:trHeight w:val="285" w:hRule="atLeast"/>
        </w:trPr>
        <w:tc>
          <w:tcPr>
            <w:tcW w:w="1664" w:type="pct"/>
            <w:gridSpan w:val="2"/>
            <w:tcBorders>
              <w:top w:val="nil"/>
              <w:left w:val="single" w:color="000000" w:sz="8" w:space="0"/>
              <w:bottom w:val="single" w:color="000000" w:sz="8" w:space="0"/>
              <w:right w:val="single" w:color="000000" w:sz="8" w:space="0"/>
            </w:tcBorders>
            <w:vAlign w:val="center"/>
          </w:tcPr>
          <w:p w14:paraId="7640818B">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林地</w:t>
            </w:r>
          </w:p>
        </w:tc>
        <w:tc>
          <w:tcPr>
            <w:tcW w:w="1152" w:type="pct"/>
            <w:tcBorders>
              <w:top w:val="nil"/>
              <w:left w:val="nil"/>
              <w:bottom w:val="single" w:color="000000" w:sz="8" w:space="0"/>
              <w:right w:val="single" w:color="000000" w:sz="8" w:space="0"/>
            </w:tcBorders>
            <w:noWrap/>
            <w:vAlign w:val="center"/>
          </w:tcPr>
          <w:p w14:paraId="23B6A1AA">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16952.94</w:t>
            </w:r>
          </w:p>
        </w:tc>
        <w:tc>
          <w:tcPr>
            <w:tcW w:w="575" w:type="pct"/>
            <w:tcBorders>
              <w:top w:val="nil"/>
              <w:left w:val="nil"/>
              <w:bottom w:val="single" w:color="000000" w:sz="8" w:space="0"/>
              <w:right w:val="single" w:color="000000" w:sz="8" w:space="0"/>
            </w:tcBorders>
            <w:noWrap/>
            <w:vAlign w:val="center"/>
          </w:tcPr>
          <w:p w14:paraId="3064CD73">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79.48</w:t>
            </w:r>
          </w:p>
        </w:tc>
        <w:tc>
          <w:tcPr>
            <w:tcW w:w="1030" w:type="pct"/>
            <w:tcBorders>
              <w:top w:val="nil"/>
              <w:left w:val="nil"/>
              <w:bottom w:val="single" w:color="000000" w:sz="8" w:space="0"/>
              <w:right w:val="single" w:color="000000" w:sz="8" w:space="0"/>
            </w:tcBorders>
            <w:vAlign w:val="center"/>
          </w:tcPr>
          <w:p w14:paraId="262A94B0">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保持稳定</w:t>
            </w:r>
          </w:p>
        </w:tc>
        <w:tc>
          <w:tcPr>
            <w:tcW w:w="576" w:type="pct"/>
            <w:tcBorders>
              <w:top w:val="nil"/>
              <w:left w:val="nil"/>
              <w:bottom w:val="single" w:color="000000" w:sz="8" w:space="0"/>
              <w:right w:val="single" w:color="000000" w:sz="8" w:space="0"/>
            </w:tcBorders>
            <w:noWrap/>
            <w:vAlign w:val="center"/>
          </w:tcPr>
          <w:p w14:paraId="4A96EA98">
            <w:pPr>
              <w:tabs>
                <w:tab w:val="left" w:pos="360"/>
              </w:tabs>
              <w:snapToGrid w:val="0"/>
              <w:spacing w:line="240" w:lineRule="auto"/>
              <w:ind w:firstLine="0" w:firstLineChars="0"/>
              <w:jc w:val="center"/>
              <w:textAlignment w:val="baseline"/>
              <w:rPr>
                <w:rFonts w:cs="Times New Roman"/>
                <w:bCs/>
                <w:kern w:val="21"/>
                <w:sz w:val="21"/>
                <w:szCs w:val="21"/>
              </w:rPr>
            </w:pPr>
          </w:p>
        </w:tc>
      </w:tr>
      <w:tr w14:paraId="31BCE575">
        <w:tblPrEx>
          <w:tblCellMar>
            <w:top w:w="0" w:type="dxa"/>
            <w:left w:w="108" w:type="dxa"/>
            <w:bottom w:w="0" w:type="dxa"/>
            <w:right w:w="108" w:type="dxa"/>
          </w:tblCellMar>
        </w:tblPrEx>
        <w:trPr>
          <w:trHeight w:val="980" w:hRule="atLeast"/>
        </w:trPr>
        <w:tc>
          <w:tcPr>
            <w:tcW w:w="1664" w:type="pct"/>
            <w:gridSpan w:val="2"/>
            <w:tcBorders>
              <w:top w:val="nil"/>
              <w:left w:val="single" w:color="000000" w:sz="8" w:space="0"/>
              <w:bottom w:val="single" w:color="000000" w:sz="8" w:space="0"/>
              <w:right w:val="single" w:color="000000" w:sz="8" w:space="0"/>
            </w:tcBorders>
            <w:vAlign w:val="center"/>
          </w:tcPr>
          <w:p w14:paraId="53CCD51C">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草地</w:t>
            </w:r>
          </w:p>
        </w:tc>
        <w:tc>
          <w:tcPr>
            <w:tcW w:w="1152" w:type="pct"/>
            <w:tcBorders>
              <w:top w:val="nil"/>
              <w:left w:val="nil"/>
              <w:bottom w:val="single" w:color="000000" w:sz="8" w:space="0"/>
              <w:right w:val="single" w:color="000000" w:sz="8" w:space="0"/>
            </w:tcBorders>
            <w:noWrap/>
            <w:vAlign w:val="center"/>
          </w:tcPr>
          <w:p w14:paraId="74187493">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77.48</w:t>
            </w:r>
          </w:p>
        </w:tc>
        <w:tc>
          <w:tcPr>
            <w:tcW w:w="575" w:type="pct"/>
            <w:tcBorders>
              <w:top w:val="nil"/>
              <w:left w:val="nil"/>
              <w:bottom w:val="single" w:color="000000" w:sz="8" w:space="0"/>
              <w:right w:val="single" w:color="000000" w:sz="8" w:space="0"/>
            </w:tcBorders>
            <w:noWrap/>
            <w:vAlign w:val="center"/>
          </w:tcPr>
          <w:p w14:paraId="693D30B3">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0.36</w:t>
            </w:r>
          </w:p>
        </w:tc>
        <w:tc>
          <w:tcPr>
            <w:tcW w:w="1030" w:type="pct"/>
            <w:tcBorders>
              <w:top w:val="nil"/>
              <w:left w:val="nil"/>
              <w:bottom w:val="single" w:color="000000" w:sz="8" w:space="0"/>
              <w:right w:val="single" w:color="000000" w:sz="8" w:space="0"/>
            </w:tcBorders>
            <w:vAlign w:val="center"/>
          </w:tcPr>
          <w:p w14:paraId="6B822242">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总体略有下降（其中天然牧草地保持稳定）</w:t>
            </w:r>
          </w:p>
        </w:tc>
        <w:tc>
          <w:tcPr>
            <w:tcW w:w="576" w:type="pct"/>
            <w:tcBorders>
              <w:top w:val="nil"/>
              <w:left w:val="nil"/>
              <w:bottom w:val="single" w:color="000000" w:sz="8" w:space="0"/>
              <w:right w:val="single" w:color="000000" w:sz="8" w:space="0"/>
            </w:tcBorders>
            <w:noWrap/>
            <w:vAlign w:val="center"/>
          </w:tcPr>
          <w:p w14:paraId="7A693901">
            <w:pPr>
              <w:tabs>
                <w:tab w:val="left" w:pos="360"/>
              </w:tabs>
              <w:snapToGrid w:val="0"/>
              <w:spacing w:line="240" w:lineRule="auto"/>
              <w:ind w:firstLine="0" w:firstLineChars="0"/>
              <w:jc w:val="center"/>
              <w:textAlignment w:val="baseline"/>
              <w:rPr>
                <w:rFonts w:cs="Times New Roman"/>
                <w:bCs/>
                <w:kern w:val="21"/>
                <w:sz w:val="21"/>
                <w:szCs w:val="21"/>
              </w:rPr>
            </w:pPr>
          </w:p>
        </w:tc>
      </w:tr>
      <w:tr w14:paraId="5718A0C6">
        <w:tblPrEx>
          <w:tblCellMar>
            <w:top w:w="0" w:type="dxa"/>
            <w:left w:w="108" w:type="dxa"/>
            <w:bottom w:w="0" w:type="dxa"/>
            <w:right w:w="108" w:type="dxa"/>
          </w:tblCellMar>
        </w:tblPrEx>
        <w:trPr>
          <w:trHeight w:val="285" w:hRule="atLeast"/>
        </w:trPr>
        <w:tc>
          <w:tcPr>
            <w:tcW w:w="1664" w:type="pct"/>
            <w:gridSpan w:val="2"/>
            <w:tcBorders>
              <w:top w:val="nil"/>
              <w:left w:val="single" w:color="000000" w:sz="8" w:space="0"/>
              <w:bottom w:val="single" w:color="000000" w:sz="8" w:space="0"/>
              <w:right w:val="single" w:color="000000" w:sz="8" w:space="0"/>
            </w:tcBorders>
            <w:vAlign w:val="center"/>
          </w:tcPr>
          <w:p w14:paraId="36BB8A5A">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湿地</w:t>
            </w:r>
          </w:p>
        </w:tc>
        <w:tc>
          <w:tcPr>
            <w:tcW w:w="1152" w:type="pct"/>
            <w:tcBorders>
              <w:top w:val="nil"/>
              <w:left w:val="nil"/>
              <w:bottom w:val="single" w:color="000000" w:sz="8" w:space="0"/>
              <w:right w:val="single" w:color="000000" w:sz="8" w:space="0"/>
            </w:tcBorders>
            <w:noWrap/>
            <w:vAlign w:val="center"/>
          </w:tcPr>
          <w:p w14:paraId="53B77829">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84.6</w:t>
            </w:r>
          </w:p>
        </w:tc>
        <w:tc>
          <w:tcPr>
            <w:tcW w:w="575" w:type="pct"/>
            <w:tcBorders>
              <w:top w:val="nil"/>
              <w:left w:val="nil"/>
              <w:bottom w:val="single" w:color="000000" w:sz="8" w:space="0"/>
              <w:right w:val="single" w:color="000000" w:sz="8" w:space="0"/>
            </w:tcBorders>
            <w:noWrap/>
            <w:vAlign w:val="center"/>
          </w:tcPr>
          <w:p w14:paraId="40899217">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0.4</w:t>
            </w:r>
          </w:p>
        </w:tc>
        <w:tc>
          <w:tcPr>
            <w:tcW w:w="1030" w:type="pct"/>
            <w:tcBorders>
              <w:top w:val="nil"/>
              <w:left w:val="nil"/>
              <w:bottom w:val="single" w:color="000000" w:sz="8" w:space="0"/>
              <w:right w:val="single" w:color="000000" w:sz="8" w:space="0"/>
            </w:tcBorders>
            <w:vAlign w:val="center"/>
          </w:tcPr>
          <w:p w14:paraId="78B643FC">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保持稳定</w:t>
            </w:r>
          </w:p>
        </w:tc>
        <w:tc>
          <w:tcPr>
            <w:tcW w:w="576" w:type="pct"/>
            <w:tcBorders>
              <w:top w:val="nil"/>
              <w:left w:val="nil"/>
              <w:bottom w:val="single" w:color="000000" w:sz="8" w:space="0"/>
              <w:right w:val="single" w:color="000000" w:sz="8" w:space="0"/>
            </w:tcBorders>
            <w:noWrap/>
            <w:vAlign w:val="center"/>
          </w:tcPr>
          <w:p w14:paraId="035B0D44">
            <w:pPr>
              <w:tabs>
                <w:tab w:val="left" w:pos="360"/>
              </w:tabs>
              <w:snapToGrid w:val="0"/>
              <w:spacing w:line="240" w:lineRule="auto"/>
              <w:ind w:firstLine="0" w:firstLineChars="0"/>
              <w:jc w:val="center"/>
              <w:textAlignment w:val="baseline"/>
              <w:rPr>
                <w:rFonts w:cs="Times New Roman"/>
                <w:bCs/>
                <w:kern w:val="21"/>
                <w:sz w:val="21"/>
                <w:szCs w:val="21"/>
              </w:rPr>
            </w:pPr>
          </w:p>
        </w:tc>
      </w:tr>
      <w:tr w14:paraId="11B9C94E">
        <w:tblPrEx>
          <w:tblCellMar>
            <w:top w:w="0" w:type="dxa"/>
            <w:left w:w="108" w:type="dxa"/>
            <w:bottom w:w="0" w:type="dxa"/>
            <w:right w:w="108" w:type="dxa"/>
          </w:tblCellMar>
        </w:tblPrEx>
        <w:trPr>
          <w:trHeight w:val="90" w:hRule="atLeast"/>
        </w:trPr>
        <w:tc>
          <w:tcPr>
            <w:tcW w:w="1664" w:type="pct"/>
            <w:gridSpan w:val="2"/>
            <w:tcBorders>
              <w:top w:val="nil"/>
              <w:left w:val="single" w:color="000000" w:sz="8" w:space="0"/>
              <w:bottom w:val="single" w:color="000000" w:sz="8" w:space="0"/>
              <w:right w:val="single" w:color="000000" w:sz="8" w:space="0"/>
            </w:tcBorders>
            <w:vAlign w:val="center"/>
          </w:tcPr>
          <w:p w14:paraId="66DCB92C">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农业设施建设用地</w:t>
            </w:r>
          </w:p>
        </w:tc>
        <w:tc>
          <w:tcPr>
            <w:tcW w:w="1152" w:type="pct"/>
            <w:tcBorders>
              <w:top w:val="nil"/>
              <w:left w:val="nil"/>
              <w:bottom w:val="single" w:color="000000" w:sz="8" w:space="0"/>
              <w:right w:val="single" w:color="000000" w:sz="8" w:space="0"/>
            </w:tcBorders>
            <w:noWrap/>
            <w:vAlign w:val="center"/>
          </w:tcPr>
          <w:p w14:paraId="3CB8C6BE">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111.15</w:t>
            </w:r>
          </w:p>
        </w:tc>
        <w:tc>
          <w:tcPr>
            <w:tcW w:w="575" w:type="pct"/>
            <w:tcBorders>
              <w:top w:val="nil"/>
              <w:left w:val="nil"/>
              <w:bottom w:val="single" w:color="000000" w:sz="8" w:space="0"/>
              <w:right w:val="single" w:color="000000" w:sz="8" w:space="0"/>
            </w:tcBorders>
            <w:noWrap/>
            <w:vAlign w:val="center"/>
          </w:tcPr>
          <w:p w14:paraId="17AD473C">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0.52</w:t>
            </w:r>
          </w:p>
        </w:tc>
        <w:tc>
          <w:tcPr>
            <w:tcW w:w="1030" w:type="pct"/>
            <w:tcBorders>
              <w:top w:val="nil"/>
              <w:left w:val="nil"/>
              <w:bottom w:val="single" w:color="000000" w:sz="8" w:space="0"/>
              <w:right w:val="single" w:color="000000" w:sz="8" w:space="0"/>
            </w:tcBorders>
            <w:vAlign w:val="center"/>
          </w:tcPr>
          <w:p w14:paraId="6D9284F6">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合理利用</w:t>
            </w:r>
          </w:p>
        </w:tc>
        <w:tc>
          <w:tcPr>
            <w:tcW w:w="576" w:type="pct"/>
            <w:tcBorders>
              <w:top w:val="nil"/>
              <w:left w:val="nil"/>
              <w:bottom w:val="single" w:color="000000" w:sz="8" w:space="0"/>
              <w:right w:val="single" w:color="000000" w:sz="8" w:space="0"/>
            </w:tcBorders>
            <w:noWrap/>
            <w:vAlign w:val="center"/>
          </w:tcPr>
          <w:p w14:paraId="2903CC1A">
            <w:pPr>
              <w:tabs>
                <w:tab w:val="left" w:pos="360"/>
              </w:tabs>
              <w:snapToGrid w:val="0"/>
              <w:spacing w:line="240" w:lineRule="auto"/>
              <w:ind w:firstLine="0" w:firstLineChars="0"/>
              <w:jc w:val="center"/>
              <w:textAlignment w:val="baseline"/>
              <w:rPr>
                <w:rFonts w:cs="Times New Roman"/>
                <w:bCs/>
                <w:kern w:val="21"/>
                <w:sz w:val="21"/>
                <w:szCs w:val="21"/>
              </w:rPr>
            </w:pPr>
          </w:p>
        </w:tc>
      </w:tr>
      <w:tr w14:paraId="0DEEFDE5">
        <w:tblPrEx>
          <w:tblCellMar>
            <w:top w:w="0" w:type="dxa"/>
            <w:left w:w="108" w:type="dxa"/>
            <w:bottom w:w="0" w:type="dxa"/>
            <w:right w:w="108" w:type="dxa"/>
          </w:tblCellMar>
        </w:tblPrEx>
        <w:trPr>
          <w:trHeight w:val="285" w:hRule="atLeast"/>
        </w:trPr>
        <w:tc>
          <w:tcPr>
            <w:tcW w:w="832" w:type="pct"/>
            <w:vMerge w:val="restart"/>
            <w:tcBorders>
              <w:top w:val="nil"/>
              <w:left w:val="single" w:color="000000" w:sz="8" w:space="0"/>
              <w:bottom w:val="single" w:color="000000" w:sz="8" w:space="0"/>
              <w:right w:val="single" w:color="000000" w:sz="8" w:space="0"/>
            </w:tcBorders>
            <w:vAlign w:val="center"/>
          </w:tcPr>
          <w:p w14:paraId="1F6C703B">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城乡建设用地</w:t>
            </w:r>
          </w:p>
        </w:tc>
        <w:tc>
          <w:tcPr>
            <w:tcW w:w="832" w:type="pct"/>
            <w:tcBorders>
              <w:top w:val="nil"/>
              <w:left w:val="nil"/>
              <w:bottom w:val="single" w:color="000000" w:sz="8" w:space="0"/>
              <w:right w:val="single" w:color="000000" w:sz="8" w:space="0"/>
            </w:tcBorders>
            <w:vAlign w:val="center"/>
          </w:tcPr>
          <w:p w14:paraId="1E1A586F">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城镇建设用地</w:t>
            </w:r>
          </w:p>
        </w:tc>
        <w:tc>
          <w:tcPr>
            <w:tcW w:w="1152" w:type="pct"/>
            <w:tcBorders>
              <w:top w:val="nil"/>
              <w:left w:val="nil"/>
              <w:bottom w:val="single" w:color="000000" w:sz="8" w:space="0"/>
              <w:right w:val="single" w:color="000000" w:sz="8" w:space="0"/>
            </w:tcBorders>
            <w:noWrap/>
            <w:vAlign w:val="center"/>
          </w:tcPr>
          <w:p w14:paraId="73BF5B5C">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0</w:t>
            </w:r>
          </w:p>
        </w:tc>
        <w:tc>
          <w:tcPr>
            <w:tcW w:w="575" w:type="pct"/>
            <w:tcBorders>
              <w:top w:val="nil"/>
              <w:left w:val="nil"/>
              <w:bottom w:val="single" w:color="000000" w:sz="8" w:space="0"/>
              <w:right w:val="single" w:color="000000" w:sz="8" w:space="0"/>
            </w:tcBorders>
            <w:noWrap/>
            <w:vAlign w:val="center"/>
          </w:tcPr>
          <w:p w14:paraId="0F20CBBD">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0</w:t>
            </w:r>
          </w:p>
        </w:tc>
        <w:tc>
          <w:tcPr>
            <w:tcW w:w="1030" w:type="pct"/>
            <w:tcBorders>
              <w:top w:val="nil"/>
              <w:left w:val="nil"/>
              <w:bottom w:val="single" w:color="000000" w:sz="8" w:space="0"/>
              <w:right w:val="single" w:color="000000" w:sz="8" w:space="0"/>
            </w:tcBorders>
            <w:vAlign w:val="center"/>
          </w:tcPr>
          <w:p w14:paraId="7834DA1D">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53.15</w:t>
            </w:r>
          </w:p>
        </w:tc>
        <w:tc>
          <w:tcPr>
            <w:tcW w:w="576" w:type="pct"/>
            <w:tcBorders>
              <w:top w:val="nil"/>
              <w:left w:val="nil"/>
              <w:bottom w:val="single" w:color="000000" w:sz="8" w:space="0"/>
              <w:right w:val="single" w:color="000000" w:sz="8" w:space="0"/>
            </w:tcBorders>
            <w:noWrap/>
            <w:vAlign w:val="center"/>
          </w:tcPr>
          <w:p w14:paraId="1EA07D2E">
            <w:pPr>
              <w:tabs>
                <w:tab w:val="left" w:pos="360"/>
              </w:tabs>
              <w:snapToGrid w:val="0"/>
              <w:spacing w:line="240" w:lineRule="auto"/>
              <w:ind w:firstLine="0" w:firstLineChars="0"/>
              <w:jc w:val="center"/>
              <w:textAlignment w:val="baseline"/>
              <w:rPr>
                <w:rFonts w:cs="Times New Roman"/>
                <w:bCs/>
                <w:kern w:val="21"/>
                <w:sz w:val="21"/>
                <w:szCs w:val="21"/>
              </w:rPr>
            </w:pPr>
          </w:p>
        </w:tc>
      </w:tr>
      <w:tr w14:paraId="0F7DC79F">
        <w:tblPrEx>
          <w:tblCellMar>
            <w:top w:w="0" w:type="dxa"/>
            <w:left w:w="108" w:type="dxa"/>
            <w:bottom w:w="0" w:type="dxa"/>
            <w:right w:w="108" w:type="dxa"/>
          </w:tblCellMar>
        </w:tblPrEx>
        <w:trPr>
          <w:trHeight w:val="285" w:hRule="atLeast"/>
        </w:trPr>
        <w:tc>
          <w:tcPr>
            <w:tcW w:w="832" w:type="pct"/>
            <w:vMerge w:val="continue"/>
            <w:tcBorders>
              <w:top w:val="nil"/>
              <w:left w:val="single" w:color="000000" w:sz="8" w:space="0"/>
              <w:bottom w:val="single" w:color="000000" w:sz="8" w:space="0"/>
              <w:right w:val="single" w:color="000000" w:sz="8" w:space="0"/>
            </w:tcBorders>
            <w:vAlign w:val="center"/>
          </w:tcPr>
          <w:p w14:paraId="248EE5CD">
            <w:pPr>
              <w:tabs>
                <w:tab w:val="left" w:pos="360"/>
              </w:tabs>
              <w:snapToGrid w:val="0"/>
              <w:spacing w:line="240" w:lineRule="auto"/>
              <w:ind w:firstLine="0" w:firstLineChars="0"/>
              <w:jc w:val="center"/>
              <w:textAlignment w:val="baseline"/>
              <w:rPr>
                <w:rFonts w:cs="Times New Roman"/>
                <w:bCs/>
                <w:kern w:val="21"/>
                <w:sz w:val="21"/>
                <w:szCs w:val="21"/>
              </w:rPr>
            </w:pPr>
          </w:p>
        </w:tc>
        <w:tc>
          <w:tcPr>
            <w:tcW w:w="832" w:type="pct"/>
            <w:tcBorders>
              <w:top w:val="nil"/>
              <w:left w:val="nil"/>
              <w:bottom w:val="single" w:color="000000" w:sz="8" w:space="0"/>
              <w:right w:val="single" w:color="000000" w:sz="8" w:space="0"/>
            </w:tcBorders>
            <w:vAlign w:val="center"/>
          </w:tcPr>
          <w:p w14:paraId="1912B860">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村庄建设用地</w:t>
            </w:r>
          </w:p>
        </w:tc>
        <w:tc>
          <w:tcPr>
            <w:tcW w:w="1152" w:type="pct"/>
            <w:tcBorders>
              <w:top w:val="nil"/>
              <w:left w:val="nil"/>
              <w:bottom w:val="single" w:color="000000" w:sz="8" w:space="0"/>
              <w:right w:val="single" w:color="000000" w:sz="8" w:space="0"/>
            </w:tcBorders>
            <w:noWrap/>
            <w:vAlign w:val="center"/>
          </w:tcPr>
          <w:p w14:paraId="7E37F89D">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331.61</w:t>
            </w:r>
          </w:p>
        </w:tc>
        <w:tc>
          <w:tcPr>
            <w:tcW w:w="575" w:type="pct"/>
            <w:tcBorders>
              <w:top w:val="nil"/>
              <w:left w:val="nil"/>
              <w:bottom w:val="single" w:color="000000" w:sz="8" w:space="0"/>
              <w:right w:val="single" w:color="000000" w:sz="8" w:space="0"/>
            </w:tcBorders>
            <w:noWrap/>
            <w:vAlign w:val="center"/>
          </w:tcPr>
          <w:p w14:paraId="444992A6">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1.55</w:t>
            </w:r>
          </w:p>
        </w:tc>
        <w:tc>
          <w:tcPr>
            <w:tcW w:w="1030" w:type="pct"/>
            <w:tcBorders>
              <w:top w:val="nil"/>
              <w:left w:val="nil"/>
              <w:bottom w:val="single" w:color="000000" w:sz="8" w:space="0"/>
              <w:right w:val="single" w:color="000000" w:sz="8" w:space="0"/>
            </w:tcBorders>
            <w:vAlign w:val="center"/>
          </w:tcPr>
          <w:p w14:paraId="558BCEA2">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352.53</w:t>
            </w:r>
          </w:p>
        </w:tc>
        <w:tc>
          <w:tcPr>
            <w:tcW w:w="576" w:type="pct"/>
            <w:tcBorders>
              <w:top w:val="nil"/>
              <w:left w:val="nil"/>
              <w:bottom w:val="single" w:color="000000" w:sz="8" w:space="0"/>
              <w:right w:val="single" w:color="000000" w:sz="8" w:space="0"/>
            </w:tcBorders>
            <w:noWrap/>
            <w:vAlign w:val="center"/>
          </w:tcPr>
          <w:p w14:paraId="6F82FF01">
            <w:pPr>
              <w:tabs>
                <w:tab w:val="left" w:pos="360"/>
              </w:tabs>
              <w:snapToGrid w:val="0"/>
              <w:spacing w:line="240" w:lineRule="auto"/>
              <w:ind w:firstLine="0" w:firstLineChars="0"/>
              <w:jc w:val="center"/>
              <w:textAlignment w:val="baseline"/>
              <w:rPr>
                <w:rFonts w:cs="Times New Roman"/>
                <w:bCs/>
                <w:kern w:val="21"/>
                <w:sz w:val="21"/>
                <w:szCs w:val="21"/>
              </w:rPr>
            </w:pPr>
          </w:p>
        </w:tc>
      </w:tr>
      <w:tr w14:paraId="6F870609">
        <w:tblPrEx>
          <w:tblCellMar>
            <w:top w:w="0" w:type="dxa"/>
            <w:left w:w="108" w:type="dxa"/>
            <w:bottom w:w="0" w:type="dxa"/>
            <w:right w:w="108" w:type="dxa"/>
          </w:tblCellMar>
        </w:tblPrEx>
        <w:trPr>
          <w:trHeight w:val="285" w:hRule="atLeast"/>
        </w:trPr>
        <w:tc>
          <w:tcPr>
            <w:tcW w:w="1664" w:type="pct"/>
            <w:gridSpan w:val="2"/>
            <w:tcBorders>
              <w:top w:val="nil"/>
              <w:left w:val="single" w:color="000000" w:sz="8" w:space="0"/>
              <w:bottom w:val="single" w:color="000000" w:sz="8" w:space="0"/>
              <w:right w:val="single" w:color="000000" w:sz="8" w:space="0"/>
            </w:tcBorders>
            <w:vAlign w:val="center"/>
          </w:tcPr>
          <w:p w14:paraId="675FD4C8">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区域基础设施用地</w:t>
            </w:r>
          </w:p>
        </w:tc>
        <w:tc>
          <w:tcPr>
            <w:tcW w:w="1152" w:type="pct"/>
            <w:tcBorders>
              <w:top w:val="nil"/>
              <w:left w:val="nil"/>
              <w:bottom w:val="single" w:color="000000" w:sz="8" w:space="0"/>
              <w:right w:val="single" w:color="000000" w:sz="8" w:space="0"/>
            </w:tcBorders>
            <w:noWrap/>
            <w:vAlign w:val="center"/>
          </w:tcPr>
          <w:p w14:paraId="6272FB6F">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110.66</w:t>
            </w:r>
          </w:p>
        </w:tc>
        <w:tc>
          <w:tcPr>
            <w:tcW w:w="575" w:type="pct"/>
            <w:tcBorders>
              <w:top w:val="nil"/>
              <w:left w:val="nil"/>
              <w:bottom w:val="single" w:color="000000" w:sz="8" w:space="0"/>
              <w:right w:val="single" w:color="000000" w:sz="8" w:space="0"/>
            </w:tcBorders>
            <w:noWrap/>
            <w:vAlign w:val="center"/>
          </w:tcPr>
          <w:p w14:paraId="7024B80C">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0.52</w:t>
            </w:r>
          </w:p>
        </w:tc>
        <w:tc>
          <w:tcPr>
            <w:tcW w:w="1030" w:type="pct"/>
            <w:tcBorders>
              <w:top w:val="nil"/>
              <w:left w:val="nil"/>
              <w:bottom w:val="single" w:color="000000" w:sz="8" w:space="0"/>
              <w:right w:val="single" w:color="000000" w:sz="8" w:space="0"/>
            </w:tcBorders>
            <w:vAlign w:val="center"/>
          </w:tcPr>
          <w:p w14:paraId="4BB5A5AF">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持续增加</w:t>
            </w:r>
          </w:p>
        </w:tc>
        <w:tc>
          <w:tcPr>
            <w:tcW w:w="576" w:type="pct"/>
            <w:tcBorders>
              <w:top w:val="nil"/>
              <w:left w:val="nil"/>
              <w:bottom w:val="single" w:color="000000" w:sz="8" w:space="0"/>
              <w:right w:val="single" w:color="000000" w:sz="8" w:space="0"/>
            </w:tcBorders>
            <w:noWrap/>
            <w:vAlign w:val="center"/>
          </w:tcPr>
          <w:p w14:paraId="12A21833">
            <w:pPr>
              <w:tabs>
                <w:tab w:val="left" w:pos="360"/>
              </w:tabs>
              <w:snapToGrid w:val="0"/>
              <w:spacing w:line="240" w:lineRule="auto"/>
              <w:ind w:firstLine="0" w:firstLineChars="0"/>
              <w:jc w:val="center"/>
              <w:textAlignment w:val="baseline"/>
              <w:rPr>
                <w:rFonts w:cs="Times New Roman"/>
                <w:bCs/>
                <w:kern w:val="21"/>
                <w:sz w:val="21"/>
                <w:szCs w:val="21"/>
              </w:rPr>
            </w:pPr>
          </w:p>
        </w:tc>
      </w:tr>
      <w:tr w14:paraId="7E626B2A">
        <w:tblPrEx>
          <w:tblCellMar>
            <w:top w:w="0" w:type="dxa"/>
            <w:left w:w="108" w:type="dxa"/>
            <w:bottom w:w="0" w:type="dxa"/>
            <w:right w:w="108" w:type="dxa"/>
          </w:tblCellMar>
        </w:tblPrEx>
        <w:trPr>
          <w:trHeight w:val="285" w:hRule="atLeast"/>
        </w:trPr>
        <w:tc>
          <w:tcPr>
            <w:tcW w:w="1664" w:type="pct"/>
            <w:gridSpan w:val="2"/>
            <w:tcBorders>
              <w:top w:val="nil"/>
              <w:left w:val="single" w:color="000000" w:sz="8" w:space="0"/>
              <w:bottom w:val="single" w:color="000000" w:sz="8" w:space="0"/>
              <w:right w:val="single" w:color="000000" w:sz="8" w:space="0"/>
            </w:tcBorders>
            <w:vAlign w:val="center"/>
          </w:tcPr>
          <w:p w14:paraId="29FF793D">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其他建设用地</w:t>
            </w:r>
          </w:p>
        </w:tc>
        <w:tc>
          <w:tcPr>
            <w:tcW w:w="1152" w:type="pct"/>
            <w:tcBorders>
              <w:top w:val="nil"/>
              <w:left w:val="nil"/>
              <w:bottom w:val="single" w:color="000000" w:sz="8" w:space="0"/>
              <w:right w:val="single" w:color="000000" w:sz="8" w:space="0"/>
            </w:tcBorders>
            <w:noWrap/>
            <w:vAlign w:val="center"/>
          </w:tcPr>
          <w:p w14:paraId="48DAD747">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22.81</w:t>
            </w:r>
          </w:p>
        </w:tc>
        <w:tc>
          <w:tcPr>
            <w:tcW w:w="575" w:type="pct"/>
            <w:tcBorders>
              <w:top w:val="nil"/>
              <w:left w:val="nil"/>
              <w:bottom w:val="single" w:color="000000" w:sz="8" w:space="0"/>
              <w:right w:val="single" w:color="000000" w:sz="8" w:space="0"/>
            </w:tcBorders>
            <w:noWrap/>
            <w:vAlign w:val="center"/>
          </w:tcPr>
          <w:p w14:paraId="0E818887">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0.11</w:t>
            </w:r>
          </w:p>
        </w:tc>
        <w:tc>
          <w:tcPr>
            <w:tcW w:w="1030" w:type="pct"/>
            <w:tcBorders>
              <w:top w:val="nil"/>
              <w:left w:val="nil"/>
              <w:bottom w:val="single" w:color="000000" w:sz="8" w:space="0"/>
              <w:right w:val="single" w:color="000000" w:sz="8" w:space="0"/>
            </w:tcBorders>
            <w:vAlign w:val="center"/>
          </w:tcPr>
          <w:p w14:paraId="1A5F4C55">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持续增加</w:t>
            </w:r>
          </w:p>
        </w:tc>
        <w:tc>
          <w:tcPr>
            <w:tcW w:w="576" w:type="pct"/>
            <w:tcBorders>
              <w:top w:val="nil"/>
              <w:left w:val="nil"/>
              <w:bottom w:val="single" w:color="000000" w:sz="8" w:space="0"/>
              <w:right w:val="single" w:color="000000" w:sz="8" w:space="0"/>
            </w:tcBorders>
            <w:noWrap/>
            <w:vAlign w:val="center"/>
          </w:tcPr>
          <w:p w14:paraId="55000F93">
            <w:pPr>
              <w:tabs>
                <w:tab w:val="left" w:pos="360"/>
              </w:tabs>
              <w:snapToGrid w:val="0"/>
              <w:spacing w:line="240" w:lineRule="auto"/>
              <w:ind w:firstLine="0" w:firstLineChars="0"/>
              <w:jc w:val="center"/>
              <w:textAlignment w:val="baseline"/>
              <w:rPr>
                <w:rFonts w:cs="Times New Roman"/>
                <w:bCs/>
                <w:kern w:val="21"/>
                <w:sz w:val="21"/>
                <w:szCs w:val="21"/>
              </w:rPr>
            </w:pPr>
          </w:p>
        </w:tc>
      </w:tr>
      <w:tr w14:paraId="32E35191">
        <w:tblPrEx>
          <w:tblCellMar>
            <w:top w:w="0" w:type="dxa"/>
            <w:left w:w="108" w:type="dxa"/>
            <w:bottom w:w="0" w:type="dxa"/>
            <w:right w:w="108" w:type="dxa"/>
          </w:tblCellMar>
        </w:tblPrEx>
        <w:trPr>
          <w:trHeight w:val="285" w:hRule="atLeast"/>
        </w:trPr>
        <w:tc>
          <w:tcPr>
            <w:tcW w:w="1664" w:type="pct"/>
            <w:gridSpan w:val="2"/>
            <w:tcBorders>
              <w:top w:val="nil"/>
              <w:left w:val="single" w:color="000000" w:sz="8" w:space="0"/>
              <w:bottom w:val="single" w:color="000000" w:sz="8" w:space="0"/>
              <w:right w:val="single" w:color="000000" w:sz="8" w:space="0"/>
            </w:tcBorders>
            <w:vAlign w:val="center"/>
          </w:tcPr>
          <w:p w14:paraId="20B638A0">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陆地水域</w:t>
            </w:r>
          </w:p>
        </w:tc>
        <w:tc>
          <w:tcPr>
            <w:tcW w:w="1152" w:type="pct"/>
            <w:tcBorders>
              <w:top w:val="nil"/>
              <w:left w:val="nil"/>
              <w:bottom w:val="single" w:color="000000" w:sz="8" w:space="0"/>
              <w:right w:val="single" w:color="000000" w:sz="8" w:space="0"/>
            </w:tcBorders>
            <w:noWrap/>
            <w:vAlign w:val="center"/>
          </w:tcPr>
          <w:p w14:paraId="09A70A1A">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1796.79</w:t>
            </w:r>
          </w:p>
        </w:tc>
        <w:tc>
          <w:tcPr>
            <w:tcW w:w="575" w:type="pct"/>
            <w:tcBorders>
              <w:top w:val="nil"/>
              <w:left w:val="nil"/>
              <w:bottom w:val="single" w:color="000000" w:sz="8" w:space="0"/>
              <w:right w:val="single" w:color="000000" w:sz="8" w:space="0"/>
            </w:tcBorders>
            <w:noWrap/>
            <w:vAlign w:val="center"/>
          </w:tcPr>
          <w:p w14:paraId="683B2EDB">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8.42</w:t>
            </w:r>
          </w:p>
        </w:tc>
        <w:tc>
          <w:tcPr>
            <w:tcW w:w="1030" w:type="pct"/>
            <w:tcBorders>
              <w:top w:val="nil"/>
              <w:left w:val="nil"/>
              <w:bottom w:val="single" w:color="000000" w:sz="8" w:space="0"/>
              <w:right w:val="single" w:color="000000" w:sz="8" w:space="0"/>
            </w:tcBorders>
            <w:vAlign w:val="center"/>
          </w:tcPr>
          <w:p w14:paraId="4181763A">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保持稳定</w:t>
            </w:r>
          </w:p>
        </w:tc>
        <w:tc>
          <w:tcPr>
            <w:tcW w:w="576" w:type="pct"/>
            <w:tcBorders>
              <w:top w:val="nil"/>
              <w:left w:val="nil"/>
              <w:bottom w:val="single" w:color="000000" w:sz="8" w:space="0"/>
              <w:right w:val="single" w:color="000000" w:sz="8" w:space="0"/>
            </w:tcBorders>
            <w:noWrap/>
            <w:vAlign w:val="center"/>
          </w:tcPr>
          <w:p w14:paraId="1EA173C7">
            <w:pPr>
              <w:tabs>
                <w:tab w:val="left" w:pos="360"/>
              </w:tabs>
              <w:snapToGrid w:val="0"/>
              <w:spacing w:line="240" w:lineRule="auto"/>
              <w:ind w:firstLine="0" w:firstLineChars="0"/>
              <w:jc w:val="center"/>
              <w:textAlignment w:val="baseline"/>
              <w:rPr>
                <w:rFonts w:cs="Times New Roman"/>
                <w:bCs/>
                <w:kern w:val="21"/>
                <w:sz w:val="21"/>
                <w:szCs w:val="21"/>
              </w:rPr>
            </w:pPr>
          </w:p>
        </w:tc>
      </w:tr>
      <w:tr w14:paraId="75EEA15E">
        <w:tblPrEx>
          <w:tblCellMar>
            <w:top w:w="0" w:type="dxa"/>
            <w:left w:w="108" w:type="dxa"/>
            <w:bottom w:w="0" w:type="dxa"/>
            <w:right w:w="108" w:type="dxa"/>
          </w:tblCellMar>
        </w:tblPrEx>
        <w:trPr>
          <w:trHeight w:val="285" w:hRule="atLeast"/>
        </w:trPr>
        <w:tc>
          <w:tcPr>
            <w:tcW w:w="1664" w:type="pct"/>
            <w:gridSpan w:val="2"/>
            <w:tcBorders>
              <w:top w:val="nil"/>
              <w:left w:val="single" w:color="000000" w:sz="8" w:space="0"/>
              <w:bottom w:val="single" w:color="000000" w:sz="8" w:space="0"/>
              <w:right w:val="single" w:color="000000" w:sz="8" w:space="0"/>
            </w:tcBorders>
            <w:noWrap/>
            <w:vAlign w:val="center"/>
          </w:tcPr>
          <w:p w14:paraId="55BCEAF6">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其他土地</w:t>
            </w:r>
          </w:p>
        </w:tc>
        <w:tc>
          <w:tcPr>
            <w:tcW w:w="1152" w:type="pct"/>
            <w:tcBorders>
              <w:top w:val="nil"/>
              <w:left w:val="nil"/>
              <w:bottom w:val="single" w:color="000000" w:sz="8" w:space="0"/>
              <w:right w:val="single" w:color="000000" w:sz="8" w:space="0"/>
            </w:tcBorders>
            <w:noWrap/>
            <w:vAlign w:val="center"/>
          </w:tcPr>
          <w:p w14:paraId="4B8EBD8D">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3.05</w:t>
            </w:r>
          </w:p>
        </w:tc>
        <w:tc>
          <w:tcPr>
            <w:tcW w:w="575" w:type="pct"/>
            <w:tcBorders>
              <w:top w:val="nil"/>
              <w:left w:val="nil"/>
              <w:bottom w:val="single" w:color="000000" w:sz="8" w:space="0"/>
              <w:right w:val="single" w:color="000000" w:sz="8" w:space="0"/>
            </w:tcBorders>
            <w:noWrap/>
            <w:vAlign w:val="center"/>
          </w:tcPr>
          <w:p w14:paraId="3E0AB06D">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0.01</w:t>
            </w:r>
          </w:p>
        </w:tc>
        <w:tc>
          <w:tcPr>
            <w:tcW w:w="1030" w:type="pct"/>
            <w:tcBorders>
              <w:top w:val="nil"/>
              <w:left w:val="nil"/>
              <w:bottom w:val="single" w:color="000000" w:sz="8" w:space="0"/>
              <w:right w:val="single" w:color="000000" w:sz="8" w:space="0"/>
            </w:tcBorders>
            <w:vAlign w:val="center"/>
          </w:tcPr>
          <w:p w14:paraId="3B1F1625">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合理利用</w:t>
            </w:r>
          </w:p>
        </w:tc>
        <w:tc>
          <w:tcPr>
            <w:tcW w:w="576" w:type="pct"/>
            <w:tcBorders>
              <w:top w:val="nil"/>
              <w:left w:val="nil"/>
              <w:bottom w:val="single" w:color="000000" w:sz="8" w:space="0"/>
              <w:right w:val="single" w:color="000000" w:sz="8" w:space="0"/>
            </w:tcBorders>
            <w:noWrap/>
            <w:vAlign w:val="center"/>
          </w:tcPr>
          <w:p w14:paraId="32A16D66">
            <w:pPr>
              <w:tabs>
                <w:tab w:val="left" w:pos="360"/>
              </w:tabs>
              <w:snapToGrid w:val="0"/>
              <w:spacing w:line="240" w:lineRule="auto"/>
              <w:ind w:firstLine="0" w:firstLineChars="0"/>
              <w:jc w:val="center"/>
              <w:textAlignment w:val="baseline"/>
              <w:rPr>
                <w:rFonts w:cs="Times New Roman"/>
                <w:bCs/>
                <w:kern w:val="21"/>
                <w:sz w:val="21"/>
                <w:szCs w:val="21"/>
              </w:rPr>
            </w:pPr>
          </w:p>
        </w:tc>
      </w:tr>
      <w:tr w14:paraId="1014BAEF">
        <w:tblPrEx>
          <w:tblCellMar>
            <w:top w:w="0" w:type="dxa"/>
            <w:left w:w="108" w:type="dxa"/>
            <w:bottom w:w="0" w:type="dxa"/>
            <w:right w:w="108" w:type="dxa"/>
          </w:tblCellMar>
        </w:tblPrEx>
        <w:trPr>
          <w:trHeight w:val="285" w:hRule="atLeast"/>
        </w:trPr>
        <w:tc>
          <w:tcPr>
            <w:tcW w:w="1664" w:type="pct"/>
            <w:gridSpan w:val="2"/>
            <w:tcBorders>
              <w:top w:val="nil"/>
              <w:left w:val="single" w:color="000000" w:sz="8" w:space="0"/>
              <w:bottom w:val="single" w:color="000000" w:sz="8" w:space="0"/>
              <w:right w:val="single" w:color="000000" w:sz="8" w:space="0"/>
            </w:tcBorders>
            <w:noWrap/>
            <w:vAlign w:val="center"/>
          </w:tcPr>
          <w:p w14:paraId="5EB17FA5">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合计</w:t>
            </w:r>
          </w:p>
        </w:tc>
        <w:tc>
          <w:tcPr>
            <w:tcW w:w="1152" w:type="pct"/>
            <w:tcBorders>
              <w:top w:val="nil"/>
              <w:left w:val="nil"/>
              <w:bottom w:val="single" w:color="000000" w:sz="8" w:space="0"/>
              <w:right w:val="single" w:color="000000" w:sz="8" w:space="0"/>
            </w:tcBorders>
            <w:noWrap/>
            <w:vAlign w:val="center"/>
          </w:tcPr>
          <w:p w14:paraId="5A7AB761">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21330.9</w:t>
            </w:r>
          </w:p>
        </w:tc>
        <w:tc>
          <w:tcPr>
            <w:tcW w:w="575" w:type="pct"/>
            <w:tcBorders>
              <w:top w:val="nil"/>
              <w:left w:val="nil"/>
              <w:bottom w:val="single" w:color="000000" w:sz="8" w:space="0"/>
              <w:right w:val="single" w:color="000000" w:sz="8" w:space="0"/>
            </w:tcBorders>
            <w:vAlign w:val="center"/>
          </w:tcPr>
          <w:p w14:paraId="30D9E74B">
            <w:pPr>
              <w:tabs>
                <w:tab w:val="left" w:pos="360"/>
              </w:tabs>
              <w:snapToGrid w:val="0"/>
              <w:spacing w:line="240" w:lineRule="auto"/>
              <w:ind w:firstLine="0" w:firstLineChars="0"/>
              <w:jc w:val="center"/>
              <w:textAlignment w:val="baseline"/>
              <w:rPr>
                <w:rFonts w:cs="Times New Roman"/>
                <w:bCs/>
                <w:kern w:val="21"/>
                <w:sz w:val="21"/>
                <w:szCs w:val="21"/>
              </w:rPr>
            </w:pPr>
            <w:r>
              <w:rPr>
                <w:rFonts w:cs="Times New Roman"/>
                <w:bCs/>
                <w:kern w:val="21"/>
                <w:sz w:val="21"/>
                <w:szCs w:val="21"/>
              </w:rPr>
              <w:t>100</w:t>
            </w:r>
          </w:p>
        </w:tc>
        <w:tc>
          <w:tcPr>
            <w:tcW w:w="1030" w:type="pct"/>
            <w:tcBorders>
              <w:top w:val="nil"/>
              <w:left w:val="nil"/>
              <w:bottom w:val="single" w:color="000000" w:sz="8" w:space="0"/>
              <w:right w:val="single" w:color="000000" w:sz="8" w:space="0"/>
            </w:tcBorders>
            <w:vAlign w:val="center"/>
          </w:tcPr>
          <w:p w14:paraId="328B0708">
            <w:pPr>
              <w:tabs>
                <w:tab w:val="left" w:pos="360"/>
              </w:tabs>
              <w:snapToGrid w:val="0"/>
              <w:spacing w:line="240" w:lineRule="auto"/>
              <w:ind w:firstLine="0" w:firstLineChars="0"/>
              <w:jc w:val="center"/>
              <w:textAlignment w:val="baseline"/>
              <w:rPr>
                <w:rFonts w:cs="Times New Roman"/>
                <w:bCs/>
                <w:kern w:val="21"/>
                <w:sz w:val="21"/>
                <w:szCs w:val="21"/>
              </w:rPr>
            </w:pPr>
          </w:p>
        </w:tc>
        <w:tc>
          <w:tcPr>
            <w:tcW w:w="576" w:type="pct"/>
            <w:tcBorders>
              <w:top w:val="nil"/>
              <w:left w:val="nil"/>
              <w:bottom w:val="single" w:color="000000" w:sz="8" w:space="0"/>
              <w:right w:val="single" w:color="000000" w:sz="8" w:space="0"/>
            </w:tcBorders>
            <w:noWrap/>
            <w:vAlign w:val="center"/>
          </w:tcPr>
          <w:p w14:paraId="1A998F22">
            <w:pPr>
              <w:tabs>
                <w:tab w:val="left" w:pos="360"/>
              </w:tabs>
              <w:snapToGrid w:val="0"/>
              <w:spacing w:line="240" w:lineRule="auto"/>
              <w:ind w:firstLine="0" w:firstLineChars="0"/>
              <w:jc w:val="center"/>
              <w:textAlignment w:val="baseline"/>
              <w:rPr>
                <w:rFonts w:cs="Times New Roman"/>
                <w:bCs/>
                <w:kern w:val="21"/>
                <w:sz w:val="21"/>
                <w:szCs w:val="21"/>
              </w:rPr>
            </w:pPr>
          </w:p>
        </w:tc>
      </w:tr>
    </w:tbl>
    <w:p w14:paraId="506E05F8">
      <w:pPr>
        <w:ind w:firstLine="640"/>
        <w:rPr>
          <w:rFonts w:hint="eastAsia" w:cs="Times New Roman"/>
        </w:rPr>
      </w:pPr>
    </w:p>
    <w:p w14:paraId="5AF4556D">
      <w:pPr>
        <w:pStyle w:val="2"/>
        <w:spacing w:before="312" w:after="312"/>
        <w:rPr>
          <w:rFonts w:ascii="Times New Roman" w:hAnsi="Times New Roman" w:cs="Times New Roman"/>
          <w:color w:val="auto"/>
        </w:rPr>
      </w:pPr>
      <w:bookmarkStart w:id="29" w:name="_Toc220921265"/>
      <w:r>
        <w:rPr>
          <w:rFonts w:ascii="Times New Roman" w:hAnsi="Times New Roman" w:cs="Times New Roman"/>
          <w:color w:val="auto"/>
        </w:rPr>
        <w:t>第</w:t>
      </w:r>
      <w:r>
        <w:rPr>
          <w:rFonts w:hint="eastAsia" w:ascii="Times New Roman" w:hAnsi="Times New Roman" w:cs="Times New Roman"/>
          <w:color w:val="auto"/>
        </w:rPr>
        <w:t>五</w:t>
      </w:r>
      <w:r>
        <w:rPr>
          <w:rFonts w:ascii="Times New Roman" w:hAnsi="Times New Roman" w:cs="Times New Roman"/>
          <w:color w:val="auto"/>
        </w:rPr>
        <w:t>章资源保护与利用</w:t>
      </w:r>
      <w:bookmarkEnd w:id="29"/>
    </w:p>
    <w:p w14:paraId="6A7E0C50">
      <w:pPr>
        <w:pStyle w:val="3"/>
        <w:rPr>
          <w:rFonts w:ascii="Times New Roman" w:hAnsi="Times New Roman" w:cs="Times New Roman"/>
          <w:color w:val="auto"/>
        </w:rPr>
      </w:pPr>
      <w:bookmarkStart w:id="30" w:name="_Toc220921266"/>
      <w:r>
        <w:rPr>
          <w:rFonts w:ascii="Times New Roman" w:hAnsi="Times New Roman" w:cs="Times New Roman"/>
          <w:color w:val="auto"/>
        </w:rPr>
        <w:t>第一节耕地资源</w:t>
      </w:r>
      <w:bookmarkEnd w:id="30"/>
    </w:p>
    <w:p w14:paraId="00AB517A">
      <w:pPr>
        <w:pStyle w:val="4"/>
        <w:numPr>
          <w:ilvl w:val="0"/>
          <w:numId w:val="13"/>
        </w:numPr>
        <w:ind w:left="198" w:firstLine="641"/>
      </w:pPr>
      <w:r>
        <w:t>严守耕地数量</w:t>
      </w:r>
    </w:p>
    <w:p w14:paraId="476164D3">
      <w:pPr>
        <w:ind w:firstLine="640"/>
        <w:rPr>
          <w:rFonts w:cs="Times New Roman"/>
        </w:rPr>
      </w:pPr>
      <w:r>
        <w:rPr>
          <w:rFonts w:cs="Times New Roman"/>
        </w:rPr>
        <w:t>严格落实《桓仁满族自治县国土空间总体规划（2021-2035年）》下达的耕地保护目标和永久基本农田保护任务。坚持最严格的耕地和永久基本农田保护制度，科学合理利用耕地资源，坚持耕地保护优先，强化耕地数量质量双重保护，坚决制止耕地尤其是永久基本农田“非农化”、防止耕地“非粮化”，确保粮食安全。</w:t>
      </w:r>
    </w:p>
    <w:p w14:paraId="7E65D2A2">
      <w:pPr>
        <w:pStyle w:val="4"/>
      </w:pPr>
      <w:r>
        <w:t>提升耕地质量</w:t>
      </w:r>
    </w:p>
    <w:p w14:paraId="234E904F">
      <w:pPr>
        <w:ind w:firstLine="640"/>
        <w:rPr>
          <w:rFonts w:cs="Times New Roman"/>
        </w:rPr>
      </w:pPr>
      <w:r>
        <w:rPr>
          <w:rFonts w:cs="Times New Roman"/>
        </w:rPr>
        <w:t>切实加强耕地质量建设。全面推进建设占用耕地耕作层剥离再利用，用于劣质耕地或新开垦耕地提质。因地制宜实施坡改梯工程建设，在尊重村民意愿的前提下，实施旱改水工程，对现有耕地进行提质改造，开展退化耕地综合治理、污染耕地阻控修复等，有效提高耕地产能。</w:t>
      </w:r>
    </w:p>
    <w:p w14:paraId="1802D921">
      <w:pPr>
        <w:ind w:firstLine="640"/>
        <w:rPr>
          <w:rFonts w:cs="Times New Roman"/>
        </w:rPr>
      </w:pPr>
      <w:r>
        <w:rPr>
          <w:rFonts w:cs="Times New Roman"/>
        </w:rPr>
        <w:t>推动耕地生态环境质量提升。严格控制污染耕地，加大耕地污染防治力度，提升土壤质量，防范新增污染。严格预防耕地灾毁，加强自然灾害防御措施，控制人为活动损毁耕地，强化灾毁耕地治理。</w:t>
      </w:r>
    </w:p>
    <w:p w14:paraId="405083D5">
      <w:pPr>
        <w:pStyle w:val="4"/>
      </w:pPr>
      <w:r>
        <w:t>完善永久基本农田储备区制度</w:t>
      </w:r>
    </w:p>
    <w:p w14:paraId="6BDE48BC">
      <w:pPr>
        <w:ind w:firstLine="640"/>
        <w:rPr>
          <w:rFonts w:cs="Times New Roman"/>
        </w:rPr>
      </w:pPr>
      <w:r>
        <w:rPr>
          <w:rFonts w:cs="Times New Roman"/>
        </w:rPr>
        <w:t>加大实施补充耕地力度。统筹实施农用地整理、城乡建设用地增减挂钩、历史遗留工矿废弃地复垦、宜耕后备资源开发等工程，拓展补充耕地途径，增加有效耕地面积。落实补充耕地质量验收制度，完善后续管护和再评价机制。</w:t>
      </w:r>
    </w:p>
    <w:p w14:paraId="499943A4">
      <w:pPr>
        <w:ind w:firstLine="640"/>
        <w:rPr>
          <w:rFonts w:cs="Times New Roman"/>
        </w:rPr>
      </w:pPr>
      <w:r>
        <w:rPr>
          <w:rFonts w:cs="Times New Roman"/>
        </w:rPr>
        <w:t>加强永久基本农田保护和建设。优先把优质耕地、高标准农田划为永久基本农田，以永久基本农田为基础，优先在粮食生产功能区、重要农产品生产保护区建设高标准农田，逐步把永久基本农田全部建成旱涝保收的高标准农田。经依法批准确需占用永久基本农田的，应先补建后占用。完善永久基本农田保护储备区制度。土地整治和新建高标准农田增加的优质耕地应当优先补划为永久基本农田。在永久基本农田集中分布地区，不得规划新建可能造成污染的建设项目。</w:t>
      </w:r>
    </w:p>
    <w:p w14:paraId="17C4C16C">
      <w:pPr>
        <w:pStyle w:val="4"/>
      </w:pPr>
      <w:r>
        <w:t>落实耕地占补平衡</w:t>
      </w:r>
    </w:p>
    <w:p w14:paraId="723D13B7">
      <w:pPr>
        <w:ind w:firstLine="640"/>
        <w:rPr>
          <w:rFonts w:cs="Times New Roman"/>
        </w:rPr>
      </w:pPr>
      <w:r>
        <w:rPr>
          <w:rFonts w:cs="Times New Roman"/>
        </w:rPr>
        <w:t>严格控制建设占用耕地特别是永久基本农田，确需占用耕地的应尽量占用低等别耕地，并积极落实“占补平衡”制度，坚持“以补定占”，严格落实耕地“占一补一、先补后占、占优补优、占水田补水田”，严控占用、严格补充、严守总量，强化耕地占补平衡实施监管，落实耕地占补平衡责任制度，确保补充数量质量双到位。</w:t>
      </w:r>
    </w:p>
    <w:p w14:paraId="2C2A3843">
      <w:pPr>
        <w:pStyle w:val="3"/>
        <w:rPr>
          <w:rFonts w:ascii="Times New Roman" w:hAnsi="Times New Roman" w:cs="Times New Roman"/>
          <w:color w:val="auto"/>
        </w:rPr>
      </w:pPr>
      <w:bookmarkStart w:id="31" w:name="_Toc220921267"/>
      <w:r>
        <w:rPr>
          <w:rFonts w:ascii="Times New Roman" w:hAnsi="Times New Roman" w:cs="Times New Roman"/>
          <w:color w:val="auto"/>
        </w:rPr>
        <w:t>第二节水资源</w:t>
      </w:r>
      <w:bookmarkEnd w:id="31"/>
    </w:p>
    <w:p w14:paraId="6ABD21A7">
      <w:pPr>
        <w:pStyle w:val="4"/>
        <w:numPr>
          <w:ilvl w:val="0"/>
          <w:numId w:val="14"/>
        </w:numPr>
        <w:ind w:left="198" w:firstLine="641"/>
      </w:pPr>
      <w:r>
        <w:t>加强水资源保护</w:t>
      </w:r>
    </w:p>
    <w:p w14:paraId="74C0F029">
      <w:pPr>
        <w:ind w:firstLine="640"/>
        <w:rPr>
          <w:rFonts w:cs="Times New Roman"/>
        </w:rPr>
      </w:pPr>
      <w:r>
        <w:rPr>
          <w:rFonts w:cs="Times New Roman"/>
        </w:rPr>
        <w:t>实施“生态涵水”战略，涵水于地、涵水于林草，实现“以水带绿，以绿养水，以林护岸”，进一步增强</w:t>
      </w:r>
      <w:r>
        <w:rPr>
          <w:rFonts w:hint="eastAsia" w:cs="Times New Roman"/>
        </w:rPr>
        <w:t>黑沟</w:t>
      </w:r>
      <w:r>
        <w:rPr>
          <w:rFonts w:cs="Times New Roman"/>
        </w:rPr>
        <w:t>乡水源涵养能力。优化水资源配置，协调地表水、地下水、外调水、再生水使用比例，合理控制地下水开采，保障水资源供需平衡。加强供水设施建设，提高供水水平，保证供水安全。根据国家《生活饮用水卫生标准》（GB5749-2006）和《地面水环境质量标准》（GB3838-2002）中水源卫生保护规定，划定水源保护区，保护区必须执行国家水源相关保护条例，保证取水点的水质符合饮用水水源水质标准。</w:t>
      </w:r>
    </w:p>
    <w:p w14:paraId="28CA55B3">
      <w:pPr>
        <w:pStyle w:val="4"/>
      </w:pPr>
      <w:r>
        <w:t>河流水系保护</w:t>
      </w:r>
    </w:p>
    <w:p w14:paraId="754670CB">
      <w:pPr>
        <w:ind w:firstLine="640"/>
        <w:rPr>
          <w:rFonts w:cs="Times New Roman"/>
        </w:rPr>
      </w:pPr>
      <w:r>
        <w:rPr>
          <w:rFonts w:cs="Times New Roman"/>
        </w:rPr>
        <w:t>加强水环境生态治理，控源、截污与河段清淤相结合，实施河流水质目标管理，全面治理工业污染源。强化城乡污水收集处理，有效治理农业面源污染，打造良好河流生态环境，确保浑江等重要水功能区水质达标率保持100%。</w:t>
      </w:r>
    </w:p>
    <w:p w14:paraId="2A620180">
      <w:pPr>
        <w:pStyle w:val="4"/>
      </w:pPr>
      <w:r>
        <w:t>建设节水型社会</w:t>
      </w:r>
    </w:p>
    <w:p w14:paraId="0CE058C1">
      <w:pPr>
        <w:ind w:firstLine="640"/>
        <w:rPr>
          <w:rFonts w:cs="Times New Roman"/>
        </w:rPr>
      </w:pPr>
      <w:r>
        <w:rPr>
          <w:rFonts w:cs="Times New Roman"/>
        </w:rPr>
        <w:t>全面推进节水型社会建设，加强工业、农业、城乡节水改造，大力推广工业节水工艺和农业节水灌溉技术，大力倡导节水型产业，实施建设项目节水制度。统筹考虑水资源保护、雨水利用、再生水利用、新水源开发等各项措施，进行统一规划和科学管理，合理利用多种水资源。</w:t>
      </w:r>
    </w:p>
    <w:p w14:paraId="15B9A202">
      <w:pPr>
        <w:pStyle w:val="3"/>
        <w:rPr>
          <w:rFonts w:ascii="Times New Roman" w:hAnsi="Times New Roman" w:cs="Times New Roman"/>
          <w:color w:val="auto"/>
        </w:rPr>
      </w:pPr>
      <w:bookmarkStart w:id="32" w:name="_Toc220921268"/>
      <w:r>
        <w:rPr>
          <w:rFonts w:ascii="Times New Roman" w:hAnsi="Times New Roman" w:cs="Times New Roman"/>
          <w:color w:val="auto"/>
        </w:rPr>
        <w:t>第三节湿地资源</w:t>
      </w:r>
      <w:bookmarkEnd w:id="32"/>
    </w:p>
    <w:p w14:paraId="0D88DB8E">
      <w:pPr>
        <w:pStyle w:val="4"/>
        <w:numPr>
          <w:ilvl w:val="0"/>
          <w:numId w:val="15"/>
        </w:numPr>
        <w:ind w:left="198" w:firstLine="641"/>
      </w:pPr>
      <w:r>
        <w:t>湿地保护</w:t>
      </w:r>
    </w:p>
    <w:p w14:paraId="565B8C3C">
      <w:pPr>
        <w:ind w:firstLine="640"/>
        <w:rPr>
          <w:rFonts w:cs="Times New Roman"/>
        </w:rPr>
      </w:pPr>
      <w:r>
        <w:rPr>
          <w:rFonts w:cs="Times New Roman"/>
        </w:rPr>
        <w:t>严格保护现状重要湿地，对域内湿地进行动态监测，对可能存在湿地面积减少、生态功能退化等情况，制定科学的湿地保护方案，及时采取措施予以恢复、修复，维护湿地生态系统完整性和稳定性，稳步提升湿地生态系统服务功能和生态产品供给能力。规划期间，湿地面积保持稳定，湿地保护率依据上级下达任务确定。</w:t>
      </w:r>
    </w:p>
    <w:p w14:paraId="111FB5BD">
      <w:pPr>
        <w:pStyle w:val="3"/>
        <w:rPr>
          <w:rFonts w:ascii="Times New Roman" w:hAnsi="Times New Roman" w:cs="Times New Roman"/>
          <w:color w:val="auto"/>
        </w:rPr>
      </w:pPr>
      <w:bookmarkStart w:id="33" w:name="_Toc220921269"/>
      <w:r>
        <w:rPr>
          <w:rFonts w:ascii="Times New Roman" w:hAnsi="Times New Roman" w:cs="Times New Roman"/>
          <w:color w:val="auto"/>
        </w:rPr>
        <w:t>第四节林草资源</w:t>
      </w:r>
      <w:bookmarkEnd w:id="33"/>
    </w:p>
    <w:p w14:paraId="088BC245">
      <w:pPr>
        <w:pStyle w:val="4"/>
        <w:numPr>
          <w:ilvl w:val="0"/>
          <w:numId w:val="16"/>
        </w:numPr>
        <w:ind w:left="198" w:firstLine="641"/>
      </w:pPr>
      <w:r>
        <w:t>加强森林资源保护</w:t>
      </w:r>
    </w:p>
    <w:p w14:paraId="74A883CA">
      <w:pPr>
        <w:ind w:firstLine="640"/>
        <w:rPr>
          <w:rFonts w:cs="Times New Roman"/>
        </w:rPr>
      </w:pPr>
      <w:r>
        <w:rPr>
          <w:rFonts w:cs="Times New Roman"/>
        </w:rPr>
        <w:t>大力维护森林资源，稳步推进提升林分质量为主的中幼龄林抚育和退化林修复工作。大力推进辽宁本溪枫林谷森林公园自然保护地建设，强化对林地的整体保护。规划期间林地面积保持稳定，确保森林覆盖率和林地保有量达到上级下达任务要求。</w:t>
      </w:r>
    </w:p>
    <w:p w14:paraId="7FD4DB75">
      <w:pPr>
        <w:ind w:firstLine="640"/>
        <w:rPr>
          <w:rFonts w:cs="Times New Roman"/>
        </w:rPr>
      </w:pPr>
      <w:r>
        <w:rPr>
          <w:rFonts w:cs="Times New Roman"/>
          <w:lang w:bidi="ar"/>
        </w:rPr>
        <w:t>大力提升森林质量。规划期间，加固全域生态保护屏障，提高生态环境质量。实施封山育林，坚持“以封为主，封育结合”原则，加大对天然林、生态公益林等林地保护力度，优化森林组成、结构和功能，营造水土保持林、水源涵养林，全面提升水土保持、水源涵养和生物多样性维护功能。加大森林防火和有害生物防治力度。保障以山体和水体为骨架的生态过程连续性和生态系统稳定性，构建山体、林田、水系共生的生态基础设施格局，稳定国土生态安全屏障防护功能。在不影响整体森林生态系统功能发挥和破坏森林植被的前提下，科学发展林下经济，增强生态产品供给能力。</w:t>
      </w:r>
    </w:p>
    <w:p w14:paraId="23F41A1B">
      <w:pPr>
        <w:pStyle w:val="4"/>
      </w:pPr>
      <w:r>
        <w:t>加强草地资源保护</w:t>
      </w:r>
    </w:p>
    <w:p w14:paraId="669A485C">
      <w:pPr>
        <w:ind w:firstLine="640"/>
        <w:rPr>
          <w:rFonts w:cs="Times New Roman"/>
        </w:rPr>
      </w:pPr>
      <w:r>
        <w:rPr>
          <w:rFonts w:hint="eastAsia" w:cs="Times New Roman"/>
          <w:lang w:bidi="ar"/>
        </w:rPr>
        <w:t>黑沟</w:t>
      </w:r>
      <w:r>
        <w:rPr>
          <w:rFonts w:cs="Times New Roman"/>
          <w:lang w:bidi="ar"/>
        </w:rPr>
        <w:t>乡现状草地主要是其他草地，规划期间，草地面积总体略有下降。大力维护天然牧草地，合理利用草地资源，有序实施草地生态修复与综合治理，提升草地生态质量，最大程度保护原生植被不受破坏，增加草地物种生物多样性，维护草地生态系统稳定性，稳固草地在防风固沙、水土保持等方面的积极作用。</w:t>
      </w:r>
    </w:p>
    <w:p w14:paraId="47D6E75C">
      <w:pPr>
        <w:pStyle w:val="3"/>
        <w:rPr>
          <w:rFonts w:ascii="Times New Roman" w:hAnsi="Times New Roman" w:cs="Times New Roman"/>
          <w:color w:val="auto"/>
        </w:rPr>
      </w:pPr>
      <w:bookmarkStart w:id="34" w:name="_Toc220921270"/>
      <w:r>
        <w:rPr>
          <w:rFonts w:ascii="Times New Roman" w:hAnsi="Times New Roman" w:cs="Times New Roman"/>
          <w:color w:val="auto"/>
        </w:rPr>
        <w:t>第五节矿产资源</w:t>
      </w:r>
      <w:bookmarkEnd w:id="34"/>
    </w:p>
    <w:p w14:paraId="1A768A84">
      <w:pPr>
        <w:pStyle w:val="4"/>
        <w:numPr>
          <w:ilvl w:val="0"/>
          <w:numId w:val="17"/>
        </w:numPr>
        <w:ind w:left="198" w:firstLine="641"/>
      </w:pPr>
      <w:r>
        <w:t>合理利用矿产资源</w:t>
      </w:r>
    </w:p>
    <w:p w14:paraId="50ACB87A">
      <w:pPr>
        <w:ind w:firstLine="640"/>
        <w:rPr>
          <w:rFonts w:cs="Times New Roman"/>
        </w:rPr>
      </w:pPr>
      <w:r>
        <w:rPr>
          <w:rFonts w:cs="Times New Roman"/>
        </w:rPr>
        <w:t>合理开发利用</w:t>
      </w:r>
      <w:r>
        <w:rPr>
          <w:rFonts w:hint="eastAsia" w:cs="Times New Roman"/>
        </w:rPr>
        <w:t>滑石、</w:t>
      </w:r>
      <w:r>
        <w:rPr>
          <w:rFonts w:cs="Times New Roman"/>
        </w:rPr>
        <w:t>钼、硫化铁、大理石、重质碳酸钙、铅、锌、石灰石等矿产资源，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鼓励矿山企业加强低品位、难选冶、共伴生矿产资源以及尾矿、废石等废弃物的综合利用，科学利用地下开采矿山坑采废石、露天开采矿山覆盖层、夹层及矿体顶底板岩石，不断提升矿产资源节约与综合利用水平。</w:t>
      </w:r>
    </w:p>
    <w:p w14:paraId="0D2E07F3">
      <w:pPr>
        <w:pStyle w:val="4"/>
      </w:pPr>
      <w:r>
        <w:t>积极发展绿色矿山</w:t>
      </w:r>
    </w:p>
    <w:p w14:paraId="39F3B0C5">
      <w:pPr>
        <w:ind w:firstLine="640"/>
        <w:rPr>
          <w:rFonts w:cs="Times New Roman"/>
        </w:rPr>
      </w:pPr>
      <w:r>
        <w:rPr>
          <w:rFonts w:cs="Times New Roman"/>
        </w:rPr>
        <w:t>加大矿山地质环境保护与治理力度，发展绿色矿山，切实推进绿色矿山建设进程。新建矿山全部按照绿色矿山标准进行规划、设计、建设和运营管理，积极推动已有矿山加快升级改造，逐步达到绿色矿山标准。重点加快石灰石矿等符合建设要求生产矿山的绿色矿山建设。</w:t>
      </w:r>
    </w:p>
    <w:p w14:paraId="54D157F2">
      <w:pPr>
        <w:pStyle w:val="3"/>
        <w:rPr>
          <w:rFonts w:ascii="Times New Roman" w:hAnsi="Times New Roman" w:cs="Times New Roman"/>
          <w:color w:val="auto"/>
        </w:rPr>
      </w:pPr>
      <w:bookmarkStart w:id="35" w:name="_Toc220921271"/>
      <w:r>
        <w:rPr>
          <w:rFonts w:ascii="Times New Roman" w:hAnsi="Times New Roman" w:cs="Times New Roman"/>
          <w:color w:val="auto"/>
        </w:rPr>
        <w:t>第六节历史文化资源</w:t>
      </w:r>
      <w:bookmarkEnd w:id="35"/>
    </w:p>
    <w:p w14:paraId="7E27CBB5">
      <w:pPr>
        <w:pStyle w:val="4"/>
        <w:numPr>
          <w:ilvl w:val="0"/>
          <w:numId w:val="18"/>
        </w:numPr>
        <w:ind w:left="198" w:firstLine="641"/>
      </w:pPr>
      <w:bookmarkStart w:id="36" w:name="_Toc381693"/>
      <w:r>
        <w:t>完善历史文化保护体系</w:t>
      </w:r>
      <w:bookmarkEnd w:id="36"/>
    </w:p>
    <w:p w14:paraId="57BED511">
      <w:pPr>
        <w:ind w:firstLine="640"/>
        <w:rPr>
          <w:rFonts w:cs="Times New Roman"/>
        </w:rPr>
      </w:pPr>
      <w:r>
        <w:rPr>
          <w:rFonts w:cs="Times New Roman"/>
        </w:rPr>
        <w:t>大力挖掘</w:t>
      </w:r>
      <w:r>
        <w:rPr>
          <w:rFonts w:hint="eastAsia" w:cs="Times New Roman"/>
        </w:rPr>
        <w:t>黑沟</w:t>
      </w:r>
      <w:r>
        <w:rPr>
          <w:rFonts w:cs="Times New Roman"/>
        </w:rPr>
        <w:t>乡乡土文化、地域文化、民俗文化等特色资源，注重地方历史文化传承。</w:t>
      </w:r>
      <w:r>
        <w:rPr>
          <w:rFonts w:cs="Times New Roman"/>
          <w:szCs w:val="32"/>
          <w:lang w:bidi="ar"/>
        </w:rPr>
        <w:t>做好文物保护单位</w:t>
      </w:r>
      <w:r>
        <w:rPr>
          <w:rFonts w:hint="eastAsia" w:cs="Times New Roman"/>
          <w:szCs w:val="32"/>
          <w:lang w:bidi="ar"/>
        </w:rPr>
        <w:t>黑沟大川抗联遗址（含抗联一军烈士墓、青云寺秘密交通站、日军掩体及战壕遗址）</w:t>
      </w:r>
      <w:r>
        <w:rPr>
          <w:rFonts w:cs="Times New Roman"/>
        </w:rPr>
        <w:t>的保护工作。以文物保护单位为主，补充具有历史文化价值的历史建筑、古树名木、街巷格局等，以地方多元文化为主题，展示和传承地方饮食、工艺、传说等，推进全面全要素保护，开展全方位普查工作，积极推动历史文化名镇名村、传统村落申报，不断完善保护对象，建立保护名录。以点带面，实施渐进式更新。坚持以用促保，保护与发展相互促进，以多样化利用活化历史遗迹。</w:t>
      </w:r>
    </w:p>
    <w:p w14:paraId="4F00BFD2">
      <w:pPr>
        <w:pStyle w:val="4"/>
      </w:pPr>
      <w:bookmarkStart w:id="37" w:name="_Toc381697"/>
      <w:bookmarkStart w:id="38" w:name="_Toc381700"/>
      <w:r>
        <w:t>妥善保护利用文物古迹</w:t>
      </w:r>
      <w:bookmarkEnd w:id="37"/>
    </w:p>
    <w:p w14:paraId="6ACBC28A">
      <w:pPr>
        <w:widowControl/>
        <w:adjustRightInd w:val="0"/>
        <w:snapToGrid w:val="0"/>
        <w:ind w:firstLine="640"/>
        <w:rPr>
          <w:rFonts w:cs="Times New Roman"/>
        </w:rPr>
      </w:pPr>
      <w:r>
        <w:rPr>
          <w:rFonts w:cs="Times New Roman"/>
        </w:rPr>
        <w:t>严格保护各级文物保护单位的原址、原物、原状，明确保护要求和管理责任，严禁任何对文物本体造成破坏的行为，加强文物周边环境整治，提高历史环境品质，落实保护范围和建设控制地带。保护范围内不得随意改变原有现状建筑；建设控制地带严格控制建设，加强维修可保留建筑，逐步拆除不需保留建筑，凡有新建建筑，应在外观、造型、体量、高度、色彩上和保护对象协调。</w:t>
      </w:r>
    </w:p>
    <w:p w14:paraId="25F30D83">
      <w:pPr>
        <w:pStyle w:val="4"/>
      </w:pPr>
      <w:r>
        <w:t>强化历史文化遗产活化利用</w:t>
      </w:r>
    </w:p>
    <w:p w14:paraId="785A2B49">
      <w:pPr>
        <w:widowControl/>
        <w:adjustRightInd w:val="0"/>
        <w:snapToGrid w:val="0"/>
        <w:ind w:firstLine="640"/>
        <w:rPr>
          <w:rFonts w:cs="Times New Roman"/>
        </w:rPr>
      </w:pPr>
      <w:r>
        <w:rPr>
          <w:rFonts w:cs="Times New Roman"/>
        </w:rPr>
        <w:t>传承农耕文明，弘扬红色文化，坚持创造性转化、创新性发展，深入挖掘、广泛传播文化遗产蕴含的文化精髓和时代价值，创新历史文化遗产合理利用方式，推动历史文化遗产保护利用工作全面融入经济社会发展。引导历史文化遗产充分发挥公共教育、文化服务等作用，让文化遗产活起来。加大文化遗产开放利用力度，因地制宜改造为公共文化设施或场所。妥善处理保护与开发的关系，推动历史文化遗产成为特色旅游目的地和文明旅游的典范，提升环境品质，满足人民群众精神文化生活新期待，推动历史文化遗产保护的同时带动产业发展。用好</w:t>
      </w:r>
      <w:r>
        <w:rPr>
          <w:rFonts w:cs="Times New Roman"/>
          <w:szCs w:val="32"/>
          <w:lang w:bidi="ar"/>
        </w:rPr>
        <w:t>抗联</w:t>
      </w:r>
      <w:r>
        <w:rPr>
          <w:rFonts w:cs="Times New Roman"/>
        </w:rPr>
        <w:t>红色文化资源，积极弘扬以革命传统教育、爱国主义教育、青少年思想教育为主的红色文化，建设红色教育基地。</w:t>
      </w:r>
    </w:p>
    <w:p w14:paraId="0E178791">
      <w:pPr>
        <w:widowControl/>
        <w:adjustRightInd w:val="0"/>
        <w:snapToGrid w:val="0"/>
        <w:ind w:firstLine="640"/>
        <w:rPr>
          <w:rFonts w:cs="Times New Roman"/>
        </w:rPr>
      </w:pP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409"/>
        <w:gridCol w:w="1418"/>
        <w:gridCol w:w="1276"/>
        <w:gridCol w:w="1275"/>
        <w:gridCol w:w="936"/>
      </w:tblGrid>
      <w:tr w14:paraId="11D7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3697BB5D">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序号</w:t>
            </w:r>
          </w:p>
        </w:tc>
        <w:tc>
          <w:tcPr>
            <w:tcW w:w="2409" w:type="dxa"/>
            <w:vAlign w:val="center"/>
          </w:tcPr>
          <w:p w14:paraId="75FBB6E6">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名称</w:t>
            </w:r>
          </w:p>
        </w:tc>
        <w:tc>
          <w:tcPr>
            <w:tcW w:w="1418" w:type="dxa"/>
            <w:vAlign w:val="center"/>
          </w:tcPr>
          <w:p w14:paraId="54A486C5">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行政村</w:t>
            </w:r>
          </w:p>
        </w:tc>
        <w:tc>
          <w:tcPr>
            <w:tcW w:w="1276" w:type="dxa"/>
            <w:vAlign w:val="center"/>
          </w:tcPr>
          <w:p w14:paraId="46D31F17">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级别</w:t>
            </w:r>
          </w:p>
        </w:tc>
        <w:tc>
          <w:tcPr>
            <w:tcW w:w="1275" w:type="dxa"/>
            <w:vAlign w:val="center"/>
          </w:tcPr>
          <w:p w14:paraId="2C5C81EF">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类别</w:t>
            </w:r>
          </w:p>
        </w:tc>
        <w:tc>
          <w:tcPr>
            <w:tcW w:w="936" w:type="dxa"/>
            <w:vAlign w:val="center"/>
          </w:tcPr>
          <w:p w14:paraId="73F179B9">
            <w:pPr>
              <w:spacing w:line="240" w:lineRule="auto"/>
              <w:ind w:firstLine="0" w:firstLineChars="0"/>
              <w:jc w:val="center"/>
              <w:rPr>
                <w:rFonts w:eastAsia="仿宋" w:cs="Times New Roman"/>
                <w:b/>
                <w:bCs/>
                <w:kern w:val="0"/>
                <w:sz w:val="21"/>
                <w:szCs w:val="20"/>
                <w:lang w:bidi="zh-CN"/>
              </w:rPr>
            </w:pPr>
            <w:r>
              <w:rPr>
                <w:rFonts w:eastAsia="仿宋" w:cs="Times New Roman"/>
                <w:b/>
                <w:bCs/>
                <w:kern w:val="0"/>
                <w:sz w:val="21"/>
                <w:szCs w:val="20"/>
                <w:lang w:bidi="zh-CN"/>
              </w:rPr>
              <w:t>备注</w:t>
            </w:r>
          </w:p>
        </w:tc>
      </w:tr>
      <w:tr w14:paraId="3003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vAlign w:val="center"/>
          </w:tcPr>
          <w:p w14:paraId="1A4DA3B1">
            <w:pPr>
              <w:spacing w:line="240" w:lineRule="auto"/>
              <w:ind w:firstLine="0" w:firstLineChars="0"/>
              <w:jc w:val="center"/>
              <w:rPr>
                <w:rFonts w:eastAsia="仿宋" w:cs="Times New Roman"/>
                <w:kern w:val="0"/>
                <w:sz w:val="21"/>
                <w:szCs w:val="21"/>
              </w:rPr>
            </w:pPr>
            <w:r>
              <w:rPr>
                <w:rFonts w:eastAsia="仿宋" w:cs="Times New Roman"/>
                <w:kern w:val="0"/>
                <w:sz w:val="21"/>
                <w:szCs w:val="21"/>
              </w:rPr>
              <w:t>1</w:t>
            </w:r>
          </w:p>
        </w:tc>
        <w:tc>
          <w:tcPr>
            <w:tcW w:w="2409" w:type="dxa"/>
            <w:vAlign w:val="center"/>
          </w:tcPr>
          <w:p w14:paraId="2F8D6C35">
            <w:pPr>
              <w:spacing w:line="240" w:lineRule="auto"/>
              <w:ind w:firstLine="0" w:firstLineChars="0"/>
              <w:jc w:val="center"/>
              <w:rPr>
                <w:rFonts w:eastAsia="仿宋" w:cs="Times New Roman"/>
                <w:kern w:val="0"/>
                <w:sz w:val="21"/>
                <w:szCs w:val="21"/>
              </w:rPr>
            </w:pPr>
            <w:r>
              <w:rPr>
                <w:rFonts w:hint="eastAsia" w:eastAsia="仿宋" w:cs="Times New Roman"/>
                <w:kern w:val="0"/>
                <w:sz w:val="21"/>
                <w:szCs w:val="21"/>
              </w:rPr>
              <w:t>黑沟大川抗联遗址</w:t>
            </w:r>
          </w:p>
        </w:tc>
        <w:tc>
          <w:tcPr>
            <w:tcW w:w="1418" w:type="dxa"/>
            <w:vAlign w:val="center"/>
          </w:tcPr>
          <w:p w14:paraId="5F7CFBDA">
            <w:pPr>
              <w:spacing w:line="240" w:lineRule="auto"/>
              <w:ind w:firstLine="0" w:firstLineChars="0"/>
              <w:jc w:val="center"/>
              <w:rPr>
                <w:rFonts w:eastAsia="仿宋" w:cs="Times New Roman"/>
                <w:kern w:val="0"/>
                <w:sz w:val="21"/>
                <w:szCs w:val="21"/>
              </w:rPr>
            </w:pPr>
            <w:r>
              <w:rPr>
                <w:rFonts w:hint="eastAsia" w:eastAsia="仿宋" w:cs="Times New Roman"/>
                <w:kern w:val="0"/>
                <w:sz w:val="21"/>
                <w:szCs w:val="21"/>
              </w:rPr>
              <w:t>大川村</w:t>
            </w:r>
          </w:p>
        </w:tc>
        <w:tc>
          <w:tcPr>
            <w:tcW w:w="1276" w:type="dxa"/>
            <w:vAlign w:val="center"/>
          </w:tcPr>
          <w:p w14:paraId="58D6C8CA">
            <w:pPr>
              <w:spacing w:line="240" w:lineRule="auto"/>
              <w:ind w:firstLine="0" w:firstLineChars="0"/>
              <w:jc w:val="center"/>
              <w:rPr>
                <w:rFonts w:eastAsia="仿宋" w:cs="Times New Roman"/>
                <w:kern w:val="0"/>
                <w:sz w:val="21"/>
                <w:szCs w:val="21"/>
              </w:rPr>
            </w:pPr>
            <w:r>
              <w:rPr>
                <w:rFonts w:hint="eastAsia" w:eastAsia="仿宋" w:cs="Times New Roman"/>
                <w:kern w:val="0"/>
                <w:sz w:val="21"/>
                <w:szCs w:val="21"/>
              </w:rPr>
              <w:t>市级</w:t>
            </w:r>
          </w:p>
        </w:tc>
        <w:tc>
          <w:tcPr>
            <w:tcW w:w="1275" w:type="dxa"/>
            <w:vAlign w:val="center"/>
          </w:tcPr>
          <w:p w14:paraId="42E1CB1E">
            <w:pPr>
              <w:spacing w:line="240" w:lineRule="auto"/>
              <w:ind w:firstLine="0" w:firstLineChars="0"/>
              <w:jc w:val="center"/>
              <w:rPr>
                <w:rFonts w:eastAsia="仿宋" w:cs="Times New Roman"/>
                <w:kern w:val="0"/>
                <w:sz w:val="21"/>
                <w:szCs w:val="21"/>
              </w:rPr>
            </w:pPr>
            <w:r>
              <w:rPr>
                <w:rFonts w:hint="eastAsia" w:eastAsia="仿宋" w:cs="Times New Roman"/>
                <w:kern w:val="0"/>
                <w:sz w:val="21"/>
                <w:szCs w:val="21"/>
              </w:rPr>
              <w:t>文保单位</w:t>
            </w:r>
          </w:p>
        </w:tc>
        <w:tc>
          <w:tcPr>
            <w:tcW w:w="936" w:type="dxa"/>
            <w:vAlign w:val="center"/>
          </w:tcPr>
          <w:p w14:paraId="6B3A20A7">
            <w:pPr>
              <w:spacing w:line="240" w:lineRule="auto"/>
              <w:ind w:firstLine="0" w:firstLineChars="0"/>
              <w:jc w:val="center"/>
              <w:rPr>
                <w:rFonts w:eastAsia="仿宋" w:cs="Times New Roman"/>
                <w:kern w:val="0"/>
                <w:sz w:val="21"/>
                <w:szCs w:val="21"/>
              </w:rPr>
            </w:pPr>
          </w:p>
        </w:tc>
      </w:tr>
    </w:tbl>
    <w:p w14:paraId="394F12E3">
      <w:pPr>
        <w:widowControl/>
        <w:adjustRightInd w:val="0"/>
        <w:snapToGrid w:val="0"/>
        <w:ind w:firstLine="640"/>
        <w:rPr>
          <w:rFonts w:hint="eastAsia" w:cs="Times New Roman"/>
        </w:rPr>
      </w:pPr>
    </w:p>
    <w:p w14:paraId="363B8169">
      <w:pPr>
        <w:pStyle w:val="3"/>
        <w:rPr>
          <w:rFonts w:ascii="Times New Roman" w:hAnsi="Times New Roman" w:cs="Times New Roman"/>
          <w:color w:val="auto"/>
        </w:rPr>
      </w:pPr>
      <w:bookmarkStart w:id="39" w:name="_Toc220921272"/>
      <w:r>
        <w:rPr>
          <w:rFonts w:ascii="Times New Roman" w:hAnsi="Times New Roman" w:cs="Times New Roman"/>
          <w:color w:val="auto"/>
        </w:rPr>
        <w:t>第</w:t>
      </w:r>
      <w:r>
        <w:rPr>
          <w:rFonts w:hint="eastAsia" w:ascii="Times New Roman" w:hAnsi="Times New Roman" w:cs="Times New Roman"/>
          <w:color w:val="auto"/>
        </w:rPr>
        <w:t>七</w:t>
      </w:r>
      <w:r>
        <w:rPr>
          <w:rFonts w:ascii="Times New Roman" w:hAnsi="Times New Roman" w:cs="Times New Roman"/>
          <w:color w:val="auto"/>
        </w:rPr>
        <w:t>节</w:t>
      </w:r>
      <w:r>
        <w:rPr>
          <w:rFonts w:hint="eastAsia" w:ascii="Times New Roman" w:hAnsi="Times New Roman" w:cs="Times New Roman"/>
          <w:color w:val="auto"/>
        </w:rPr>
        <w:t>其他自然资源</w:t>
      </w:r>
      <w:bookmarkEnd w:id="39"/>
    </w:p>
    <w:p w14:paraId="23E07695">
      <w:pPr>
        <w:pStyle w:val="4"/>
        <w:numPr>
          <w:ilvl w:val="0"/>
          <w:numId w:val="19"/>
        </w:numPr>
        <w:ind w:left="198" w:firstLine="641"/>
      </w:pPr>
      <w:r>
        <w:t>保护生物多样性</w:t>
      </w:r>
    </w:p>
    <w:p w14:paraId="7531F902">
      <w:pPr>
        <w:widowControl/>
        <w:adjustRightInd w:val="0"/>
        <w:snapToGrid w:val="0"/>
        <w:ind w:firstLine="640"/>
        <w:rPr>
          <w:rFonts w:cs="Times New Roman"/>
        </w:rPr>
      </w:pPr>
      <w:r>
        <w:rPr>
          <w:rFonts w:cs="Times New Roman"/>
        </w:rPr>
        <w:t>加强本地生物多样性的研究，为保护工作提供科学依据。通过系统调查和数据分析，全面了解当地生态系统的构成、物种分布及其动态变化。针对自然保护地等生物多样性保护优先区域内的典型生态系统、重点保护野生动植物物种以及濒危野生动植物及其栖息地，通过划定保护红线、实施生态修复工程、加强执法监管等措施，确保区域内生物多样性得到最大程度的保护。</w:t>
      </w:r>
    </w:p>
    <w:p w14:paraId="192ABB7D">
      <w:pPr>
        <w:pStyle w:val="4"/>
      </w:pPr>
      <w:r>
        <w:t>保护温泉资源</w:t>
      </w:r>
    </w:p>
    <w:p w14:paraId="17676455">
      <w:pPr>
        <w:widowControl/>
        <w:adjustRightInd w:val="0"/>
        <w:snapToGrid w:val="0"/>
        <w:ind w:firstLine="640"/>
        <w:rPr>
          <w:rFonts w:cs="Times New Roman"/>
        </w:rPr>
      </w:pPr>
      <w:r>
        <w:rPr>
          <w:rFonts w:cs="Times New Roman"/>
        </w:rPr>
        <w:t>开展地热资源普查和评价工作，提高勘查精准程度，规范勘查评价方法，摸清温泉资源赋存情况和开发利用潜力。采用合理的开采方式，控制开采量，避免过度开采导致温泉资源的枯竭。加强对温泉资源的保护，防止污染和破坏。建立温泉保护区，制定相关法规和管理措施，建立资源保护、开发利用的监管体系，禁止非法开采和污染行为。开展温泉资源的综合利用，提高资源的利用效率。</w:t>
      </w:r>
    </w:p>
    <w:p w14:paraId="7480D403">
      <w:pPr>
        <w:widowControl/>
        <w:adjustRightInd w:val="0"/>
        <w:snapToGrid w:val="0"/>
        <w:ind w:firstLine="640"/>
        <w:rPr>
          <w:rFonts w:cs="Times New Roman"/>
        </w:rPr>
      </w:pPr>
    </w:p>
    <w:p w14:paraId="0D526DB4">
      <w:pPr>
        <w:widowControl/>
        <w:adjustRightInd w:val="0"/>
        <w:snapToGrid w:val="0"/>
        <w:ind w:firstLine="640"/>
        <w:rPr>
          <w:rFonts w:cs="Times New Roman"/>
        </w:rPr>
      </w:pPr>
    </w:p>
    <w:p w14:paraId="2E475A8C">
      <w:pPr>
        <w:widowControl/>
        <w:adjustRightInd w:val="0"/>
        <w:snapToGrid w:val="0"/>
        <w:ind w:firstLine="640"/>
        <w:rPr>
          <w:rFonts w:cs="Times New Roman"/>
        </w:rPr>
      </w:pPr>
    </w:p>
    <w:bookmarkEnd w:id="38"/>
    <w:p w14:paraId="026983A1">
      <w:pPr>
        <w:pStyle w:val="2"/>
        <w:spacing w:before="312" w:after="312"/>
        <w:rPr>
          <w:rFonts w:ascii="Times New Roman" w:hAnsi="Times New Roman" w:cs="Times New Roman"/>
          <w:color w:val="auto"/>
        </w:rPr>
      </w:pPr>
      <w:bookmarkStart w:id="40" w:name="_Toc220921273"/>
      <w:r>
        <w:rPr>
          <w:rFonts w:ascii="Times New Roman" w:hAnsi="Times New Roman" w:cs="Times New Roman"/>
          <w:color w:val="auto"/>
        </w:rPr>
        <w:t>第</w:t>
      </w:r>
      <w:r>
        <w:rPr>
          <w:rFonts w:hint="eastAsia" w:ascii="Times New Roman" w:hAnsi="Times New Roman" w:cs="Times New Roman"/>
          <w:color w:val="auto"/>
        </w:rPr>
        <w:t>六</w:t>
      </w:r>
      <w:r>
        <w:rPr>
          <w:rFonts w:ascii="Times New Roman" w:hAnsi="Times New Roman" w:cs="Times New Roman"/>
          <w:color w:val="auto"/>
        </w:rPr>
        <w:t>章镇村统筹发展</w:t>
      </w:r>
      <w:bookmarkEnd w:id="40"/>
    </w:p>
    <w:p w14:paraId="24EB7801">
      <w:pPr>
        <w:pStyle w:val="3"/>
        <w:rPr>
          <w:rFonts w:ascii="Times New Roman" w:hAnsi="Times New Roman" w:cs="Times New Roman"/>
          <w:color w:val="auto"/>
        </w:rPr>
      </w:pPr>
      <w:bookmarkStart w:id="41" w:name="_Toc220921274"/>
      <w:r>
        <w:rPr>
          <w:rFonts w:ascii="Times New Roman" w:hAnsi="Times New Roman" w:cs="Times New Roman"/>
          <w:color w:val="auto"/>
        </w:rPr>
        <w:t>第一节镇村体系</w:t>
      </w:r>
      <w:bookmarkEnd w:id="41"/>
    </w:p>
    <w:p w14:paraId="786780E6">
      <w:pPr>
        <w:pStyle w:val="4"/>
        <w:numPr>
          <w:ilvl w:val="0"/>
          <w:numId w:val="20"/>
        </w:numPr>
        <w:ind w:left="198" w:firstLine="641"/>
      </w:pPr>
      <w:r>
        <w:t>镇村人口规模</w:t>
      </w:r>
    </w:p>
    <w:p w14:paraId="35C8F3C9">
      <w:pPr>
        <w:ind w:firstLine="640"/>
        <w:rPr>
          <w:rFonts w:cs="Times New Roman"/>
        </w:rPr>
      </w:pPr>
      <w:r>
        <w:rPr>
          <w:rFonts w:cs="Times New Roman"/>
        </w:rPr>
        <w:t>正视人口自然收缩规律，顺应城镇化高质量发展和城镇化发展阶段特征，积极应对人口减少与老龄化现象。</w:t>
      </w:r>
      <w:bookmarkStart w:id="42" w:name="_Hlk131409854"/>
      <w:bookmarkStart w:id="43" w:name="_Hlk131410016"/>
      <w:r>
        <w:rPr>
          <w:rFonts w:cs="Times New Roman"/>
        </w:rPr>
        <w:t>规划至</w:t>
      </w:r>
      <w:bookmarkEnd w:id="42"/>
      <w:r>
        <w:rPr>
          <w:rFonts w:cs="Times New Roman"/>
        </w:rPr>
        <w:t>2035年，</w:t>
      </w:r>
      <w:r>
        <w:rPr>
          <w:rFonts w:hint="eastAsia" w:cs="Times New Roman"/>
        </w:rPr>
        <w:t>黑沟</w:t>
      </w:r>
      <w:r>
        <w:rPr>
          <w:rFonts w:cs="Times New Roman"/>
        </w:rPr>
        <w:t>乡域常住人口规模约</w:t>
      </w:r>
      <w:r>
        <w:rPr>
          <w:rFonts w:hint="eastAsia" w:cs="Times New Roman"/>
        </w:rPr>
        <w:t>11000</w:t>
      </w:r>
      <w:r>
        <w:rPr>
          <w:rFonts w:cs="Times New Roman"/>
        </w:rPr>
        <w:t>人，乡中心区人口约为2000人</w:t>
      </w:r>
      <w:bookmarkEnd w:id="43"/>
      <w:r>
        <w:rPr>
          <w:rFonts w:cs="Times New Roman"/>
        </w:rPr>
        <w:t>。</w:t>
      </w:r>
    </w:p>
    <w:p w14:paraId="793D4626">
      <w:pPr>
        <w:pStyle w:val="4"/>
      </w:pPr>
      <w:r>
        <w:t>镇村等级规模职能结构</w:t>
      </w:r>
    </w:p>
    <w:p w14:paraId="3EB921BB">
      <w:pPr>
        <w:ind w:firstLine="640"/>
        <w:rPr>
          <w:rFonts w:cs="Times New Roman"/>
        </w:rPr>
      </w:pPr>
      <w:r>
        <w:rPr>
          <w:rFonts w:cs="Times New Roman"/>
        </w:rPr>
        <w:t>落实上位规划引导，综合考虑人口规模、经济职能、辐射范围等因素，构建“乡中心区—中心村—一般村”三级镇村等级结构体系。</w:t>
      </w:r>
    </w:p>
    <w:p w14:paraId="5F4FDB92">
      <w:pPr>
        <w:ind w:firstLine="640"/>
        <w:rPr>
          <w:rFonts w:cs="Times New Roman"/>
        </w:rPr>
      </w:pPr>
      <w:r>
        <w:rPr>
          <w:rFonts w:cs="Times New Roman"/>
        </w:rPr>
        <w:t>乡中心区：以乡政府驻地</w:t>
      </w:r>
      <w:r>
        <w:rPr>
          <w:rFonts w:hint="eastAsia" w:cs="Times New Roman"/>
        </w:rPr>
        <w:t>黑沟</w:t>
      </w:r>
      <w:r>
        <w:rPr>
          <w:rFonts w:cs="Times New Roman"/>
        </w:rPr>
        <w:t>村为核心，是全域的政治、经济、文化中心和综合服务中心。其主要职能包括面向全域的管理职能、生产职能、服务职能、集散职能，作为全域的核心，要不断扩大辐射范围，设施配套按全域服务人口核算。规划结合较好的交通运输条件和各项资源优势，加快发展旅游服务业和特色农业，优化资源配置走集约型循环经济发展道路。</w:t>
      </w:r>
    </w:p>
    <w:p w14:paraId="15A76BAC">
      <w:pPr>
        <w:ind w:firstLine="640"/>
        <w:rPr>
          <w:rFonts w:cs="Times New Roman"/>
        </w:rPr>
      </w:pPr>
      <w:r>
        <w:rPr>
          <w:rFonts w:cs="Times New Roman"/>
        </w:rPr>
        <w:t>中心村：</w:t>
      </w:r>
      <w:r>
        <w:rPr>
          <w:rFonts w:hint="eastAsia" w:cs="Times New Roman"/>
        </w:rPr>
        <w:t>大川</w:t>
      </w:r>
      <w:r>
        <w:rPr>
          <w:rFonts w:cs="Times New Roman"/>
        </w:rPr>
        <w:t>村</w:t>
      </w:r>
      <w:r>
        <w:rPr>
          <w:rFonts w:hint="eastAsia" w:cs="Times New Roman"/>
        </w:rPr>
        <w:t>、六道沟村</w:t>
      </w:r>
      <w:r>
        <w:rPr>
          <w:rFonts w:cs="Times New Roman"/>
        </w:rPr>
        <w:t>。</w:t>
      </w:r>
      <w:r>
        <w:rPr>
          <w:rFonts w:hint="eastAsia" w:cs="Times New Roman"/>
        </w:rPr>
        <w:t>黑沟</w:t>
      </w:r>
      <w:r>
        <w:rPr>
          <w:rFonts w:cs="Times New Roman"/>
        </w:rPr>
        <w:t>乡各种旅游资源要素在此全面聚合、高度集中，是全乡未来人口、产业、功能扩散以及旅游集散的主要承载地区。要充分发挥旅游资源优势，形成村庄组团的中心，为周边村庄提供设施支撑，带动周边村庄发展。规划以乡村旅游为主导产业，依托良好的区位交通条件及生态资源禀赋，完善基础设施和公共服务设施配套，带动全域旅游业发展。中心村常住人口规模2000人。</w:t>
      </w:r>
    </w:p>
    <w:p w14:paraId="52DA7415">
      <w:pPr>
        <w:ind w:firstLine="640"/>
        <w:rPr>
          <w:rFonts w:cs="Times New Roman"/>
        </w:rPr>
      </w:pPr>
      <w:r>
        <w:rPr>
          <w:rFonts w:cs="Times New Roman"/>
        </w:rPr>
        <w:t>一般村：</w:t>
      </w:r>
      <w:r>
        <w:rPr>
          <w:rFonts w:hint="eastAsia" w:cs="Times New Roman"/>
        </w:rPr>
        <w:t>大东沟社区</w:t>
      </w:r>
      <w:r>
        <w:rPr>
          <w:rFonts w:cs="Times New Roman"/>
        </w:rPr>
        <w:t>、</w:t>
      </w:r>
      <w:r>
        <w:rPr>
          <w:rFonts w:hint="eastAsia" w:cs="Times New Roman"/>
        </w:rPr>
        <w:t>石虎子</w:t>
      </w:r>
      <w:r>
        <w:rPr>
          <w:rFonts w:cs="Times New Roman"/>
        </w:rPr>
        <w:t>村</w:t>
      </w:r>
      <w:r>
        <w:rPr>
          <w:rFonts w:hint="eastAsia" w:cs="Times New Roman"/>
        </w:rPr>
        <w:t>2</w:t>
      </w:r>
      <w:r>
        <w:rPr>
          <w:rFonts w:cs="Times New Roman"/>
        </w:rPr>
        <w:t>个一般村，是农村生活、日常公共服务中心和专业化农业生产基地。加快板栗、平欧大榛子、林下参、五味子、食用菌等特色农业发展，完善乡村基础设施和服务设施，提升人居环境水平。一般村常住人口规模2000人以下。</w:t>
      </w:r>
    </w:p>
    <w:p w14:paraId="21A4383A">
      <w:pPr>
        <w:pStyle w:val="3"/>
        <w:rPr>
          <w:rFonts w:ascii="Times New Roman" w:hAnsi="Times New Roman" w:cs="Times New Roman"/>
          <w:color w:val="auto"/>
        </w:rPr>
      </w:pPr>
      <w:bookmarkStart w:id="44" w:name="_Toc220921275"/>
      <w:bookmarkStart w:id="45" w:name="_Toc175064675"/>
      <w:r>
        <w:rPr>
          <w:rFonts w:ascii="Times New Roman" w:hAnsi="Times New Roman" w:cs="Times New Roman"/>
          <w:color w:val="auto"/>
        </w:rPr>
        <w:t>第二节村庄布局</w:t>
      </w:r>
      <w:bookmarkEnd w:id="44"/>
      <w:bookmarkEnd w:id="45"/>
    </w:p>
    <w:p w14:paraId="340DC072">
      <w:pPr>
        <w:pStyle w:val="4"/>
        <w:numPr>
          <w:ilvl w:val="0"/>
          <w:numId w:val="21"/>
        </w:numPr>
        <w:ind w:left="198" w:firstLine="641"/>
        <w:rPr>
          <w:rFonts w:eastAsia="楷体"/>
        </w:rPr>
      </w:pPr>
      <w:r>
        <w:t>村庄分类引导</w:t>
      </w:r>
    </w:p>
    <w:p w14:paraId="0E9C91CF">
      <w:pPr>
        <w:widowControl/>
        <w:adjustRightInd w:val="0"/>
        <w:snapToGrid w:val="0"/>
        <w:ind w:firstLine="640"/>
        <w:rPr>
          <w:rFonts w:cs="Times New Roman"/>
        </w:rPr>
      </w:pPr>
      <w:r>
        <w:rPr>
          <w:rFonts w:cs="Times New Roman"/>
        </w:rPr>
        <w:t>改善乡村人居环境，保护提升乡村风貌格局，顺应村庄发展规律和演变趋势，根据不同村庄的发展现状、区位条件、资源禀赋等，</w:t>
      </w:r>
      <w:r>
        <w:rPr>
          <w:rFonts w:cs="Times New Roman"/>
          <w:szCs w:val="32"/>
          <w:lang w:bidi="ar"/>
        </w:rPr>
        <w:t>按照集聚建设、整治提升、城郊融合、特色保护的思路，</w:t>
      </w:r>
      <w:r>
        <w:rPr>
          <w:rFonts w:cs="Times New Roman"/>
        </w:rPr>
        <w:t>加强村庄发展的分类引导，分类推进乡村发展。</w:t>
      </w:r>
    </w:p>
    <w:p w14:paraId="2792751D">
      <w:pPr>
        <w:widowControl/>
        <w:adjustRightInd w:val="0"/>
        <w:snapToGrid w:val="0"/>
        <w:ind w:firstLine="640"/>
        <w:rPr>
          <w:rFonts w:cs="Times New Roman"/>
        </w:rPr>
      </w:pPr>
      <w:r>
        <w:rPr>
          <w:rFonts w:cs="Times New Roman"/>
        </w:rPr>
        <w:t>规划全域内集聚建设类村庄</w:t>
      </w:r>
      <w:r>
        <w:rPr>
          <w:rFonts w:hint="eastAsia" w:cs="Times New Roman"/>
        </w:rPr>
        <w:t>2</w:t>
      </w:r>
      <w:r>
        <w:rPr>
          <w:rFonts w:cs="Times New Roman"/>
        </w:rPr>
        <w:t>个，整治提升类村庄</w:t>
      </w:r>
      <w:r>
        <w:rPr>
          <w:rFonts w:hint="eastAsia" w:cs="Times New Roman"/>
        </w:rPr>
        <w:t>2</w:t>
      </w:r>
      <w:r>
        <w:rPr>
          <w:rFonts w:cs="Times New Roman"/>
        </w:rPr>
        <w:t>个，城郊融合类村庄</w:t>
      </w:r>
      <w:r>
        <w:rPr>
          <w:rFonts w:hint="eastAsia" w:cs="Times New Roman"/>
        </w:rPr>
        <w:t>1</w:t>
      </w:r>
      <w:r>
        <w:rPr>
          <w:rFonts w:cs="Times New Roman"/>
        </w:rPr>
        <w:t>个，无拆迁撤并类，村庄规划编制应按照《辽宁省村庄规划导则（试行）》要求，对村庄进行分类发展引导。</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76935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5000" w:type="pct"/>
            <w:tcBorders>
              <w:top w:val="single" w:color="auto" w:sz="4" w:space="0"/>
              <w:left w:val="single" w:color="auto" w:sz="4" w:space="0"/>
              <w:bottom w:val="single" w:color="auto" w:sz="4" w:space="0"/>
              <w:right w:val="single" w:color="auto" w:sz="4" w:space="0"/>
            </w:tcBorders>
          </w:tcPr>
          <w:p w14:paraId="38A394E1">
            <w:pPr>
              <w:pStyle w:val="13"/>
              <w:widowControl w:val="0"/>
              <w:tabs>
                <w:tab w:val="left" w:pos="0"/>
                <w:tab w:val="left" w:pos="5530"/>
              </w:tabs>
              <w:adjustRightInd/>
              <w:snapToGrid/>
              <w:spacing w:before="0" w:beforeAutospacing="0" w:after="0" w:afterAutospacing="0" w:line="500" w:lineRule="exact"/>
              <w:ind w:firstLine="560"/>
              <w:jc w:val="center"/>
              <w:rPr>
                <w:rFonts w:ascii="Times New Roman" w:hAnsi="Times New Roman" w:eastAsia="仿宋" w:cs="Times New Roman"/>
                <w:kern w:val="2"/>
                <w:sz w:val="32"/>
                <w:szCs w:val="32"/>
              </w:rPr>
            </w:pPr>
            <w:r>
              <w:rPr>
                <w:rFonts w:ascii="Times New Roman" w:hAnsi="Times New Roman" w:eastAsia="黑体" w:cs="Times New Roman"/>
                <w:kern w:val="2"/>
                <w:sz w:val="28"/>
                <w:szCs w:val="28"/>
                <w:lang w:bidi="ar"/>
              </w:rPr>
              <w:t>专栏1村庄分类与建设指引</w:t>
            </w:r>
          </w:p>
        </w:tc>
      </w:tr>
      <w:tr w14:paraId="11DB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Borders>
              <w:top w:val="single" w:color="auto" w:sz="4" w:space="0"/>
              <w:left w:val="single" w:color="auto" w:sz="4" w:space="0"/>
              <w:bottom w:val="single" w:color="auto" w:sz="4" w:space="0"/>
              <w:right w:val="single" w:color="auto" w:sz="4" w:space="0"/>
            </w:tcBorders>
          </w:tcPr>
          <w:p w14:paraId="0C77E9C1">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集聚建设类村庄：规划确定</w:t>
            </w:r>
            <w:r>
              <w:rPr>
                <w:rFonts w:hint="eastAsia" w:ascii="Times New Roman" w:hAnsi="Times New Roman" w:eastAsia="仿宋_GB2312" w:cs="Times New Roman"/>
                <w:kern w:val="2"/>
                <w:sz w:val="28"/>
                <w:szCs w:val="20"/>
                <w:lang w:bidi="ar"/>
              </w:rPr>
              <w:t>石虎子村、六道沟村</w:t>
            </w:r>
            <w:r>
              <w:rPr>
                <w:rFonts w:ascii="Times New Roman" w:hAnsi="Times New Roman" w:eastAsia="仿宋_GB2312" w:cs="Times New Roman"/>
                <w:kern w:val="2"/>
                <w:sz w:val="28"/>
                <w:szCs w:val="20"/>
                <w:lang w:bidi="ar"/>
              </w:rPr>
              <w:t>为集聚建设类村庄。坚持保护优先、节约优先，配建补齐各类基础设施，加快人居环境整治，建设美丽宜居村庄。通过打造专业村庄，强化对周边村庄的辐射带动和示范作用，引导周边零散居民点向该类型村庄集聚。鼓励发挥自身比较优势，强化主导产业支撑。强化村庄空间与区域环境协调性。</w:t>
            </w:r>
          </w:p>
          <w:p w14:paraId="6F4F3A19">
            <w:pPr>
              <w:pStyle w:val="13"/>
              <w:spacing w:before="0" w:beforeAutospacing="0" w:after="0" w:afterAutospacing="0" w:line="500" w:lineRule="exact"/>
              <w:ind w:firstLine="560" w:firstLineChars="200"/>
              <w:jc w:val="both"/>
              <w:rPr>
                <w:rFonts w:ascii="Times New Roman" w:hAnsi="Times New Roman" w:eastAsia="仿宋_GB2312" w:cs="Times New Roman"/>
                <w:kern w:val="2"/>
                <w:sz w:val="28"/>
                <w:szCs w:val="20"/>
                <w:lang w:bidi="ar"/>
              </w:rPr>
            </w:pPr>
            <w:r>
              <w:rPr>
                <w:rFonts w:ascii="Times New Roman" w:hAnsi="Times New Roman" w:eastAsia="仿宋_GB2312" w:cs="Times New Roman"/>
                <w:kern w:val="2"/>
                <w:sz w:val="28"/>
                <w:szCs w:val="20"/>
                <w:lang w:bidi="ar"/>
              </w:rPr>
              <w:t>整治提升类村庄：规划确定</w:t>
            </w:r>
            <w:r>
              <w:rPr>
                <w:rFonts w:hint="eastAsia" w:ascii="Times New Roman" w:hAnsi="Times New Roman" w:eastAsia="仿宋_GB2312" w:cs="Times New Roman"/>
                <w:kern w:val="2"/>
                <w:sz w:val="28"/>
                <w:szCs w:val="20"/>
                <w:lang w:bidi="ar"/>
              </w:rPr>
              <w:t>大川村</w:t>
            </w:r>
            <w:r>
              <w:rPr>
                <w:rFonts w:ascii="Times New Roman" w:hAnsi="Times New Roman" w:eastAsia="仿宋_GB2312" w:cs="Times New Roman"/>
                <w:kern w:val="2"/>
                <w:sz w:val="28"/>
                <w:szCs w:val="20"/>
                <w:lang w:bidi="ar"/>
              </w:rPr>
              <w:t>为整治提升类村庄。</w:t>
            </w:r>
            <w:r>
              <w:rPr>
                <w:rFonts w:hint="eastAsia" w:ascii="Times New Roman" w:hAnsi="Times New Roman" w:eastAsia="仿宋_GB2312" w:cs="Times New Roman"/>
                <w:kern w:val="2"/>
                <w:sz w:val="28"/>
                <w:szCs w:val="20"/>
                <w:lang w:bidi="ar"/>
              </w:rPr>
              <w:t>大东沟社区按照</w:t>
            </w:r>
            <w:r>
              <w:rPr>
                <w:rFonts w:ascii="Times New Roman" w:hAnsi="Times New Roman" w:eastAsia="仿宋_GB2312" w:cs="Times New Roman"/>
                <w:kern w:val="2"/>
                <w:sz w:val="28"/>
                <w:szCs w:val="20"/>
                <w:lang w:bidi="ar"/>
              </w:rPr>
              <w:t>整治提升类村庄</w:t>
            </w:r>
            <w:r>
              <w:rPr>
                <w:rFonts w:hint="eastAsia" w:ascii="Times New Roman" w:hAnsi="Times New Roman" w:eastAsia="仿宋_GB2312" w:cs="Times New Roman"/>
                <w:kern w:val="2"/>
                <w:sz w:val="28"/>
                <w:szCs w:val="20"/>
                <w:lang w:bidi="ar"/>
              </w:rPr>
              <w:t>标准进行建设。整治提升类村庄</w:t>
            </w:r>
            <w:r>
              <w:rPr>
                <w:rFonts w:ascii="Times New Roman" w:hAnsi="Times New Roman" w:eastAsia="仿宋_GB2312" w:cs="Times New Roman"/>
                <w:kern w:val="2"/>
                <w:sz w:val="28"/>
                <w:szCs w:val="20"/>
                <w:lang w:bidi="ar"/>
              </w:rPr>
              <w:t>以改善村民生活居住环境为目的，重点补齐村庄设施短板、强化村庄人居环境整治、保障村民合理建房需求、塑造乡村特色风貌，提高村民的生活居住质量。积极盘活存量用地。</w:t>
            </w:r>
          </w:p>
          <w:p w14:paraId="4D74B8A2">
            <w:pPr>
              <w:pStyle w:val="13"/>
              <w:spacing w:before="0" w:beforeAutospacing="0" w:after="0" w:afterAutospacing="0" w:line="500" w:lineRule="exact"/>
              <w:ind w:firstLine="560" w:firstLineChars="200"/>
              <w:jc w:val="both"/>
              <w:rPr>
                <w:rFonts w:ascii="Times New Roman" w:hAnsi="Times New Roman" w:cs="Times New Roman"/>
              </w:rPr>
            </w:pPr>
            <w:r>
              <w:rPr>
                <w:rFonts w:ascii="Times New Roman" w:hAnsi="Times New Roman" w:eastAsia="仿宋_GB2312" w:cs="Times New Roman"/>
                <w:kern w:val="2"/>
                <w:sz w:val="28"/>
                <w:szCs w:val="20"/>
                <w:lang w:bidi="ar"/>
              </w:rPr>
              <w:t>城郊融合类村庄：规划确定</w:t>
            </w:r>
            <w:r>
              <w:rPr>
                <w:rFonts w:hint="eastAsia" w:ascii="Times New Roman" w:hAnsi="Times New Roman" w:eastAsia="仿宋_GB2312" w:cs="Times New Roman"/>
                <w:kern w:val="2"/>
                <w:sz w:val="28"/>
                <w:szCs w:val="20"/>
                <w:lang w:bidi="ar"/>
              </w:rPr>
              <w:t>黑沟</w:t>
            </w:r>
            <w:r>
              <w:rPr>
                <w:rFonts w:ascii="Times New Roman" w:hAnsi="Times New Roman" w:eastAsia="仿宋_GB2312" w:cs="Times New Roman"/>
                <w:kern w:val="2"/>
                <w:sz w:val="28"/>
                <w:szCs w:val="20"/>
                <w:lang w:bidi="ar"/>
              </w:rPr>
              <w:t>村为城郊融合类村庄。推动城乡产业融合发展、基础设施互联互通、公共服务设施共建共享，打造宜居、宜业、宜游的现代化村庄。鼓励工业企业与农业形成优势互补，共同打造从田间到餐桌的完整产业链。完善公共服务设施，满足村民的基本需求。</w:t>
            </w:r>
          </w:p>
        </w:tc>
      </w:tr>
    </w:tbl>
    <w:p w14:paraId="3F0E6DE7">
      <w:pPr>
        <w:pStyle w:val="4"/>
        <w:rPr>
          <w:rFonts w:eastAsia="楷体"/>
        </w:rPr>
      </w:pPr>
      <w:r>
        <w:t>村庄分型引导</w:t>
      </w:r>
    </w:p>
    <w:p w14:paraId="279B1B19">
      <w:pPr>
        <w:widowControl/>
        <w:adjustRightInd w:val="0"/>
        <w:snapToGrid w:val="0"/>
        <w:ind w:firstLine="640"/>
        <w:rPr>
          <w:rFonts w:cs="Times New Roman"/>
        </w:rPr>
      </w:pPr>
      <w:r>
        <w:rPr>
          <w:rFonts w:cs="Times New Roman"/>
        </w:rPr>
        <w:t>在尊重村民意愿的基础上，结合村庄建设用地规模、人口规模、产业发展、空心化程度等因素，将各行政村内的居民点分为“增量型、等量型”</w:t>
      </w:r>
      <w:r>
        <w:rPr>
          <w:rFonts w:hint="eastAsia" w:cs="Times New Roman"/>
        </w:rPr>
        <w:t>二</w:t>
      </w:r>
      <w:r>
        <w:rPr>
          <w:rFonts w:cs="Times New Roman"/>
        </w:rPr>
        <w:t>种类型，作为村庄规划用地管控及指标投放的依据。</w:t>
      </w:r>
    </w:p>
    <w:p w14:paraId="046B624E">
      <w:pPr>
        <w:pStyle w:val="4"/>
      </w:pPr>
      <w:r>
        <w:t>村庄建设用地规模控制</w:t>
      </w:r>
    </w:p>
    <w:p w14:paraId="26A7041C">
      <w:pPr>
        <w:widowControl/>
        <w:adjustRightInd w:val="0"/>
        <w:snapToGrid w:val="0"/>
        <w:ind w:firstLine="640"/>
        <w:rPr>
          <w:rFonts w:cs="Times New Roman"/>
        </w:rPr>
      </w:pPr>
      <w:r>
        <w:rPr>
          <w:rFonts w:cs="Times New Roman"/>
        </w:rPr>
        <w:t>控制村庄建设用地总量，重点保障农民建房、村庄内部基础设施和农村公益事业、农村二三产业发展用地，积极复垦、盘活存量集体建设用地，稳妥推进农村集体经营性建设用地入市。统筹安排宅基地用地规模和布局，满足合理的宅基地需求。农村村民建造住宅应严格落实“一户一宅”规定，严格控制占用耕地建造住宅。农村村民应严格按照批准面积和建房标准建设住宅。</w:t>
      </w:r>
    </w:p>
    <w:p w14:paraId="34CA2BD5">
      <w:pPr>
        <w:widowControl/>
        <w:adjustRightInd w:val="0"/>
        <w:snapToGrid w:val="0"/>
        <w:ind w:firstLine="640"/>
        <w:rPr>
          <w:rFonts w:cs="Times New Roman"/>
        </w:rPr>
      </w:pPr>
    </w:p>
    <w:tbl>
      <w:tblPr>
        <w:tblStyle w:val="15"/>
        <w:tblW w:w="4998" w:type="pct"/>
        <w:tblInd w:w="0" w:type="dxa"/>
        <w:tblLayout w:type="autofit"/>
        <w:tblCellMar>
          <w:top w:w="0" w:type="dxa"/>
          <w:left w:w="108" w:type="dxa"/>
          <w:bottom w:w="0" w:type="dxa"/>
          <w:right w:w="108" w:type="dxa"/>
        </w:tblCellMar>
      </w:tblPr>
      <w:tblGrid>
        <w:gridCol w:w="1431"/>
        <w:gridCol w:w="1888"/>
        <w:gridCol w:w="2116"/>
        <w:gridCol w:w="1659"/>
        <w:gridCol w:w="1431"/>
      </w:tblGrid>
      <w:tr w14:paraId="1F778549">
        <w:tblPrEx>
          <w:tblCellMar>
            <w:top w:w="0" w:type="dxa"/>
            <w:left w:w="108" w:type="dxa"/>
            <w:bottom w:w="0" w:type="dxa"/>
            <w:right w:w="108" w:type="dxa"/>
          </w:tblCellMar>
        </w:tblPrEx>
        <w:trPr>
          <w:trHeight w:val="255" w:hRule="atLeast"/>
          <w:tblHeader/>
        </w:trPr>
        <w:tc>
          <w:tcPr>
            <w:tcW w:w="839" w:type="pct"/>
            <w:tcBorders>
              <w:top w:val="single" w:color="000000" w:sz="4" w:space="0"/>
              <w:left w:val="single" w:color="000000" w:sz="4" w:space="0"/>
              <w:bottom w:val="single" w:color="000000" w:sz="4" w:space="0"/>
              <w:right w:val="single" w:color="000000" w:sz="4" w:space="0"/>
              <w:tl2br w:val="nil"/>
            </w:tcBorders>
            <w:shd w:val="clear" w:color="auto" w:fill="FFFFFF"/>
            <w:noWrap/>
            <w:vAlign w:val="center"/>
          </w:tcPr>
          <w:p w14:paraId="5BEA311B">
            <w:pPr>
              <w:widowControl/>
              <w:adjustRightInd w:val="0"/>
              <w:spacing w:line="240" w:lineRule="auto"/>
              <w:ind w:firstLine="0" w:firstLineChars="0"/>
              <w:contextualSpacing/>
              <w:jc w:val="center"/>
              <w:rPr>
                <w:rFonts w:cs="Times New Roman"/>
                <w:b/>
                <w:sz w:val="21"/>
                <w:szCs w:val="21"/>
              </w:rPr>
            </w:pPr>
            <w:r>
              <w:rPr>
                <w:rFonts w:cs="Times New Roman"/>
                <w:b/>
                <w:sz w:val="21"/>
                <w:szCs w:val="21"/>
                <w:lang w:bidi="ar"/>
              </w:rPr>
              <w:t>序号</w:t>
            </w:r>
          </w:p>
        </w:tc>
        <w:tc>
          <w:tcPr>
            <w:tcW w:w="1107"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6AC17C">
            <w:pPr>
              <w:widowControl/>
              <w:adjustRightInd w:val="0"/>
              <w:spacing w:line="240" w:lineRule="auto"/>
              <w:ind w:firstLine="0" w:firstLineChars="0"/>
              <w:contextualSpacing/>
              <w:jc w:val="center"/>
              <w:rPr>
                <w:rFonts w:cs="Times New Roman"/>
                <w:b/>
                <w:sz w:val="21"/>
                <w:szCs w:val="21"/>
              </w:rPr>
            </w:pPr>
            <w:r>
              <w:rPr>
                <w:rFonts w:cs="Times New Roman"/>
                <w:b/>
                <w:sz w:val="21"/>
                <w:szCs w:val="21"/>
                <w:lang w:bidi="ar"/>
              </w:rPr>
              <w:t>村庄名称</w:t>
            </w: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8D825F">
            <w:pPr>
              <w:widowControl/>
              <w:adjustRightInd w:val="0"/>
              <w:spacing w:line="240" w:lineRule="auto"/>
              <w:ind w:firstLine="0" w:firstLineChars="0"/>
              <w:contextualSpacing/>
              <w:jc w:val="center"/>
              <w:rPr>
                <w:rFonts w:cs="Times New Roman"/>
                <w:b/>
                <w:sz w:val="21"/>
                <w:szCs w:val="21"/>
              </w:rPr>
            </w:pPr>
            <w:r>
              <w:rPr>
                <w:rFonts w:cs="Times New Roman"/>
                <w:b/>
                <w:sz w:val="21"/>
                <w:szCs w:val="21"/>
                <w:lang w:bidi="ar"/>
              </w:rPr>
              <w:t>自然村名称</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F4590">
            <w:pPr>
              <w:widowControl/>
              <w:adjustRightInd w:val="0"/>
              <w:spacing w:line="240" w:lineRule="auto"/>
              <w:ind w:firstLine="0" w:firstLineChars="0"/>
              <w:contextualSpacing/>
              <w:jc w:val="center"/>
              <w:rPr>
                <w:rFonts w:cs="Times New Roman"/>
                <w:b/>
                <w:sz w:val="21"/>
                <w:szCs w:val="21"/>
              </w:rPr>
            </w:pPr>
            <w:r>
              <w:rPr>
                <w:rFonts w:cs="Times New Roman"/>
                <w:b/>
                <w:sz w:val="21"/>
                <w:szCs w:val="21"/>
                <w:lang w:bidi="ar"/>
              </w:rPr>
              <w:t>分型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C70FE">
            <w:pPr>
              <w:widowControl/>
              <w:adjustRightInd w:val="0"/>
              <w:spacing w:line="240" w:lineRule="auto"/>
              <w:ind w:firstLine="0" w:firstLineChars="0"/>
              <w:contextualSpacing/>
              <w:jc w:val="center"/>
              <w:rPr>
                <w:rFonts w:cs="Times New Roman"/>
                <w:b/>
                <w:sz w:val="21"/>
                <w:szCs w:val="21"/>
              </w:rPr>
            </w:pPr>
            <w:r>
              <w:rPr>
                <w:rFonts w:cs="Times New Roman"/>
                <w:b/>
                <w:sz w:val="21"/>
                <w:szCs w:val="21"/>
                <w:lang w:bidi="ar"/>
              </w:rPr>
              <w:t>备注</w:t>
            </w:r>
          </w:p>
        </w:tc>
      </w:tr>
      <w:tr w14:paraId="7040FA23">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41002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w:t>
            </w:r>
          </w:p>
        </w:tc>
        <w:tc>
          <w:tcPr>
            <w:tcW w:w="110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AFF90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大川村</w:t>
            </w: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1CDCC">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陈家街</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0EAC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EC45DC">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1C427C38">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C8FC2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7E9D04">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A806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打虎沟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D33C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B942B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32CB7B98">
        <w:tblPrEx>
          <w:tblCellMar>
            <w:top w:w="0" w:type="dxa"/>
            <w:left w:w="108" w:type="dxa"/>
            <w:bottom w:w="0" w:type="dxa"/>
            <w:right w:w="108" w:type="dxa"/>
          </w:tblCellMar>
        </w:tblPrEx>
        <w:trPr>
          <w:trHeight w:val="330"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A43A3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5A7A4A">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12641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大川村</w:t>
            </w:r>
          </w:p>
        </w:tc>
        <w:tc>
          <w:tcPr>
            <w:tcW w:w="973"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7E95AB5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增量型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DA967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5595B0E0">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5155A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50B76C">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99817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大干沟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08031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6BCC9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07832551">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AF554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5</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808DE">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2918B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大碱厂沟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53BA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E717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6C2CF3D">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3B546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6</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244FD">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BD9FFC">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大油瓶沟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AF6CF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F471E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4071FBB4">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517A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7</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A0A62">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2D36D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二道沟门</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9D4C10">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7BF4F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0A751B7A">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D1FCE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8</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E04C49">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DB7E0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二道阳岔</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F003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388C8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104A55D5">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ABBC6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9</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67DE9C">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D3F80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二干沟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DF6AA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0B6C6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4C5A89FE">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B788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10</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B12E8">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71158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干巴河</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41F0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65B5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645340F8">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6CC57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11</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F56AC">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0CB71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高岭道</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7AB9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EA45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752A217">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F0601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12</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A3C8DE">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DDD6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高台沟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04138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6D4090">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56A1A0ED">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114A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13</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227C1A">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FFA9B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哈塘沟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1EBB2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DBF5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5E14742E">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A792C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14</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B64DE8">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79BE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红石砬子</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8549A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7903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0CA5A551">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9FF9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15</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905AB7">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5042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红石砬子村</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AD5F0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2369F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29BE4C9">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C3D3E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16</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A4A5E5">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7D3AC0">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虎沟岭底</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43BBA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81EE3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1F97052C">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A4A6B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17</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9CC76C">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9B474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老大川</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09A4B0">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FFDB9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7A30C194">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E2500">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18</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CE5DCB">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F12B0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老会房子</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0DB10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CED1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D51DFF2">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7F416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19</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FBEE66">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F56F7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老鹰沟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1C26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4AEC2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3F9F2176">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09099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20</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C225C0">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2EF13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六道阳岔</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E7D8B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1BE5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49CC9E05">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3856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21</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1C2F2">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90816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驴圈沟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C1FF5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6CECF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416C08C">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D7062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22</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14B673">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A84C4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七道阳岔</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82BB8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0CFF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68D2A18B">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E58CD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23</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589647">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8A05E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三道阳岔</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1115C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E641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3A1D875E">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8C2D8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24</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ABBA0">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BCDC7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四道阳岔</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1A36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79EA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FD4C0FF">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DEE4D0">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25</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FCB3DE">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CF6E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头道阳岔</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E80E8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1FD0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4674CB29">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FCCD1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26</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54FCF">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3B19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五道阳岔</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2084DC">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95BCB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4BBE1A9D">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A2BD4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27</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4467BF">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4CD62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小碱厂沟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FEF0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42CCF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73C00BB1">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0FCEA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28</w:t>
            </w:r>
          </w:p>
        </w:tc>
        <w:tc>
          <w:tcPr>
            <w:tcW w:w="110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78B44B">
            <w:pPr>
              <w:widowControl/>
              <w:adjustRightInd w:val="0"/>
              <w:spacing w:line="240" w:lineRule="auto"/>
              <w:ind w:firstLine="0" w:firstLineChars="0"/>
              <w:contextualSpacing/>
              <w:jc w:val="center"/>
              <w:rPr>
                <w:rFonts w:cs="Times New Roman"/>
                <w:sz w:val="21"/>
                <w:szCs w:val="21"/>
              </w:rPr>
            </w:pPr>
            <w:r>
              <w:rPr>
                <w:rFonts w:hint="eastAsia" w:cs="Times New Roman"/>
                <w:sz w:val="21"/>
                <w:szCs w:val="21"/>
                <w:lang w:bidi="ar"/>
              </w:rPr>
              <w:t>大东沟社区</w:t>
            </w: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954D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蔡家沟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9CE9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E87AE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1DA0FE64">
        <w:tblPrEx>
          <w:tblCellMar>
            <w:top w:w="0" w:type="dxa"/>
            <w:left w:w="108" w:type="dxa"/>
            <w:bottom w:w="0" w:type="dxa"/>
            <w:right w:w="108" w:type="dxa"/>
          </w:tblCellMar>
        </w:tblPrEx>
        <w:trPr>
          <w:trHeight w:val="330"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8D776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29</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2B0FED">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0EB89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大东沟</w:t>
            </w:r>
          </w:p>
        </w:tc>
        <w:tc>
          <w:tcPr>
            <w:tcW w:w="973"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DCC22E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增量型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635AD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57AE435B">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4C07B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30</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D0B29A">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607D7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东沟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AD91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6EF1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726D6EF3">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5ACE4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31</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A859ED">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8EB4A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高力沟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58FE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DBECC">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751A0A08">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464E1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32</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FE032">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B8850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高丽沟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D527F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6B940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0EC917FD">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FFD81C">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33</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125FBF">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FF75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狍鹿沟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F14E2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4FFDD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4A59608">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AA0F50">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34</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A5810">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13C2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青岭</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5D4B9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95B6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31847FE9">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79692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35</w:t>
            </w:r>
          </w:p>
        </w:tc>
        <w:tc>
          <w:tcPr>
            <w:tcW w:w="110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C4CCF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黑沟村</w:t>
            </w: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F930F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车道沟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D88E4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83C0C">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3AC984F">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2BE8A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36</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A4FA7">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1E777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河西</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AA44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CA4D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590A148C">
        <w:tblPrEx>
          <w:tblCellMar>
            <w:top w:w="0" w:type="dxa"/>
            <w:left w:w="108" w:type="dxa"/>
            <w:bottom w:w="0" w:type="dxa"/>
            <w:right w:w="108" w:type="dxa"/>
          </w:tblCellMar>
        </w:tblPrEx>
        <w:trPr>
          <w:trHeight w:val="330"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5BDE20">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37</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6539C7">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6846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黑沟村</w:t>
            </w:r>
          </w:p>
        </w:tc>
        <w:tc>
          <w:tcPr>
            <w:tcW w:w="973"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67F30A4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增量型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DD7CC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44334B3">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328B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38</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FE8106">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89D0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双岭子</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9C9A7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F86C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652CE07">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498E4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39</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E43AC8">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FEBE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双岭子洞</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FA410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9CAAD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F710EAD">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6A6C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40</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29F284">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49AF4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头道沟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D73F1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D3E6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01FF77F6">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CE15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41</w:t>
            </w:r>
          </w:p>
        </w:tc>
        <w:tc>
          <w:tcPr>
            <w:tcW w:w="110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6D559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六道沟村</w:t>
            </w: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9684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东沟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A2779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3736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01F40274">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9D2A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42</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038360">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D3CC8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河西</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59F19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952D3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7DC10082">
        <w:tblPrEx>
          <w:tblCellMar>
            <w:top w:w="0" w:type="dxa"/>
            <w:left w:w="108" w:type="dxa"/>
            <w:bottom w:w="0" w:type="dxa"/>
            <w:right w:w="108" w:type="dxa"/>
          </w:tblCellMar>
        </w:tblPrEx>
        <w:trPr>
          <w:trHeight w:val="330"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0ED89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43</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98A28E">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A0EFC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六道沟村</w:t>
            </w:r>
          </w:p>
        </w:tc>
        <w:tc>
          <w:tcPr>
            <w:tcW w:w="973"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2C1C6E5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增量型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C1E02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7000401F">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3D768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44</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FA2531">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71892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汪家街</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A7EB3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7BC5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4C5EB0D3">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8D72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45</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2D09A">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19913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窄沟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E3D85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F961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14BCC28D">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263C5">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46</w:t>
            </w:r>
          </w:p>
        </w:tc>
        <w:tc>
          <w:tcPr>
            <w:tcW w:w="1107" w:type="pct"/>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AA639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石虎子村</w:t>
            </w: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BB8EB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棒捶砬子</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5DF94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314F5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1492A494">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8052D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47</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61396">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5A3E6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大荒沟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8D83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2CD92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5905648A">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0703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48</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9E05DC">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53A9E0">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大柞树岭子</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A8F83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479AA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39208DDF">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EEFAD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49</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19FBD8">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DF8356">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二荒沟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BE231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548FE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1AA94DDB">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F636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50</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53384">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564BA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高丽井子</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A0694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F3CA6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33EC8111">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1C7C0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51</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E5470">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89FBF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偏道沟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94242C">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C85F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05D29E91">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203A5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52</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6A5120">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B723B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平台沟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E1532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400A2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5B2754A4">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9C1DE">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53</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F4D66">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B8FD53">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三荒沟</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DB26A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65D84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122948CB">
        <w:tblPrEx>
          <w:tblCellMar>
            <w:top w:w="0" w:type="dxa"/>
            <w:left w:w="108" w:type="dxa"/>
            <w:bottom w:w="0" w:type="dxa"/>
            <w:right w:w="108" w:type="dxa"/>
          </w:tblCellMar>
        </w:tblPrEx>
        <w:trPr>
          <w:trHeight w:val="330"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6F58B">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54</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66806E">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59D8D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石虎子村</w:t>
            </w:r>
          </w:p>
        </w:tc>
        <w:tc>
          <w:tcPr>
            <w:tcW w:w="973" w:type="pct"/>
            <w:tcBorders>
              <w:top w:val="single" w:color="000000" w:sz="4" w:space="0"/>
              <w:left w:val="single" w:color="000000" w:sz="4" w:space="0"/>
              <w:bottom w:val="single" w:color="000000" w:sz="4" w:space="0"/>
              <w:right w:val="single" w:color="000000" w:sz="4" w:space="0"/>
            </w:tcBorders>
            <w:shd w:val="clear" w:color="000000" w:fill="FFFFFF"/>
            <w:noWrap/>
            <w:vAlign w:val="center"/>
          </w:tcPr>
          <w:p w14:paraId="41E1C5D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增量型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6FB96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18BFDE31">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DA3E14">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55</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8C7728">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C416F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石庙子</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B1EEF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29C037">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4BE788E2">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BB9F9">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56</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DA3377">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523F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小柞树岭子</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08182">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253178">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r w14:paraId="2E78E029">
        <w:tblPrEx>
          <w:tblCellMar>
            <w:top w:w="0" w:type="dxa"/>
            <w:left w:w="108" w:type="dxa"/>
            <w:bottom w:w="0" w:type="dxa"/>
            <w:right w:w="108" w:type="dxa"/>
          </w:tblCellMar>
        </w:tblPrEx>
        <w:trPr>
          <w:trHeight w:val="255" w:hRule="atLeast"/>
        </w:trPr>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7B1A1A">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57</w:t>
            </w:r>
          </w:p>
        </w:tc>
        <w:tc>
          <w:tcPr>
            <w:tcW w:w="1107" w:type="pct"/>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4FC4F">
            <w:pPr>
              <w:adjustRightInd w:val="0"/>
              <w:ind w:firstLine="420"/>
              <w:contextualSpacing/>
              <w:jc w:val="center"/>
              <w:rPr>
                <w:rFonts w:cs="Times New Roman"/>
                <w:sz w:val="21"/>
                <w:szCs w:val="21"/>
              </w:rPr>
            </w:pPr>
          </w:p>
        </w:tc>
        <w:tc>
          <w:tcPr>
            <w:tcW w:w="1241"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704A9F">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柞树岭村</w:t>
            </w:r>
          </w:p>
        </w:tc>
        <w:tc>
          <w:tcPr>
            <w:tcW w:w="97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BB37D">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等量型</w:t>
            </w:r>
          </w:p>
        </w:tc>
        <w:tc>
          <w:tcPr>
            <w:tcW w:w="839"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51BAD1">
            <w:pPr>
              <w:widowControl/>
              <w:adjustRightInd w:val="0"/>
              <w:spacing w:line="240" w:lineRule="auto"/>
              <w:ind w:firstLine="0" w:firstLineChars="0"/>
              <w:contextualSpacing/>
              <w:jc w:val="center"/>
              <w:rPr>
                <w:rFonts w:cs="Times New Roman"/>
                <w:sz w:val="21"/>
                <w:szCs w:val="21"/>
              </w:rPr>
            </w:pPr>
            <w:r>
              <w:rPr>
                <w:rFonts w:cs="Times New Roman"/>
                <w:sz w:val="21"/>
                <w:szCs w:val="21"/>
                <w:lang w:bidi="ar"/>
              </w:rPr>
              <w:t>　</w:t>
            </w:r>
          </w:p>
        </w:tc>
      </w:tr>
    </w:tbl>
    <w:p w14:paraId="74CB2074">
      <w:pPr>
        <w:widowControl/>
        <w:adjustRightInd w:val="0"/>
        <w:snapToGrid w:val="0"/>
        <w:ind w:firstLine="640"/>
        <w:rPr>
          <w:rFonts w:hint="eastAsia" w:cs="Times New Roman"/>
        </w:rPr>
      </w:pPr>
    </w:p>
    <w:p w14:paraId="70555B5E">
      <w:pPr>
        <w:pStyle w:val="3"/>
        <w:rPr>
          <w:rFonts w:ascii="Times New Roman" w:hAnsi="Times New Roman" w:cs="Times New Roman"/>
          <w:color w:val="auto"/>
        </w:rPr>
      </w:pPr>
      <w:bookmarkStart w:id="46" w:name="_Toc220921276"/>
      <w:r>
        <w:rPr>
          <w:rFonts w:ascii="Times New Roman" w:hAnsi="Times New Roman" w:cs="Times New Roman"/>
          <w:color w:val="auto"/>
        </w:rPr>
        <w:t>第三节产业布局</w:t>
      </w:r>
      <w:bookmarkEnd w:id="46"/>
    </w:p>
    <w:p w14:paraId="159F2401">
      <w:pPr>
        <w:pStyle w:val="4"/>
        <w:numPr>
          <w:ilvl w:val="0"/>
          <w:numId w:val="22"/>
        </w:numPr>
        <w:ind w:left="198" w:firstLine="641"/>
      </w:pPr>
      <w:r>
        <w:t>产业发展策略</w:t>
      </w:r>
    </w:p>
    <w:p w14:paraId="153501C6">
      <w:pPr>
        <w:ind w:firstLine="640"/>
        <w:rPr>
          <w:rFonts w:cs="Times New Roman"/>
        </w:rPr>
      </w:pPr>
      <w:r>
        <w:rPr>
          <w:rFonts w:hint="eastAsia" w:cs="Times New Roman"/>
        </w:rPr>
        <w:t>持续加强中药材、蓝莓、传统水稻和畜禽养殖业、栗香地瓜等种植养殖产业的基地建设、加工环节建设和品牌建设；规划温泉旅游度假区、加强温泉资源整合和市场营销；促进林业与旅游业融合发展，开发森林旅游、森林康养、林下采摘等旅游产品；推动农业与旅游业融合发展，鼓励发展观光农业、休闲农业、农事体验等项目，建设一批特色农业旅游示范点，实现农业生产与旅游观光的有机结合。将黑沟乡打造成为以特色农业和生态旅游为主导，产业结构优化、产业链条完整、品牌效应显著、生态环境优美、农民生活富裕的现代化乡村。</w:t>
      </w:r>
    </w:p>
    <w:p w14:paraId="2D91C061">
      <w:pPr>
        <w:pStyle w:val="4"/>
      </w:pPr>
      <w:r>
        <w:t>持续壮大特色农业</w:t>
      </w:r>
    </w:p>
    <w:p w14:paraId="4B8E0C99">
      <w:pPr>
        <w:ind w:firstLine="640"/>
        <w:rPr>
          <w:rFonts w:cs="Times New Roman"/>
        </w:rPr>
      </w:pPr>
      <w:r>
        <w:rPr>
          <w:rFonts w:hint="eastAsia" w:cs="Times New Roman"/>
        </w:rPr>
        <w:t>高质量建设特色农业产业基地</w:t>
      </w:r>
      <w:r>
        <w:rPr>
          <w:rFonts w:cs="Times New Roman"/>
        </w:rPr>
        <w:t>。</w:t>
      </w:r>
      <w:r>
        <w:rPr>
          <w:rFonts w:hint="eastAsia" w:cs="Times New Roman"/>
        </w:rPr>
        <w:t>加大对林下参等中药材种植基地的投入，改善基础设施条件，推广科学种植技术，提高种植效率和药材品质。鼓励农户采用标准化种植模式，建立中药材种植质量追溯体系，确保产品质量安全。引进先进的中药材加工技术和设备，加强与科研院校的合作，开展中药材深加工技术研发。加强蓝莓等小浆果种植基地建设，优化种植结构，提高小浆果种植的效益和附加值；积极引进蓝莓深加工企业，提高蓝莓加工的附加值和经济效益。</w:t>
      </w:r>
    </w:p>
    <w:p w14:paraId="23862EBD">
      <w:pPr>
        <w:ind w:firstLine="640"/>
        <w:rPr>
          <w:rFonts w:cs="Times New Roman"/>
        </w:rPr>
      </w:pPr>
      <w:r>
        <w:rPr>
          <w:rFonts w:hint="eastAsia" w:cs="Times New Roman"/>
        </w:rPr>
        <w:t>优化传统种养产业结构。以市场需求为导向，以科技创新为支撑，以资源整合为手段，以品牌建设为核心，不断优化传统种养产业结构，提高产业附加值和市场竞争力。加强水稻种植技术的引进和推广，提高水稻种植的科技含量和产量品质；鼓励农民扩大禽畜养殖规模，提高禽畜养殖的产量和效益。</w:t>
      </w:r>
    </w:p>
    <w:p w14:paraId="6DBBC460">
      <w:pPr>
        <w:pStyle w:val="4"/>
      </w:pPr>
      <w:r>
        <w:rPr>
          <w:rFonts w:hint="eastAsia"/>
        </w:rPr>
        <w:t>大力</w:t>
      </w:r>
      <w:r>
        <w:t>开展温泉康养</w:t>
      </w:r>
      <w:r>
        <w:rPr>
          <w:rFonts w:hint="eastAsia"/>
        </w:rPr>
        <w:t>产业</w:t>
      </w:r>
    </w:p>
    <w:p w14:paraId="57698E29">
      <w:pPr>
        <w:widowControl/>
        <w:adjustRightInd w:val="0"/>
        <w:snapToGrid w:val="0"/>
        <w:ind w:firstLine="640"/>
        <w:rPr>
          <w:rFonts w:cs="Times New Roman"/>
        </w:rPr>
      </w:pPr>
      <w:r>
        <w:rPr>
          <w:rFonts w:hint="eastAsia" w:cs="Times New Roman"/>
        </w:rPr>
        <w:t>黑沟乡大川温泉资源开发与文旅产业发展潜力巨大。通过充分发挥资源优势，应对挑战，实施科学合理的发展策略，有望打造成为具有鲜明特色与强大竞争力的温泉文旅目的地，实现经济、社会与文化效益的多赢局面，为桓仁满族自治县整体旅游产业发展注入新的活力与动力。</w:t>
      </w:r>
    </w:p>
    <w:p w14:paraId="077F9B55">
      <w:pPr>
        <w:widowControl/>
        <w:adjustRightInd w:val="0"/>
        <w:snapToGrid w:val="0"/>
        <w:ind w:firstLine="640"/>
        <w:rPr>
          <w:rFonts w:cs="Times New Roman"/>
        </w:rPr>
      </w:pPr>
      <w:r>
        <w:rPr>
          <w:rFonts w:hint="eastAsia" w:cs="Times New Roman"/>
        </w:rPr>
        <w:t>进一步加强</w:t>
      </w:r>
      <w:r>
        <w:rPr>
          <w:rFonts w:cs="Times New Roman"/>
        </w:rPr>
        <w:t>温泉资源开发</w:t>
      </w:r>
      <w:r>
        <w:rPr>
          <w:rFonts w:hint="eastAsia" w:cs="Times New Roman"/>
        </w:rPr>
        <w:t>。</w:t>
      </w:r>
      <w:r>
        <w:rPr>
          <w:rFonts w:cs="Times New Roman"/>
        </w:rPr>
        <w:t>按照高标准、高起点的要求，</w:t>
      </w:r>
      <w:r>
        <w:rPr>
          <w:rFonts w:hint="eastAsia" w:cs="Times New Roman"/>
        </w:rPr>
        <w:t>于大川村建设为</w:t>
      </w:r>
      <w:r>
        <w:rPr>
          <w:rFonts w:cs="Times New Roman"/>
        </w:rPr>
        <w:t>集温泉疗养、休闲度假、旅游观光为一体的温泉旅游度假区</w:t>
      </w:r>
      <w:r>
        <w:rPr>
          <w:rFonts w:hint="eastAsia" w:cs="Times New Roman"/>
        </w:rPr>
        <w:t>。开发多样化温泉旅游产品，如温泉主题酒店、温泉民宿、温泉养生套餐、温泉亲子乐园等，满足不同年龄、消费层次游客需求。结合满族文化打造特色节庆活动、文化体验项目、传统手工艺制作体验等。</w:t>
      </w:r>
    </w:p>
    <w:p w14:paraId="4576B697">
      <w:pPr>
        <w:widowControl/>
        <w:adjustRightInd w:val="0"/>
        <w:snapToGrid w:val="0"/>
        <w:ind w:firstLine="640"/>
        <w:rPr>
          <w:rFonts w:cs="Times New Roman"/>
        </w:rPr>
      </w:pPr>
      <w:r>
        <w:rPr>
          <w:rFonts w:cs="Times New Roman"/>
        </w:rPr>
        <w:t>基础设施提升</w:t>
      </w:r>
      <w:r>
        <w:rPr>
          <w:rFonts w:hint="eastAsia" w:cs="Times New Roman"/>
        </w:rPr>
        <w:t>，</w:t>
      </w:r>
      <w:r>
        <w:rPr>
          <w:rFonts w:cs="Times New Roman"/>
        </w:rPr>
        <w:t>加大对交通设施建设投入，改善通往大川的道路条件，提高交通便利性。完善住宿设施，建设高品质温泉度假酒店与特色民宿集群。优化餐饮服务，推出满族特色美食与地方特色菜肴。</w:t>
      </w:r>
    </w:p>
    <w:p w14:paraId="764786DC">
      <w:pPr>
        <w:widowControl/>
        <w:adjustRightInd w:val="0"/>
        <w:snapToGrid w:val="0"/>
        <w:ind w:firstLine="640"/>
        <w:rPr>
          <w:rFonts w:cs="Times New Roman"/>
        </w:rPr>
      </w:pPr>
      <w:r>
        <w:rPr>
          <w:rFonts w:hint="eastAsia" w:cs="Times New Roman"/>
        </w:rPr>
        <w:t>农旅融合发展。</w:t>
      </w:r>
      <w:r>
        <w:rPr>
          <w:rFonts w:cs="Times New Roman"/>
        </w:rPr>
        <w:t>加强与农业、林业等产业融合，开发温泉农业观光园、温泉森林康养基地等项目。促进旅游与体育产业结合，举办温泉马拉松、山地自行车赛等赛事活动。</w:t>
      </w:r>
    </w:p>
    <w:p w14:paraId="310D951E">
      <w:pPr>
        <w:widowControl/>
        <w:adjustRightInd w:val="0"/>
        <w:snapToGrid w:val="0"/>
        <w:ind w:firstLine="640"/>
        <w:rPr>
          <w:rFonts w:cs="Times New Roman"/>
        </w:rPr>
      </w:pPr>
      <w:r>
        <w:rPr>
          <w:rFonts w:hint="eastAsia" w:cs="Times New Roman"/>
        </w:rPr>
        <w:t>实现</w:t>
      </w:r>
      <w:r>
        <w:rPr>
          <w:rFonts w:cs="Times New Roman"/>
        </w:rPr>
        <w:t>旅游整合与营销</w:t>
      </w:r>
      <w:r>
        <w:rPr>
          <w:rFonts w:hint="eastAsia" w:cs="Times New Roman"/>
        </w:rPr>
        <w:t>。</w:t>
      </w:r>
      <w:r>
        <w:rPr>
          <w:rFonts w:cs="Times New Roman"/>
        </w:rPr>
        <w:t>将温泉旅游与五女山等周边旅游资源进行整合，</w:t>
      </w:r>
      <w:r>
        <w:rPr>
          <w:rFonts w:hint="eastAsia" w:cs="Times New Roman"/>
        </w:rPr>
        <w:t>融入桓仁县旅游发展格局。</w:t>
      </w:r>
      <w:r>
        <w:rPr>
          <w:rFonts w:cs="Times New Roman"/>
        </w:rPr>
        <w:t>设计推出精品旅游线路，打造“温泉+文化+生态”旅游品牌。加强旅游宣传推广，通过网络营销、社交媒体、旅游广告等多种渠道，提高黑沟乡温泉旅游的知名度和吸引力。积极开展旅游节庆活动，如温泉文化节、民俗文化节等，增加旅游人气。</w:t>
      </w:r>
      <w:r>
        <w:rPr>
          <w:rFonts w:hint="eastAsia" w:cs="Times New Roman"/>
        </w:rPr>
        <w:t>打造统一的大川温泉文旅品牌形象，通过网络营销、社交媒体、旅游展会等多种渠道进行宣传推广。加强与旅行社合作，推出精品旅游线路，提高市场知名度与影响力。</w:t>
      </w:r>
      <w:r>
        <w:rPr>
          <w:rFonts w:cs="Times New Roman"/>
        </w:rPr>
        <w:t>加强对温泉旅游度假区的运营管理。提高服务质量和水平，加强员工培训，建立完善的服务质量管理体系。加强旅游安全管理，确保游客人身安全。</w:t>
      </w:r>
    </w:p>
    <w:p w14:paraId="711E68A7">
      <w:pPr>
        <w:pStyle w:val="4"/>
      </w:pPr>
      <w:r>
        <w:rPr>
          <w:rFonts w:hint="eastAsia"/>
        </w:rPr>
        <w:t>产业融合与多元发展</w:t>
      </w:r>
    </w:p>
    <w:p w14:paraId="36A1B6D2">
      <w:pPr>
        <w:ind w:firstLine="640"/>
        <w:rPr>
          <w:rFonts w:cs="Times New Roman"/>
        </w:rPr>
      </w:pPr>
      <w:r>
        <w:rPr>
          <w:rFonts w:hint="eastAsia" w:cs="Times New Roman"/>
        </w:rPr>
        <w:t>深化农业与二、三产业融合，发展农产品加工业。建设农产品加工厂，对当地的水果、蔬菜、中药材等农产品进行深加工，生产果汁、果脯、蔬菜干、中药饮片等产品，延长农业产业链，提高农产品附加值。利用当地的自然风光和民俗文化资源，发展乡村旅游业。开发农家乐、民宿、生态观光、农事体验等旅游项目，吸引游客前来观光旅游，增加农民收入。例如，举办水果采摘节、民俗文化节等活动，吸引周边城市游客参与，提升乡村旅游的知名度和影响力。培育农村电商等新兴业态，拓宽农产品销售渠道。加强农村电商基础设施建设，提高网络覆盖率和物流配送能力。培训农民电商技能，鼓励农民通过电商平台销售农产品，打破地域限制，扩大市场份额。发展农村电商还能带动农产品包装、物流等相关产业发展，形成产业发展新动力。通过产业融合发展，构建多元化产业体系，降低产业单一风险，提高产业整体竞争力和抗风险能力</w:t>
      </w:r>
      <w:r>
        <w:rPr>
          <w:rFonts w:cs="Times New Roman"/>
        </w:rPr>
        <w:t>。</w:t>
      </w:r>
    </w:p>
    <w:p w14:paraId="74EF5C58">
      <w:pPr>
        <w:pStyle w:val="4"/>
      </w:pPr>
      <w:r>
        <w:t>产业空间布局</w:t>
      </w:r>
    </w:p>
    <w:p w14:paraId="1DB695CE">
      <w:pPr>
        <w:widowControl/>
        <w:adjustRightInd w:val="0"/>
        <w:snapToGrid w:val="0"/>
        <w:ind w:firstLine="640"/>
        <w:rPr>
          <w:rFonts w:cs="Times New Roman"/>
        </w:rPr>
      </w:pPr>
      <w:r>
        <w:rPr>
          <w:rFonts w:cs="Times New Roman"/>
        </w:rPr>
        <w:t>“一心”——产业综合服务中心</w:t>
      </w:r>
    </w:p>
    <w:p w14:paraId="009DC0CE">
      <w:pPr>
        <w:widowControl/>
        <w:adjustRightInd w:val="0"/>
        <w:snapToGrid w:val="0"/>
        <w:ind w:firstLine="640"/>
        <w:rPr>
          <w:rFonts w:cs="Times New Roman"/>
        </w:rPr>
      </w:pPr>
      <w:r>
        <w:rPr>
          <w:rFonts w:cs="Times New Roman"/>
        </w:rPr>
        <w:t>选址于黑沟乡政府所在地，依托现有基础设施和公共服务资源，打造集行政办公、商贸服务、技术研发、信息交流等功能于一体的产业综合服务中心。建设农产品交易市场，完善农产品仓储、物流配送等设施，为农产品的流通和销售提供便利。设立农业科技服务站，引进和推广先进的农业种植、养殖技术，开展农民培训和技术咨询服务，提高农民的科技素质和生产技能。发展商贸服务业，鼓励开设超市、餐饮、住宿、金融服务等商业网点，满足居民和游客的生活消费需求。</w:t>
      </w:r>
    </w:p>
    <w:p w14:paraId="3EFA3E75">
      <w:pPr>
        <w:widowControl/>
        <w:adjustRightInd w:val="0"/>
        <w:snapToGrid w:val="0"/>
        <w:ind w:firstLine="640"/>
        <w:rPr>
          <w:rFonts w:cs="Times New Roman"/>
        </w:rPr>
      </w:pPr>
      <w:r>
        <w:rPr>
          <w:rFonts w:cs="Times New Roman"/>
        </w:rPr>
        <w:t>“</w:t>
      </w:r>
      <w:r>
        <w:rPr>
          <w:rFonts w:hint="eastAsia" w:cs="Times New Roman"/>
        </w:rPr>
        <w:t>一</w:t>
      </w:r>
      <w:r>
        <w:rPr>
          <w:rFonts w:cs="Times New Roman"/>
        </w:rPr>
        <w:t>带”——特色农业</w:t>
      </w:r>
      <w:r>
        <w:rPr>
          <w:rFonts w:hint="eastAsia" w:cs="Times New Roman"/>
        </w:rPr>
        <w:t>深加工</w:t>
      </w:r>
      <w:r>
        <w:rPr>
          <w:rFonts w:cs="Times New Roman"/>
        </w:rPr>
        <w:t>产业带与生态</w:t>
      </w:r>
      <w:r>
        <w:rPr>
          <w:rFonts w:hint="eastAsia" w:cs="Times New Roman"/>
        </w:rPr>
        <w:t>康养</w:t>
      </w:r>
      <w:r>
        <w:rPr>
          <w:rFonts w:cs="Times New Roman"/>
        </w:rPr>
        <w:t>旅游观光带</w:t>
      </w:r>
      <w:r>
        <w:rPr>
          <w:rFonts w:hint="eastAsia" w:cs="Times New Roman"/>
        </w:rPr>
        <w:t>。</w:t>
      </w:r>
    </w:p>
    <w:p w14:paraId="213ADB02">
      <w:pPr>
        <w:widowControl/>
        <w:adjustRightInd w:val="0"/>
        <w:snapToGrid w:val="0"/>
        <w:ind w:firstLine="640"/>
        <w:rPr>
          <w:rFonts w:cs="Times New Roman"/>
        </w:rPr>
      </w:pPr>
      <w:r>
        <w:rPr>
          <w:rFonts w:cs="Times New Roman"/>
        </w:rPr>
        <w:t>特色农业</w:t>
      </w:r>
      <w:r>
        <w:rPr>
          <w:rFonts w:hint="eastAsia" w:cs="Times New Roman"/>
        </w:rPr>
        <w:t>深加工</w:t>
      </w:r>
      <w:r>
        <w:rPr>
          <w:rFonts w:cs="Times New Roman"/>
        </w:rPr>
        <w:t>产业带</w:t>
      </w:r>
      <w:r>
        <w:rPr>
          <w:rFonts w:hint="eastAsia" w:cs="Times New Roman"/>
        </w:rPr>
        <w:t>。</w:t>
      </w:r>
      <w:r>
        <w:rPr>
          <w:rFonts w:cs="Times New Roman"/>
        </w:rPr>
        <w:t>沿</w:t>
      </w:r>
      <w:r>
        <w:rPr>
          <w:rFonts w:hint="eastAsia" w:cs="Times New Roman"/>
        </w:rPr>
        <w:t>鹤大线</w:t>
      </w:r>
      <w:r>
        <w:rPr>
          <w:rFonts w:cs="Times New Roman"/>
        </w:rPr>
        <w:t>两侧布局特色农业深加工产业带，</w:t>
      </w:r>
      <w:r>
        <w:rPr>
          <w:rFonts w:hint="eastAsia" w:cs="Times New Roman"/>
        </w:rPr>
        <w:t>结合乡域及周边</w:t>
      </w:r>
      <w:r>
        <w:rPr>
          <w:rFonts w:cs="Times New Roman"/>
        </w:rPr>
        <w:t>特色农产品种植和养殖基地</w:t>
      </w:r>
      <w:r>
        <w:rPr>
          <w:rFonts w:hint="eastAsia" w:cs="Times New Roman"/>
        </w:rPr>
        <w:t>，开展</w:t>
      </w:r>
      <w:r>
        <w:rPr>
          <w:rFonts w:cs="Times New Roman"/>
        </w:rPr>
        <w:t>特色农业</w:t>
      </w:r>
      <w:r>
        <w:rPr>
          <w:rFonts w:hint="eastAsia" w:cs="Times New Roman"/>
        </w:rPr>
        <w:t>深加工。</w:t>
      </w:r>
    </w:p>
    <w:p w14:paraId="69F0AC1F">
      <w:pPr>
        <w:widowControl/>
        <w:adjustRightInd w:val="0"/>
        <w:snapToGrid w:val="0"/>
        <w:ind w:firstLine="640"/>
        <w:rPr>
          <w:rFonts w:cs="Times New Roman"/>
        </w:rPr>
      </w:pPr>
      <w:r>
        <w:rPr>
          <w:rFonts w:hint="eastAsia" w:cs="Times New Roman"/>
        </w:rPr>
        <w:t>生态康养旅游观光带。东西向布局生态旅游观光带。打造贯穿全乡、贯穿五女山与大川温泉的生态康养旅游观光带。打造集观光、休闲、温泉度假、养生为一体的生态旅游目的地。建设旅游公路、自行车道、步行道等交通设施，完善观景台、停车场、旅游厕所等基础设施。</w:t>
      </w:r>
    </w:p>
    <w:p w14:paraId="51081DA4">
      <w:pPr>
        <w:widowControl/>
        <w:adjustRightInd w:val="0"/>
        <w:snapToGrid w:val="0"/>
        <w:ind w:firstLine="640"/>
        <w:rPr>
          <w:rFonts w:cs="Times New Roman"/>
        </w:rPr>
      </w:pPr>
      <w:r>
        <w:rPr>
          <w:rFonts w:cs="Times New Roman"/>
        </w:rPr>
        <w:t>三区”——林下经济示范区、农产品加工集聚区、乡村旅游度假区</w:t>
      </w:r>
    </w:p>
    <w:p w14:paraId="3F660A80">
      <w:pPr>
        <w:widowControl/>
        <w:adjustRightInd w:val="0"/>
        <w:snapToGrid w:val="0"/>
        <w:ind w:firstLine="640"/>
        <w:rPr>
          <w:rFonts w:cs="Times New Roman"/>
        </w:rPr>
      </w:pPr>
      <w:r>
        <w:rPr>
          <w:rFonts w:cs="Times New Roman"/>
        </w:rPr>
        <w:t>林下经济示范区</w:t>
      </w:r>
      <w:r>
        <w:rPr>
          <w:rFonts w:hint="eastAsia" w:cs="Times New Roman"/>
        </w:rPr>
        <w:t>。</w:t>
      </w:r>
      <w:r>
        <w:rPr>
          <w:rFonts w:cs="Times New Roman"/>
        </w:rPr>
        <w:t>选择森林资源丰富、生态环境良好的区域，建设林下经济示范区。重点发展林下中药材种植、林下养殖、林产品采集加工等产业。例如，种植人参、细辛、五味子等中药材，养殖林蛙、蜜蜂等，开展野生菌类、山野菜等林产品的采集和深加工，提高林下资源的综合利用效率和经济效益。加强林下经济技术研发和示范推广，建立林下经济技术培训基地，培养专业技术人才，推动林下经济规模化、标准化、品牌化发展。</w:t>
      </w:r>
    </w:p>
    <w:p w14:paraId="48AD95E2">
      <w:pPr>
        <w:widowControl/>
        <w:adjustRightInd w:val="0"/>
        <w:snapToGrid w:val="0"/>
        <w:ind w:firstLine="640"/>
        <w:rPr>
          <w:rFonts w:cs="Times New Roman"/>
        </w:rPr>
      </w:pPr>
      <w:r>
        <w:rPr>
          <w:rFonts w:cs="Times New Roman"/>
        </w:rPr>
        <w:t>农产品加工集聚区</w:t>
      </w:r>
      <w:r>
        <w:rPr>
          <w:rFonts w:hint="eastAsia" w:cs="Times New Roman"/>
        </w:rPr>
        <w:t>。以黑沟村为核心，以鹤大线为轴线</w:t>
      </w:r>
      <w:r>
        <w:rPr>
          <w:rFonts w:cs="Times New Roman"/>
        </w:rPr>
        <w:t>、建设农产品加工集聚区。吸引农产品加工企业入驻，重点发展特色农产品精深加工。建设标准化厂房、仓储设施、污水处理设施等，完善园区基础设施和配套服务功能。加强农产品加工企业与农户的利益联结机制，通过订单农业、保底收购等方式，带动农民增收致富，促进农业产业化发展。</w:t>
      </w:r>
    </w:p>
    <w:p w14:paraId="465BE095">
      <w:pPr>
        <w:widowControl/>
        <w:adjustRightInd w:val="0"/>
        <w:snapToGrid w:val="0"/>
        <w:ind w:firstLine="640"/>
        <w:rPr>
          <w:rFonts w:cs="Times New Roman"/>
        </w:rPr>
      </w:pPr>
      <w:r>
        <w:rPr>
          <w:rFonts w:cs="Times New Roman"/>
        </w:rPr>
        <w:t>乡村</w:t>
      </w:r>
      <w:r>
        <w:rPr>
          <w:rFonts w:hint="eastAsia" w:cs="Times New Roman"/>
        </w:rPr>
        <w:t>温泉康养</w:t>
      </w:r>
      <w:r>
        <w:rPr>
          <w:rFonts w:cs="Times New Roman"/>
        </w:rPr>
        <w:t>旅游度假区</w:t>
      </w:r>
      <w:r>
        <w:rPr>
          <w:rFonts w:hint="eastAsia" w:cs="Times New Roman"/>
        </w:rPr>
        <w:t>。以大川温泉为基础，结合乡村生态山水环境，</w:t>
      </w:r>
      <w:r>
        <w:rPr>
          <w:rFonts w:cs="Times New Roman"/>
        </w:rPr>
        <w:t>建设乡村温泉康养旅游度假区。建设高端民宿、度假酒店、农家乐等旅游接待设施，开发民俗文化体验、传统手工艺制作、乡村节庆活动等旅游项目。加强旅游度假区的品牌建设和营销推广，提升黑沟乡乡村旅游的知名度和美誉度，吸引更多游客前来度假休闲。</w:t>
      </w:r>
      <w:bookmarkStart w:id="47" w:name="_Hlk131008380"/>
    </w:p>
    <w:p w14:paraId="4DC39A08">
      <w:pPr>
        <w:pStyle w:val="4"/>
      </w:pPr>
      <w:r>
        <w:t>产业用地保障</w:t>
      </w:r>
    </w:p>
    <w:p w14:paraId="63F8FFF1">
      <w:pPr>
        <w:widowControl/>
        <w:adjustRightInd w:val="0"/>
        <w:snapToGrid w:val="0"/>
        <w:ind w:firstLine="640"/>
        <w:rPr>
          <w:rFonts w:cs="Times New Roman"/>
        </w:rPr>
      </w:pPr>
      <w:r>
        <w:rPr>
          <w:rFonts w:cs="Times New Roman"/>
        </w:rPr>
        <w:t>持续推进农村一二三产业融合发展，以农业为依托延伸产业链。引导农产品初加工、产地直销等产业在村庄区位优势区域合理布局、适度集中。品牌发展板栗、林下参、中药材、食用菌等特色农产品及农产品深加工产业。合理保障农产品加工流通、电子商务、冷链物流、乡村旅游、休闲农业、民宿经济等新产业、新业态用地需求。根据年度新增用地指标计划情况，在县本级和乡镇级国土空间总体规划中安排至少10%的建设用地指标，用于支持乡村振兴发展。</w:t>
      </w:r>
    </w:p>
    <w:p w14:paraId="627FB4FD">
      <w:pPr>
        <w:widowControl/>
        <w:adjustRightInd w:val="0"/>
        <w:snapToGrid w:val="0"/>
        <w:ind w:firstLine="640"/>
        <w:rPr>
          <w:rFonts w:cs="Times New Roman"/>
        </w:rPr>
      </w:pPr>
      <w:r>
        <w:rPr>
          <w:rFonts w:cs="Times New Roman"/>
        </w:rPr>
        <w:t>鼓励充分利用闲置住宅，发展具有乡村特色的休闲农业、乡村旅游、餐饮民宿、文化体验、创意办公、电子商务等新兴产业和业态。推动农产品冷链、初加工、仓储等一二三产业融合发展，助力乡村振兴。在不占用永久基本农田的前提下，进一步加大设施农业建设力度和用地保障，强化现代设施农业用地用电用水等配套保障，支持高效农业和生态观光农业稳健发展。拓展特色养殖业空间，加快畜禽规模集约养殖场标准化建设，重点保障养殖空间，因地制宜发展特色养殖产业。</w:t>
      </w:r>
    </w:p>
    <w:bookmarkEnd w:id="47"/>
    <w:p w14:paraId="584F3217">
      <w:pPr>
        <w:pStyle w:val="3"/>
        <w:rPr>
          <w:rFonts w:ascii="Times New Roman" w:hAnsi="Times New Roman" w:cs="Times New Roman"/>
          <w:color w:val="auto"/>
        </w:rPr>
      </w:pPr>
      <w:bookmarkStart w:id="48" w:name="_Toc220921277"/>
      <w:r>
        <w:rPr>
          <w:rFonts w:ascii="Times New Roman" w:hAnsi="Times New Roman" w:cs="Times New Roman"/>
          <w:color w:val="auto"/>
        </w:rPr>
        <w:t>第四节景观风貌</w:t>
      </w:r>
      <w:bookmarkEnd w:id="48"/>
    </w:p>
    <w:p w14:paraId="71417092">
      <w:pPr>
        <w:pStyle w:val="4"/>
        <w:numPr>
          <w:ilvl w:val="0"/>
          <w:numId w:val="23"/>
        </w:numPr>
        <w:ind w:left="198" w:firstLine="641"/>
      </w:pPr>
      <w:r>
        <w:t>凸显生态山水景观风貌</w:t>
      </w:r>
    </w:p>
    <w:p w14:paraId="76889788">
      <w:pPr>
        <w:widowControl/>
        <w:adjustRightInd w:val="0"/>
        <w:snapToGrid w:val="0"/>
        <w:ind w:firstLine="640"/>
        <w:rPr>
          <w:rFonts w:cs="Times New Roman"/>
        </w:rPr>
      </w:pPr>
      <w:r>
        <w:rPr>
          <w:rFonts w:hint="eastAsia" w:cs="Times New Roman"/>
        </w:rPr>
        <w:t>打造“山水田园、民俗风情、生态宜居”的黑沟乡景观风貌，实现自然景观与人文景观有机融合，城乡建设与生态环境协调发展，塑造具有地域特色与时代气息的乡村形象，提升黑沟乡的吸引力与竞争力。尊重自然生态本底，保护山体、水体、植被等自然资源，严格控制开发建设强度与范围，实现可持续发展。深入挖掘本土文化内涵，传承与创新传统建筑风格与民俗文化，将地域特色元素充分融入城乡建设各个环节。以满足居民生活需求与提升游客体验为出发点，合理规划公共空间与基础设施，营造舒适便捷的人居环境。注重城乡景观风貌的整体性，从区域层面统筹规划建筑风格、色彩、空间布局等，形成和谐统一的视觉效果。</w:t>
      </w:r>
    </w:p>
    <w:p w14:paraId="712A3E67">
      <w:pPr>
        <w:pStyle w:val="4"/>
      </w:pPr>
      <w:r>
        <w:t>景观风貌引导</w:t>
      </w:r>
    </w:p>
    <w:p w14:paraId="7CA8FB50">
      <w:pPr>
        <w:widowControl/>
        <w:adjustRightInd w:val="0"/>
        <w:snapToGrid w:val="0"/>
        <w:ind w:firstLine="640"/>
        <w:rPr>
          <w:rFonts w:cs="Times New Roman"/>
        </w:rPr>
      </w:pPr>
      <w:r>
        <w:rPr>
          <w:rFonts w:hint="eastAsia" w:cs="Times New Roman"/>
        </w:rPr>
        <w:t>塑造辽东山区民居特色风貌，提升镇村人居环境品质。深入学习推广浙江“千村示范、万村整治”工程经验，以农村厕所革命、生活污水垃圾治理、村容村貌提升为重点，巩固拓展农村人居环境整治三年行动成果，全面提升农村人居环境质量，推进乡村振兴和农业农村现代化，建设魅力黑沟乡。</w:t>
      </w:r>
    </w:p>
    <w:p w14:paraId="79BE1CAD">
      <w:pPr>
        <w:widowControl/>
        <w:adjustRightInd w:val="0"/>
        <w:snapToGrid w:val="0"/>
        <w:ind w:firstLine="640"/>
        <w:rPr>
          <w:rFonts w:cs="Times New Roman"/>
        </w:rPr>
      </w:pPr>
      <w:r>
        <w:rPr>
          <w:rFonts w:hint="eastAsia" w:cs="Times New Roman"/>
        </w:rPr>
        <w:t>持续保护自然景观风貌</w:t>
      </w:r>
      <w:r>
        <w:rPr>
          <w:rFonts w:cs="Times New Roman"/>
        </w:rPr>
        <w:t>。</w:t>
      </w:r>
      <w:r>
        <w:rPr>
          <w:rFonts w:hint="eastAsia" w:cs="Times New Roman"/>
        </w:rPr>
        <w:t>加强植被抚育与生态修复，对可开发的山体区域进行合理规划，如建设登山步道、观景平台等生态旅游设施，在保护的基础上实现山体景观资源的有效利用。加强河流治理与保护，清理河道垃圾与污染物，打造滨水景观带。设置亲水平台、水车等景观小品，丰富水体景观层次，营造灵动的水乡氛围。结合山脉、河流走向，构建生态廊道网络，串联起各个自然景观节点，促进生物多样性保护与生态系统平衡，同时为居民与游客提供亲近自然的绿色空间。</w:t>
      </w:r>
    </w:p>
    <w:p w14:paraId="0D5F195A">
      <w:pPr>
        <w:widowControl/>
        <w:adjustRightInd w:val="0"/>
        <w:snapToGrid w:val="0"/>
        <w:ind w:firstLine="640"/>
        <w:rPr>
          <w:rFonts w:cs="Times New Roman"/>
        </w:rPr>
      </w:pPr>
      <w:r>
        <w:rPr>
          <w:rFonts w:hint="eastAsia" w:cs="Times New Roman"/>
        </w:rPr>
        <w:t>加强人文景观风貌保护。保护村庄的传统格局与风貌，合理布局乡村广场、绿地、公园等公共空间，结合当地自然与人文特色进行景观设计。合理布局乡村广场、绿地、公园等公共空间，结合当地自然与人文特色进行景观设计。广场可设置文化舞台、雕塑等设施，绿地与公园注重植物配置与景观营造，打造舒适宜人的公共活动场所。</w:t>
      </w:r>
    </w:p>
    <w:p w14:paraId="145C58F5">
      <w:pPr>
        <w:pStyle w:val="4"/>
      </w:pPr>
      <w:r>
        <w:t>景观风貌分区</w:t>
      </w:r>
    </w:p>
    <w:p w14:paraId="35CD5884">
      <w:pPr>
        <w:widowControl/>
        <w:adjustRightInd w:val="0"/>
        <w:snapToGrid w:val="0"/>
        <w:ind w:firstLine="640"/>
        <w:rPr>
          <w:rFonts w:cs="Times New Roman"/>
        </w:rPr>
      </w:pPr>
      <w:r>
        <w:rPr>
          <w:rFonts w:cs="Times New Roman"/>
        </w:rPr>
        <w:t>结合全域景观资源分布，</w:t>
      </w:r>
      <w:r>
        <w:rPr>
          <w:rFonts w:hint="eastAsia" w:cs="Times New Roman"/>
        </w:rPr>
        <w:t>按照生态保育区、田园风光区、滨水休闲区、居民生活区。</w:t>
      </w:r>
    </w:p>
    <w:p w14:paraId="21C98B8F">
      <w:pPr>
        <w:widowControl/>
        <w:adjustRightInd w:val="0"/>
        <w:snapToGrid w:val="0"/>
        <w:ind w:firstLine="640"/>
        <w:rPr>
          <w:rFonts w:cs="Times New Roman"/>
        </w:rPr>
      </w:pPr>
      <w:bookmarkStart w:id="49" w:name="OLE_LINK12"/>
      <w:r>
        <w:rPr>
          <w:rFonts w:hint="eastAsia" w:cs="Times New Roman"/>
        </w:rPr>
        <w:t>生态保育区。主要涵盖黑沟乡森林资源丰富、生态环境极为敏感的区域，如部分原始山林、重要水源涵养地等。此区域严格限制开发建设活动，以生态保护和修复为主，加强森林资源监测与保护，维护生物多样性。仅允许建设必要的生态保护设施与少量生态步道，供科研监测人员与生态爱好者有限制地进入。加强森林防火、病虫害防治等工作，制定应急预案，确保生态安全。</w:t>
      </w:r>
    </w:p>
    <w:p w14:paraId="4BFBAAFD">
      <w:pPr>
        <w:widowControl/>
        <w:adjustRightInd w:val="0"/>
        <w:snapToGrid w:val="0"/>
        <w:ind w:firstLine="640"/>
        <w:rPr>
          <w:rFonts w:cs="Times New Roman"/>
        </w:rPr>
      </w:pPr>
      <w:r>
        <w:rPr>
          <w:rFonts w:hint="eastAsia" w:cs="Times New Roman"/>
        </w:rPr>
        <w:t>田园风光区。分布于黑沟乡的农田集中区域，地势较为平坦开阔。这里以展现传统农耕文化与田园景观为特色，鼓励发展生态农业、观光农业。景观规划注重农田肌理的保护与美化，设置农事体验区、农产品展示销售点等，结合乡村道路绿化与田园小品建设，营造出优美、宁静的田园画卷。加强与旅游企业合作，开发田园观光旅游线路与产品，提高田园风光区的知名度与吸引力。</w:t>
      </w:r>
    </w:p>
    <w:p w14:paraId="10DB950A">
      <w:pPr>
        <w:widowControl/>
        <w:adjustRightInd w:val="0"/>
        <w:snapToGrid w:val="0"/>
        <w:ind w:firstLine="640"/>
        <w:rPr>
          <w:rFonts w:cs="Times New Roman"/>
        </w:rPr>
      </w:pPr>
      <w:r>
        <w:rPr>
          <w:rFonts w:hint="eastAsia" w:cs="Times New Roman"/>
        </w:rPr>
        <w:t>滨水休闲区。沿河流、溪流两岸一定范围内划定为滨水休闲区。此区域充分利用水资源优势，打造滨水景观带，建设亲水平台、休闲步道、垂钓区等设施，满足游客与居民的休闲娱乐需求。同时，加强河岸生态防护，种植水生植物与滨水乔木，提升滨水区域的生态品质与景观效果。合理规划滨水设施布局，确保其与周边环境相协调，避免过度开发破坏生态。加强滨水区域环境卫生管理，定期清理河道垃圾，维护水质清洁。</w:t>
      </w:r>
    </w:p>
    <w:p w14:paraId="52F14E0A">
      <w:pPr>
        <w:widowControl/>
        <w:adjustRightInd w:val="0"/>
        <w:snapToGrid w:val="0"/>
        <w:ind w:firstLine="640"/>
        <w:rPr>
          <w:rFonts w:cs="Times New Roman"/>
        </w:rPr>
      </w:pPr>
      <w:r>
        <w:rPr>
          <w:rFonts w:hint="eastAsia" w:cs="Times New Roman"/>
        </w:rPr>
        <w:t>居民生活区。主要为黑沟乡村民居住较为集中的区域。在景观风貌规划上，注重改善居民生活环境，完善基础设施配套。建筑风格应传承当地传统建筑特色，进行适当的更新改造，增加公共绿地与休闲广场，营造整洁、舒适、具有地域文化氛围的乡村生活空间。制定乡村建筑风貌管控导则，规范村民建房行为，保持建筑风格的统一性与协调性。完善公共服务设施，如污水处理设施、垃圾收集转运设施等，提升居民生活质量。</w:t>
      </w:r>
    </w:p>
    <w:bookmarkEnd w:id="49"/>
    <w:p w14:paraId="0E4BB253">
      <w:pPr>
        <w:pStyle w:val="4"/>
      </w:pPr>
      <w:r>
        <w:t>建筑色彩分区控制</w:t>
      </w:r>
    </w:p>
    <w:p w14:paraId="0904C1B8">
      <w:pPr>
        <w:widowControl/>
        <w:adjustRightInd w:val="0"/>
        <w:snapToGrid w:val="0"/>
        <w:ind w:firstLine="640"/>
        <w:rPr>
          <w:rFonts w:cs="Times New Roman"/>
        </w:rPr>
      </w:pPr>
      <w:r>
        <w:rPr>
          <w:rFonts w:cs="Times New Roman"/>
        </w:rPr>
        <w:t>提升村容村貌建设水平</w:t>
      </w:r>
      <w:r>
        <w:rPr>
          <w:rFonts w:hint="eastAsia" w:cs="Times New Roman"/>
        </w:rPr>
        <w:t>，加强与自然景观协调。主要涵盖靠近山林、河流等自然景观资源丰富的区域。建筑色彩以自然色系为主，如土黄、石青、墨绿等，色彩饱和度适中偏低，通过色彩使建筑融入自然环境，成为自然景观的有机组成部分。建筑材料可多选用天然石材、木材等，其本身的色彩与质感能更好地呼应自然。</w:t>
      </w:r>
    </w:p>
    <w:p w14:paraId="16885FBA">
      <w:pPr>
        <w:widowControl/>
        <w:adjustRightInd w:val="0"/>
        <w:snapToGrid w:val="0"/>
        <w:ind w:firstLine="640"/>
        <w:rPr>
          <w:rFonts w:cs="Times New Roman"/>
        </w:rPr>
      </w:pPr>
      <w:r>
        <w:rPr>
          <w:rFonts w:cs="Times New Roman"/>
        </w:rPr>
        <w:t>加强村庄建筑色彩整治</w:t>
      </w:r>
      <w:r>
        <w:rPr>
          <w:rFonts w:hint="eastAsia" w:cs="Times New Roman"/>
        </w:rPr>
        <w:t>，彰显宜人的乡村生活。包括乡村居民聚居区和主要商业活动区域。居民聚居区建筑色彩应体现乡村生活的温馨、质朴，采用暖色系为主，如淡粉、浅橙、米白等，营造舒适宜居的生活氛围；商业区域可适当增加色彩的丰富度与活泼度，通过招牌、装饰等色彩元素吸引顾客，但仍需与整体乡村色彩风格相协调，避免过于花哨。例如，商业店铺招牌可在统一底色上设计特色鲜明的彩色标识。</w:t>
      </w:r>
    </w:p>
    <w:p w14:paraId="08CD18AC">
      <w:pPr>
        <w:pStyle w:val="4"/>
      </w:pPr>
      <w:r>
        <w:t>人居环境引导</w:t>
      </w:r>
    </w:p>
    <w:p w14:paraId="3F383781">
      <w:pPr>
        <w:widowControl/>
        <w:adjustRightInd w:val="0"/>
        <w:snapToGrid w:val="0"/>
        <w:ind w:firstLine="640"/>
        <w:rPr>
          <w:rFonts w:cs="Times New Roman"/>
        </w:rPr>
      </w:pPr>
      <w:r>
        <w:rPr>
          <w:rFonts w:cs="Times New Roman"/>
        </w:rPr>
        <w:t>落实辽宁省推动美丽乡村建设相关要求，重点推进乡村振兴示范带、美丽宜居村、乡村旅游重点村的创建，推动宜居宜业和美乡村建设。促进城乡基础设施互联互通，推动农村基础设施提档升级。加快补齐农村基础设施短板，深入推进农村人居环境整治，重点对村内道路、农房改造、环境卫生、村容村貌等要素开展整治提升。完善农村公共服务配套，促进公共教育、医疗卫生、社会保障等资源向农村倾斜，逐步建立健全全民覆盖、普惠共享、城乡一体的基本公共服务体系，推进城乡基本公共服务均等化。</w:t>
      </w:r>
    </w:p>
    <w:p w14:paraId="6AB63277">
      <w:pPr>
        <w:pStyle w:val="4"/>
      </w:pPr>
      <w:r>
        <w:t>住宅设计指引</w:t>
      </w:r>
    </w:p>
    <w:p w14:paraId="6ABB00EE">
      <w:pPr>
        <w:ind w:firstLine="640"/>
        <w:rPr>
          <w:rFonts w:cs="Times New Roman"/>
        </w:rPr>
      </w:pPr>
      <w:r>
        <w:rPr>
          <w:rFonts w:cs="Times New Roman"/>
        </w:rPr>
        <w:t>进行农房、院落等风貌整治，打造良好的景观界面。村民住宅建筑外观设计注重的统一性和整体感，整体建筑风貌以传统北方民居建筑特点为</w:t>
      </w:r>
      <w:r>
        <w:rPr>
          <w:rFonts w:hint="eastAsia" w:cs="Times New Roman"/>
        </w:rPr>
        <w:t>原型</w:t>
      </w:r>
      <w:r>
        <w:rPr>
          <w:rFonts w:cs="Times New Roman"/>
        </w:rPr>
        <w:t>，继承和发扬各乡村自身特色。新建村民住宅宜采用黄、暖白色墙体，青瓦的屋顶形式为主；建筑材料以砖石等传统类型为主；建筑结构以硬山形式，村民住宅大部分为坡屋顶。推荐增加具有北方色彩的瓦当、脊吻兽、福字等传统建筑符号，形成富有个性的宜居乡村建筑风格。</w:t>
      </w:r>
    </w:p>
    <w:p w14:paraId="231F9469">
      <w:pPr>
        <w:pStyle w:val="2"/>
        <w:spacing w:before="312" w:after="312"/>
        <w:rPr>
          <w:rFonts w:ascii="Times New Roman" w:hAnsi="Times New Roman" w:cs="Times New Roman"/>
          <w:color w:val="auto"/>
        </w:rPr>
      </w:pPr>
      <w:bookmarkStart w:id="50" w:name="_Toc220921278"/>
      <w:r>
        <w:rPr>
          <w:rFonts w:ascii="Times New Roman" w:hAnsi="Times New Roman" w:cs="Times New Roman"/>
          <w:color w:val="auto"/>
        </w:rPr>
        <w:t>第</w:t>
      </w:r>
      <w:r>
        <w:rPr>
          <w:rFonts w:hint="eastAsia" w:ascii="Times New Roman" w:hAnsi="Times New Roman" w:cs="Times New Roman"/>
          <w:color w:val="auto"/>
        </w:rPr>
        <w:t>七</w:t>
      </w:r>
      <w:r>
        <w:rPr>
          <w:rFonts w:ascii="Times New Roman" w:hAnsi="Times New Roman" w:cs="Times New Roman"/>
          <w:color w:val="auto"/>
        </w:rPr>
        <w:t>章生态修复和国土综合整治</w:t>
      </w:r>
      <w:bookmarkEnd w:id="50"/>
    </w:p>
    <w:p w14:paraId="0D8D53D8">
      <w:pPr>
        <w:pStyle w:val="3"/>
        <w:rPr>
          <w:rFonts w:ascii="Times New Roman" w:hAnsi="Times New Roman" w:cs="Times New Roman"/>
          <w:color w:val="auto"/>
        </w:rPr>
      </w:pPr>
      <w:bookmarkStart w:id="51" w:name="_Toc220921279"/>
      <w:r>
        <w:rPr>
          <w:rFonts w:ascii="Times New Roman" w:hAnsi="Times New Roman" w:cs="Times New Roman"/>
          <w:color w:val="auto"/>
        </w:rPr>
        <w:t>第一节生态修复</w:t>
      </w:r>
      <w:bookmarkEnd w:id="51"/>
    </w:p>
    <w:p w14:paraId="01D634D4">
      <w:pPr>
        <w:pStyle w:val="4"/>
        <w:numPr>
          <w:ilvl w:val="0"/>
          <w:numId w:val="24"/>
        </w:numPr>
        <w:ind w:left="198" w:firstLine="641"/>
      </w:pPr>
      <w:r>
        <w:t>山水林田湖草一体化生态修复</w:t>
      </w:r>
    </w:p>
    <w:p w14:paraId="11B554B4">
      <w:pPr>
        <w:widowControl/>
        <w:adjustRightInd w:val="0"/>
        <w:snapToGrid w:val="0"/>
        <w:ind w:firstLine="640"/>
        <w:rPr>
          <w:rFonts w:cs="Times New Roman"/>
        </w:rPr>
      </w:pPr>
      <w:r>
        <w:rPr>
          <w:rFonts w:cs="Times New Roman"/>
        </w:rPr>
        <w:t>为解决山水林田湖草各自然要素存在的问题，使生态环境质量得到有效改善，生态功能支撑和生态涵养明显增强，生态系统服务与保障功能、生态廊道系统功能得到提升，设置山水林田湖草一体化生态修复重点工程。</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8"/>
      </w:tblGrid>
      <w:tr w14:paraId="4DEA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trPr>
        <w:tc>
          <w:tcPr>
            <w:tcW w:w="5000" w:type="pct"/>
          </w:tcPr>
          <w:p w14:paraId="747F2CE5">
            <w:pPr>
              <w:pStyle w:val="6"/>
              <w:numPr>
                <w:ilvl w:val="0"/>
                <w:numId w:val="0"/>
              </w:numPr>
              <w:rPr>
                <w:rFonts w:ascii="Times New Roman" w:hAnsi="Times New Roman" w:cs="Times New Roman"/>
                <w:kern w:val="0"/>
              </w:rPr>
            </w:pPr>
            <w:r>
              <w:rPr>
                <w:rFonts w:ascii="Times New Roman" w:hAnsi="Times New Roman" w:cs="Times New Roman"/>
                <w:kern w:val="0"/>
              </w:rPr>
              <w:t>专栏2山水林田湖草沙一体化生态修复工程</w:t>
            </w:r>
          </w:p>
        </w:tc>
      </w:tr>
      <w:tr w14:paraId="78F5D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5000" w:type="pct"/>
          </w:tcPr>
          <w:p w14:paraId="2F465D46">
            <w:pPr>
              <w:pStyle w:val="34"/>
              <w:spacing w:line="500" w:lineRule="exact"/>
              <w:ind w:firstLine="560"/>
              <w:jc w:val="both"/>
              <w:rPr>
                <w:rFonts w:cs="Times New Roman"/>
                <w:kern w:val="0"/>
                <w:sz w:val="28"/>
                <w:szCs w:val="21"/>
              </w:rPr>
            </w:pPr>
            <w:r>
              <w:rPr>
                <w:rFonts w:cs="Times New Roman"/>
                <w:kern w:val="0"/>
                <w:sz w:val="28"/>
                <w:szCs w:val="21"/>
              </w:rPr>
              <w:t>1.森林生态修复工程</w:t>
            </w:r>
          </w:p>
          <w:p w14:paraId="397501A0">
            <w:pPr>
              <w:pStyle w:val="34"/>
              <w:spacing w:line="500" w:lineRule="exact"/>
              <w:ind w:firstLine="560"/>
              <w:jc w:val="both"/>
              <w:rPr>
                <w:rFonts w:cs="Times New Roman"/>
                <w:kern w:val="0"/>
                <w:sz w:val="28"/>
                <w:szCs w:val="21"/>
              </w:rPr>
            </w:pPr>
            <w:r>
              <w:rPr>
                <w:rFonts w:cs="Times New Roman"/>
                <w:kern w:val="0"/>
                <w:sz w:val="28"/>
                <w:szCs w:val="21"/>
              </w:rPr>
              <w:t>对于生态系统服务功能极重要的区域采取以保护保育、自然恢复为主的生态修复工程，并因地制宜实施补植及退化林修复等工程，以保护森林物种多样性和森林生态系统的生态稳定性为重点，大力推进天然林及生态公益林的保育工程、森林可持续经营工程，推进实施封山育林，全面提高森林的涵养水源能力。</w:t>
            </w:r>
          </w:p>
          <w:p w14:paraId="58CC1DA2">
            <w:pPr>
              <w:pStyle w:val="34"/>
              <w:spacing w:line="500" w:lineRule="exact"/>
              <w:ind w:firstLine="560"/>
              <w:jc w:val="both"/>
              <w:rPr>
                <w:rFonts w:cs="Times New Roman"/>
                <w:kern w:val="0"/>
                <w:sz w:val="28"/>
                <w:szCs w:val="21"/>
              </w:rPr>
            </w:pPr>
            <w:r>
              <w:rPr>
                <w:rFonts w:cs="Times New Roman"/>
                <w:kern w:val="0"/>
                <w:sz w:val="28"/>
                <w:szCs w:val="21"/>
              </w:rPr>
              <w:t>2.水土流失生态修复工程</w:t>
            </w:r>
          </w:p>
          <w:p w14:paraId="2999A6C5">
            <w:pPr>
              <w:pStyle w:val="34"/>
              <w:spacing w:line="500" w:lineRule="exact"/>
              <w:ind w:firstLine="560"/>
              <w:jc w:val="both"/>
              <w:rPr>
                <w:rFonts w:cs="Times New Roman"/>
                <w:kern w:val="0"/>
                <w:sz w:val="28"/>
                <w:szCs w:val="21"/>
              </w:rPr>
            </w:pPr>
            <w:r>
              <w:rPr>
                <w:rFonts w:cs="Times New Roman"/>
                <w:kern w:val="0"/>
                <w:sz w:val="28"/>
                <w:szCs w:val="21"/>
              </w:rPr>
              <w:t>根据水土流失情况和特点，贯彻绿色发展理念，将工程措施、生物措施和农业措施相结合，实施水土保持重点工程，加强重点区域及山洪</w:t>
            </w:r>
            <w:r>
              <w:fldChar w:fldCharType="begin"/>
            </w:r>
            <w:r>
              <w:instrText xml:space="preserve"> HYPERLINK "https://baike.baidu.com/item/%E5%9C%B0%E8%B4%A8%E7%81%BE%E5%AE%B3%E6%98%93%E5%8F%91%E5%8C%BA" \t "https://baike.baidu.com/item/%E4%B8%AD%E5%85%B1%E4%B8%AD%E5%A4%AE%E3%80%81%E5%9B%BD%E5%8A%A1%E9%99%A2%E5%85%B3%E4%BA%8E%E5%8A%A0%E5%BF%AB%E6%B0%B4%E5%88%A9%E6%94%B9%E9%9D%A9%E5%8F%91%E5%B1%95%E7%9A%84%E5%86%B3%E5%AE%9A/_blank" </w:instrText>
            </w:r>
            <w:r>
              <w:fldChar w:fldCharType="separate"/>
            </w:r>
            <w:r>
              <w:rPr>
                <w:rFonts w:cs="Times New Roman"/>
                <w:kern w:val="0"/>
                <w:sz w:val="28"/>
                <w:szCs w:val="21"/>
              </w:rPr>
              <w:t>地质灾害易发区</w:t>
            </w:r>
            <w:r>
              <w:rPr>
                <w:rFonts w:cs="Times New Roman"/>
                <w:kern w:val="0"/>
                <w:sz w:val="28"/>
                <w:szCs w:val="21"/>
              </w:rPr>
              <w:fldChar w:fldCharType="end"/>
            </w:r>
            <w:r>
              <w:rPr>
                <w:rFonts w:cs="Times New Roman"/>
                <w:kern w:val="0"/>
                <w:sz w:val="28"/>
                <w:szCs w:val="21"/>
              </w:rPr>
              <w:t>的水土流失防治。</w:t>
            </w:r>
          </w:p>
          <w:p w14:paraId="069FA205">
            <w:pPr>
              <w:pStyle w:val="34"/>
              <w:spacing w:line="500" w:lineRule="exact"/>
              <w:ind w:firstLine="560"/>
              <w:jc w:val="both"/>
              <w:rPr>
                <w:rFonts w:cs="Times New Roman"/>
                <w:kern w:val="0"/>
                <w:sz w:val="28"/>
                <w:szCs w:val="21"/>
              </w:rPr>
            </w:pPr>
            <w:r>
              <w:rPr>
                <w:rFonts w:cs="Times New Roman"/>
                <w:kern w:val="0"/>
                <w:sz w:val="28"/>
                <w:szCs w:val="21"/>
              </w:rPr>
              <w:t>3.水环境和水生态修复工程</w:t>
            </w:r>
          </w:p>
          <w:p w14:paraId="3517541D">
            <w:pPr>
              <w:pStyle w:val="34"/>
              <w:spacing w:line="500" w:lineRule="exact"/>
              <w:ind w:firstLine="560"/>
              <w:jc w:val="both"/>
              <w:rPr>
                <w:rFonts w:cs="Times New Roman"/>
                <w:kern w:val="0"/>
                <w:sz w:val="28"/>
                <w:szCs w:val="21"/>
              </w:rPr>
            </w:pPr>
            <w:r>
              <w:rPr>
                <w:rFonts w:cs="Times New Roman"/>
                <w:kern w:val="0"/>
                <w:sz w:val="28"/>
                <w:szCs w:val="21"/>
              </w:rPr>
              <w:t>积极推进水环境和水生态修复，严格控制污染源，加强浑江治理工程。做好防洪堤修建工作，建立河长制，负责组织领导相应河流的管理和保护工作。</w:t>
            </w:r>
          </w:p>
          <w:p w14:paraId="5B029C26">
            <w:pPr>
              <w:pStyle w:val="34"/>
              <w:spacing w:line="500" w:lineRule="exact"/>
              <w:ind w:firstLine="560"/>
              <w:jc w:val="both"/>
              <w:rPr>
                <w:rFonts w:cs="Times New Roman"/>
                <w:kern w:val="0"/>
                <w:sz w:val="28"/>
                <w:szCs w:val="21"/>
              </w:rPr>
            </w:pPr>
            <w:r>
              <w:rPr>
                <w:rFonts w:cs="Times New Roman"/>
                <w:kern w:val="0"/>
                <w:sz w:val="28"/>
                <w:szCs w:val="21"/>
              </w:rPr>
              <w:t>4.湿地生态修复工程</w:t>
            </w:r>
          </w:p>
          <w:p w14:paraId="0E2D3FD0">
            <w:pPr>
              <w:pStyle w:val="34"/>
              <w:spacing w:line="500" w:lineRule="exact"/>
              <w:ind w:firstLine="560"/>
              <w:jc w:val="both"/>
              <w:rPr>
                <w:rFonts w:cs="Times New Roman"/>
                <w:kern w:val="0"/>
                <w:szCs w:val="28"/>
              </w:rPr>
            </w:pPr>
            <w:r>
              <w:rPr>
                <w:rFonts w:cs="Times New Roman"/>
                <w:kern w:val="0"/>
                <w:sz w:val="28"/>
                <w:szCs w:val="21"/>
              </w:rPr>
              <w:t>加强对湿地生态系统保护修复，通过实施湿地恢复与综合治理工程，改善湿地生态质量，提高湿地生态系统完整性和稳定性。推进小微湿地建设，开展湿地公园建设，打造生态景观水系，改善河流水质。</w:t>
            </w:r>
          </w:p>
        </w:tc>
      </w:tr>
    </w:tbl>
    <w:p w14:paraId="0A802483">
      <w:pPr>
        <w:pStyle w:val="4"/>
      </w:pPr>
      <w:r>
        <w:t>土壤污染生态修复</w:t>
      </w:r>
    </w:p>
    <w:p w14:paraId="71056012">
      <w:pPr>
        <w:widowControl/>
        <w:adjustRightInd w:val="0"/>
        <w:snapToGrid w:val="0"/>
        <w:ind w:firstLine="640"/>
        <w:rPr>
          <w:rFonts w:cs="Times New Roman"/>
        </w:rPr>
      </w:pPr>
      <w:r>
        <w:rPr>
          <w:rFonts w:cs="Times New Roman"/>
        </w:rPr>
        <w:t>加强土壤污染防治，积极推进污染土壤阻控修复，在土壤污染地区内实施土壤污染生态修复工程，建设农田生态沟渠、污水净化池等设施，净化地表径流及农田灌排水，优化种植结构，改善土壤环境，提升土壤质量。</w:t>
      </w:r>
    </w:p>
    <w:p w14:paraId="7643925D">
      <w:pPr>
        <w:pStyle w:val="4"/>
      </w:pPr>
      <w:r>
        <w:t>矿山生态修复</w:t>
      </w:r>
    </w:p>
    <w:p w14:paraId="1952F57F">
      <w:pPr>
        <w:widowControl/>
        <w:adjustRightInd w:val="0"/>
        <w:snapToGrid w:val="0"/>
        <w:ind w:firstLine="640"/>
        <w:rPr>
          <w:rFonts w:cs="Times New Roman"/>
        </w:rPr>
      </w:pPr>
      <w:r>
        <w:rPr>
          <w:rFonts w:cs="Times New Roman"/>
        </w:rPr>
        <w:t>积极推进矿山生态修复工程，重点解决地面塌陷和固体废弃物堆积等问题。以生态重塑加自然恢复相结合的模式进行综合治理，治理后基本消除地面塌陷、地裂缝、崩塌、泥石流等地质灾害隐患，矿山固体废弃物得到有效治理，植被复绿，解除塌陷区居民的生命财产安全隐患，恢复生态环境和土地使用功能。引导生产矿山向绿色矿山转型，鼓励新建矿山按绿色矿山标准建设。</w:t>
      </w:r>
    </w:p>
    <w:p w14:paraId="1EA0B86B">
      <w:pPr>
        <w:pStyle w:val="4"/>
      </w:pPr>
      <w:r>
        <w:t>重大自然灾害生态修复</w:t>
      </w:r>
    </w:p>
    <w:p w14:paraId="16CFABF4">
      <w:pPr>
        <w:widowControl/>
        <w:adjustRightInd w:val="0"/>
        <w:snapToGrid w:val="0"/>
        <w:ind w:firstLine="640"/>
        <w:rPr>
          <w:rFonts w:cs="Times New Roman"/>
        </w:rPr>
      </w:pPr>
      <w:r>
        <w:rPr>
          <w:rFonts w:cs="Times New Roman"/>
        </w:rPr>
        <w:t>对重大自然灾害损毁土地进行评价并分类，对可复垦利用的土地，实施复垦工程。加强耕地抗灾能力建设，减少耕地灾毁数量。采取工程措施对损毁土地内的田、水、路、林及受损的生态环境等进行整治和恢复，使损毁土地恢复生态功能。</w:t>
      </w:r>
    </w:p>
    <w:p w14:paraId="38046344">
      <w:pPr>
        <w:pStyle w:val="3"/>
        <w:rPr>
          <w:rFonts w:ascii="Times New Roman" w:hAnsi="Times New Roman" w:cs="Times New Roman"/>
          <w:color w:val="auto"/>
        </w:rPr>
      </w:pPr>
      <w:bookmarkStart w:id="52" w:name="_Toc220921280"/>
      <w:r>
        <w:rPr>
          <w:rFonts w:ascii="Times New Roman" w:hAnsi="Times New Roman" w:cs="Times New Roman"/>
          <w:color w:val="auto"/>
        </w:rPr>
        <w:t>第二节国土综合整治</w:t>
      </w:r>
      <w:bookmarkEnd w:id="52"/>
    </w:p>
    <w:p w14:paraId="1B610750">
      <w:pPr>
        <w:pStyle w:val="4"/>
        <w:numPr>
          <w:ilvl w:val="0"/>
          <w:numId w:val="25"/>
        </w:numPr>
        <w:ind w:left="198" w:firstLine="641"/>
        <w:rPr>
          <w:rFonts w:eastAsia="楷体"/>
        </w:rPr>
      </w:pPr>
      <w:r>
        <w:t>建设用地综合整治</w:t>
      </w:r>
    </w:p>
    <w:p w14:paraId="74625935">
      <w:pPr>
        <w:widowControl/>
        <w:adjustRightInd w:val="0"/>
        <w:snapToGrid w:val="0"/>
        <w:ind w:firstLine="640"/>
        <w:rPr>
          <w:rFonts w:cs="Times New Roman"/>
        </w:rPr>
      </w:pPr>
      <w:r>
        <w:rPr>
          <w:rFonts w:cs="Times New Roman"/>
        </w:rPr>
        <w:t>实施“严控总量、盘活存量、精准调控、提质增效”的建设用地优化策略，推进更新治理进程，促进低效建设用地开发再利用，以旧居住用地、旧产业用地、旧村用地、其他用地等为重点对象，促进低效建设用地重新利用，推动分类整治、盘活低效、存量建设用地、违法建设综合治理机制，增加流量建设用地面积，提升土地节约集约利用率，提高建设用地地均产值。</w:t>
      </w:r>
    </w:p>
    <w:p w14:paraId="7C053B97">
      <w:pPr>
        <w:widowControl/>
        <w:adjustRightInd w:val="0"/>
        <w:snapToGrid w:val="0"/>
        <w:ind w:firstLine="640"/>
        <w:rPr>
          <w:rFonts w:cs="Times New Roman"/>
        </w:rPr>
      </w:pPr>
      <w:r>
        <w:rPr>
          <w:rFonts w:cs="Times New Roman"/>
        </w:rPr>
        <w:t>优化城乡建设用地空间格局，引导建设用地由“增量扩张”向“增存并举”转型，精准配置新增建设用地，集约保障城镇建设，引导人口减少村庄地区建设用地有序减量，合理保障重大交通、水利、清洁能源等区域基础设施用地和其他建设用地需求。合理安排城乡建设用地增减挂钩、工矿废弃地复垦利用、城镇低效用地再开发等项目，促进城乡一体化融合发展。</w:t>
      </w:r>
    </w:p>
    <w:p w14:paraId="6FCBFB13">
      <w:pPr>
        <w:pStyle w:val="4"/>
      </w:pPr>
      <w:r>
        <w:t>农村土地综合整治</w:t>
      </w:r>
    </w:p>
    <w:p w14:paraId="7F6C0567">
      <w:pPr>
        <w:widowControl/>
        <w:adjustRightInd w:val="0"/>
        <w:snapToGrid w:val="0"/>
        <w:ind w:firstLine="640"/>
        <w:rPr>
          <w:rFonts w:cs="Times New Roman"/>
          <w:szCs w:val="28"/>
        </w:rPr>
      </w:pPr>
      <w:bookmarkStart w:id="53" w:name="_Hlk151908821"/>
      <w:r>
        <w:rPr>
          <w:rFonts w:cs="Times New Roman"/>
        </w:rPr>
        <w:t>统筹推进</w:t>
      </w:r>
      <w:r>
        <w:rPr>
          <w:rFonts w:hint="eastAsia" w:cs="Times New Roman"/>
        </w:rPr>
        <w:t>黑沟</w:t>
      </w:r>
      <w:r>
        <w:rPr>
          <w:rFonts w:cs="Times New Roman"/>
        </w:rPr>
        <w:t>乡全域全要素的国土综合整治及生态系统</w:t>
      </w:r>
      <w:bookmarkStart w:id="104" w:name="_GoBack"/>
      <w:bookmarkEnd w:id="104"/>
      <w:r>
        <w:rPr>
          <w:rFonts w:cs="Times New Roman"/>
        </w:rPr>
        <w:t>保护和修复</w:t>
      </w:r>
      <w:bookmarkEnd w:id="53"/>
      <w:r>
        <w:rPr>
          <w:rFonts w:cs="Times New Roman"/>
        </w:rPr>
        <w:t>工作，布置农用地整理、乡村建设用地整理、乡村生态保护修复的重点建设工程</w:t>
      </w:r>
      <w:r>
        <w:rPr>
          <w:rFonts w:cs="Times New Roman"/>
          <w:szCs w:val="28"/>
        </w:rPr>
        <w:t>，整体推进乡村地区耕地质量提升、建设用地集约利用、山水林田湖草系统保护修复工作实施。</w:t>
      </w:r>
    </w:p>
    <w:p w14:paraId="6E184A35">
      <w:pPr>
        <w:pStyle w:val="5"/>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——农用地整理</w:t>
      </w:r>
    </w:p>
    <w:p w14:paraId="34E3D4F5">
      <w:pPr>
        <w:widowControl/>
        <w:adjustRightInd w:val="0"/>
        <w:snapToGrid w:val="0"/>
        <w:ind w:firstLine="640"/>
        <w:rPr>
          <w:rFonts w:cs="Times New Roman"/>
          <w:szCs w:val="28"/>
        </w:rPr>
      </w:pPr>
      <w:r>
        <w:rPr>
          <w:rFonts w:cs="Times New Roman"/>
          <w:szCs w:val="28"/>
        </w:rPr>
        <w:t>统筹推进高标准农田建设、旱改水、坡耕地整治、撂荒耕地整治、退化土壤改良修复等工程，完善农田基础设施条件，全面提升耕地质量，增加有效耕地面积，促进农业机械化、规模化，增强抵御自然灾害能力，提高农业综合生产能力，增加粮食产量，改善农田生态环境。</w:t>
      </w:r>
    </w:p>
    <w:p w14:paraId="236D7EAB">
      <w:pPr>
        <w:pStyle w:val="5"/>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——农村建设用地整理</w:t>
      </w:r>
    </w:p>
    <w:p w14:paraId="3AA11A6C">
      <w:pPr>
        <w:widowControl/>
        <w:adjustRightInd w:val="0"/>
        <w:snapToGrid w:val="0"/>
        <w:ind w:firstLine="640"/>
        <w:rPr>
          <w:rFonts w:cs="Times New Roman"/>
        </w:rPr>
      </w:pPr>
      <w:r>
        <w:rPr>
          <w:rFonts w:cs="Times New Roman"/>
        </w:rPr>
        <w:t>充分尊重农民意愿，开展农村建设用地整理，推进城乡建设用地增减挂钩，优先配套和完善村庄的道路交通、给水排水、电力电讯、污水及垃圾处理等基础设施和教育、医疗卫生、文化等公共服务设施，保障人居环境建设。腾出的建设用地指标优先用于支持农村一二三产业融合发展，并因地制宜，适度增加耕地面积。规划期内在全域范围内重点挖潜村庄内部低效、闲置建设用地，提高建设用地节约集约利用程度，提升农村建设用地质量。</w:t>
      </w:r>
    </w:p>
    <w:p w14:paraId="517F72D5">
      <w:pPr>
        <w:pStyle w:val="5"/>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——宜耕后备土地资源开发</w:t>
      </w:r>
    </w:p>
    <w:p w14:paraId="216527CD">
      <w:pPr>
        <w:widowControl/>
        <w:adjustRightInd w:val="0"/>
        <w:snapToGrid w:val="0"/>
        <w:ind w:firstLine="640"/>
        <w:rPr>
          <w:rFonts w:cs="Times New Roman"/>
        </w:rPr>
      </w:pPr>
      <w:r>
        <w:rPr>
          <w:rFonts w:cs="Times New Roman"/>
        </w:rPr>
        <w:t>在保护和改善生态环境的前提下，依据土地适宜性条件，有序推进宜耕后备资源开发，通过工程措施，将项目区开垦成为高产田、稳产田，以增加有效耕地面积，适当增加园地、林地等农用地面积，提升粮食产量，保障粮食安全，控制土壤退化现象，涵养水源、防止水土流失，促进生态环境的可持续发展。</w:t>
      </w:r>
    </w:p>
    <w:p w14:paraId="40B4B5D2">
      <w:pPr>
        <w:pStyle w:val="5"/>
        <w:keepNext w:val="0"/>
        <w:keepLines w:val="0"/>
        <w:widowControl/>
        <w:adjustRightInd w:val="0"/>
        <w:snapToGrid w:val="0"/>
        <w:spacing w:before="0" w:after="0" w:line="600" w:lineRule="exact"/>
        <w:ind w:firstLine="640"/>
        <w:rPr>
          <w:rFonts w:ascii="Times New Roman" w:hAnsi="Times New Roman" w:eastAsia="仿宋_GB2312" w:cs="Times New Roman"/>
          <w:b w:val="0"/>
          <w:sz w:val="32"/>
          <w:szCs w:val="22"/>
        </w:rPr>
      </w:pPr>
      <w:r>
        <w:rPr>
          <w:rFonts w:ascii="Times New Roman" w:hAnsi="Times New Roman" w:eastAsia="仿宋_GB2312" w:cs="Times New Roman"/>
          <w:b w:val="0"/>
          <w:sz w:val="32"/>
          <w:szCs w:val="22"/>
        </w:rPr>
        <w:t>——农村生态环境修复</w:t>
      </w:r>
    </w:p>
    <w:p w14:paraId="6FB004AA">
      <w:pPr>
        <w:widowControl/>
        <w:adjustRightInd w:val="0"/>
        <w:snapToGrid w:val="0"/>
        <w:ind w:firstLine="640"/>
        <w:jc w:val="left"/>
        <w:rPr>
          <w:rFonts w:cs="Times New Roman"/>
        </w:rPr>
      </w:pPr>
      <w:r>
        <w:rPr>
          <w:rFonts w:cs="Times New Roman"/>
        </w:rPr>
        <w:t>尊重和保护村域内原有的地形地貌，全面推进农村环境整治，</w:t>
      </w:r>
      <w:r>
        <w:rPr>
          <w:rFonts w:hint="eastAsia" w:cs="Times New Roman"/>
        </w:rPr>
        <w:t>加大</w:t>
      </w:r>
      <w:r>
        <w:rPr>
          <w:rFonts w:cs="Times New Roman"/>
        </w:rPr>
        <w:t>农村面源污染整治力度。完善交通两侧生态廊道体系，实施道路绿化工程，实施中小河流治理工程，推进安全饮水工程，优化农村水系、林网、绿道等生态空间，促进人与自然和谐共生。</w:t>
      </w:r>
    </w:p>
    <w:p w14:paraId="4EAFE39F">
      <w:pPr>
        <w:widowControl/>
        <w:adjustRightInd w:val="0"/>
        <w:snapToGrid w:val="0"/>
        <w:ind w:firstLine="640"/>
        <w:rPr>
          <w:rFonts w:cs="Times New Roman"/>
        </w:rPr>
      </w:pPr>
    </w:p>
    <w:p w14:paraId="4CBC19F6">
      <w:pPr>
        <w:widowControl/>
        <w:adjustRightInd w:val="0"/>
        <w:snapToGrid w:val="0"/>
        <w:ind w:firstLine="640"/>
        <w:rPr>
          <w:rFonts w:cs="Times New Roman"/>
        </w:rPr>
      </w:pPr>
      <w:bookmarkStart w:id="54" w:name="_Hlk129184029"/>
    </w:p>
    <w:bookmarkEnd w:id="54"/>
    <w:p w14:paraId="673CCBFB">
      <w:pPr>
        <w:pStyle w:val="2"/>
        <w:spacing w:before="312" w:after="312"/>
        <w:rPr>
          <w:rFonts w:ascii="Times New Roman" w:hAnsi="Times New Roman" w:cs="Times New Roman"/>
          <w:color w:val="auto"/>
        </w:rPr>
      </w:pPr>
      <w:bookmarkStart w:id="55" w:name="_Toc220921281"/>
      <w:r>
        <w:rPr>
          <w:rFonts w:ascii="Times New Roman" w:hAnsi="Times New Roman" w:cs="Times New Roman"/>
          <w:color w:val="auto"/>
        </w:rPr>
        <w:t>第</w:t>
      </w:r>
      <w:r>
        <w:rPr>
          <w:rFonts w:hint="eastAsia" w:ascii="Times New Roman" w:hAnsi="Times New Roman" w:cs="Times New Roman"/>
          <w:color w:val="auto"/>
        </w:rPr>
        <w:t>八</w:t>
      </w:r>
      <w:r>
        <w:rPr>
          <w:rFonts w:ascii="Times New Roman" w:hAnsi="Times New Roman" w:cs="Times New Roman"/>
          <w:color w:val="auto"/>
        </w:rPr>
        <w:t>章乡中心区功能布局与规划管控</w:t>
      </w:r>
      <w:bookmarkEnd w:id="55"/>
    </w:p>
    <w:p w14:paraId="226A3F51">
      <w:pPr>
        <w:pStyle w:val="3"/>
        <w:rPr>
          <w:rFonts w:ascii="Times New Roman" w:hAnsi="Times New Roman" w:cs="Times New Roman"/>
          <w:color w:val="auto"/>
        </w:rPr>
      </w:pPr>
      <w:bookmarkStart w:id="56" w:name="_Toc220921282"/>
      <w:r>
        <w:rPr>
          <w:rFonts w:ascii="Times New Roman" w:hAnsi="Times New Roman" w:cs="Times New Roman"/>
          <w:color w:val="auto"/>
        </w:rPr>
        <w:t>第一节规划分区与用途管制</w:t>
      </w:r>
      <w:bookmarkEnd w:id="56"/>
    </w:p>
    <w:p w14:paraId="610BC5D0">
      <w:pPr>
        <w:pStyle w:val="4"/>
        <w:numPr>
          <w:ilvl w:val="0"/>
          <w:numId w:val="26"/>
        </w:numPr>
        <w:ind w:left="198" w:firstLine="641"/>
      </w:pPr>
      <w:r>
        <w:t>规划分区</w:t>
      </w:r>
    </w:p>
    <w:p w14:paraId="1BB0B008">
      <w:pPr>
        <w:ind w:firstLine="640"/>
        <w:rPr>
          <w:rFonts w:cs="Times New Roman"/>
        </w:rPr>
      </w:pPr>
      <w:r>
        <w:rPr>
          <w:rFonts w:hint="eastAsia" w:cs="Times New Roman"/>
        </w:rPr>
        <w:t>结合乡中心区空间结构，优化功能布局，将乡中心区细化为居住生活区、综合服务区、商业商务区、绿地休闲区、工业发展区、交通枢纽区、物流仓储区等7类分区。其中居住生活区15.05公顷，重点提升和完善配套设施，增加公共空间，提升居住环境质量；综合服务区4.11公顷，应完善公共服务设施体系，充分考虑服务半径，打造中心区特色和标志性空间；商业商务区5.32公顷，以提供商业休闲、商务办公为主要功能导向；绿地休闲区0.52公顷，应加强品质建设，打造舒适宜人的城镇公共空间；工业发展区16.77公顷，应引导新增工矿用地向产业区集中布局，加强产城融合与产业区服务配套建设；交通枢纽区8.58公顷，应强化交通集散功能，优化交通组织，提升区域内外的通行效率；物流仓储区2.80公顷，应合理规划仓储布局，提升物流周转效率，保障区域物资流通。</w:t>
      </w:r>
    </w:p>
    <w:p w14:paraId="645DD2DC">
      <w:pPr>
        <w:pStyle w:val="4"/>
      </w:pPr>
      <w:r>
        <w:t>用途管制</w:t>
      </w:r>
    </w:p>
    <w:p w14:paraId="7E6F2559">
      <w:pPr>
        <w:ind w:firstLine="640"/>
        <w:rPr>
          <w:rFonts w:cs="Times New Roman"/>
        </w:rPr>
      </w:pPr>
      <w:r>
        <w:rPr>
          <w:rFonts w:cs="Times New Roman"/>
        </w:rPr>
        <w:t>根据规划分区确定差异化的城镇布局形态。规划分区内实行土地用途管制，需要在“详细规划”中明确国土用途规划方案和具体控制指标和要求。鼓励在分区范围内探索用地集约复合开发模式。居住区应在区内保障一定比例配套社区服务设施用地，并注重构建15分钟生活圈，注重临街商业活力塑造以及社区服务中心、社区公园的建设。商业商务区功能应集约紧凑，满足服务等级、规模及类型要求，注重连续步行空间的营造和小型公共空间的设置，通过建筑高度的变化打造高低错落、疏密有致的天际线。工业发展区应严格遵守环保要求，降低工业及物流仓储功能对居住、公共环境、交通等的干扰，同时注重完善公共服务设施配套，推进产业社区服务中心建设。</w:t>
      </w:r>
    </w:p>
    <w:p w14:paraId="08F8C8F6">
      <w:pPr>
        <w:pStyle w:val="3"/>
        <w:rPr>
          <w:rFonts w:ascii="Times New Roman" w:hAnsi="Times New Roman" w:cs="Times New Roman"/>
          <w:color w:val="auto"/>
        </w:rPr>
      </w:pPr>
      <w:bookmarkStart w:id="57" w:name="_Toc220921283"/>
      <w:bookmarkStart w:id="58" w:name="_Toc175064683"/>
      <w:r>
        <w:rPr>
          <w:rFonts w:ascii="Times New Roman" w:hAnsi="Times New Roman" w:cs="Times New Roman"/>
          <w:color w:val="auto"/>
        </w:rPr>
        <w:t>第二节用地结构和布局</w:t>
      </w:r>
      <w:bookmarkEnd w:id="57"/>
      <w:bookmarkEnd w:id="58"/>
    </w:p>
    <w:p w14:paraId="4B424222">
      <w:pPr>
        <w:pStyle w:val="4"/>
        <w:numPr>
          <w:ilvl w:val="0"/>
          <w:numId w:val="27"/>
        </w:numPr>
        <w:ind w:left="198" w:firstLine="442"/>
      </w:pPr>
      <w:r>
        <w:t>用地结构</w:t>
      </w:r>
    </w:p>
    <w:p w14:paraId="47EFF81B">
      <w:pPr>
        <w:ind w:firstLine="640"/>
        <w:rPr>
          <w:rFonts w:cs="Times New Roman"/>
        </w:rPr>
      </w:pPr>
      <w:r>
        <w:rPr>
          <w:rFonts w:cs="Times New Roman"/>
        </w:rPr>
        <w:t>规划构建“</w:t>
      </w:r>
      <w:r>
        <w:rPr>
          <w:rFonts w:hint="eastAsia" w:cs="Times New Roman"/>
        </w:rPr>
        <w:t>一心引领</w:t>
      </w:r>
      <w:r>
        <w:rPr>
          <w:rFonts w:cs="Times New Roman"/>
        </w:rPr>
        <w:t>、</w:t>
      </w:r>
      <w:r>
        <w:rPr>
          <w:rFonts w:hint="eastAsia" w:cs="Times New Roman"/>
        </w:rPr>
        <w:t>两轴驱动</w:t>
      </w:r>
      <w:r>
        <w:rPr>
          <w:rFonts w:cs="Times New Roman"/>
        </w:rPr>
        <w:t>、三</w:t>
      </w:r>
      <w:r>
        <w:rPr>
          <w:rFonts w:hint="eastAsia" w:cs="Times New Roman"/>
        </w:rPr>
        <w:t>区协同</w:t>
      </w:r>
      <w:r>
        <w:rPr>
          <w:rFonts w:cs="Times New Roman"/>
        </w:rPr>
        <w:t>”的空间布局结构。</w:t>
      </w:r>
    </w:p>
    <w:p w14:paraId="5C0DF0E9">
      <w:pPr>
        <w:ind w:firstLine="640"/>
        <w:rPr>
          <w:rFonts w:cs="Times New Roman"/>
        </w:rPr>
      </w:pPr>
      <w:r>
        <w:rPr>
          <w:rFonts w:hint="eastAsia" w:cs="Times New Roman"/>
        </w:rPr>
        <w:t>一心引领：在中心区核心位置打造综合服务中心，集中布局行政办公、商业市集、文化娱乐等主要公共服务设施，形成全乡的公共活动核心与形象展示窗口，通过便捷的交通网络与周边区域紧密相连，辐射带动全乡发展。</w:t>
      </w:r>
    </w:p>
    <w:p w14:paraId="1DDFF0F7">
      <w:pPr>
        <w:ind w:firstLine="640"/>
        <w:rPr>
          <w:rFonts w:cs="Times New Roman"/>
        </w:rPr>
      </w:pPr>
      <w:r>
        <w:rPr>
          <w:rFonts w:hint="eastAsia" w:cs="Times New Roman"/>
        </w:rPr>
        <w:t>两轴驱动：</w:t>
      </w:r>
    </w:p>
    <w:p w14:paraId="332BF0CC">
      <w:pPr>
        <w:ind w:firstLine="640"/>
        <w:rPr>
          <w:rFonts w:cs="Times New Roman"/>
        </w:rPr>
      </w:pPr>
      <w:r>
        <w:rPr>
          <w:rFonts w:hint="eastAsia" w:cs="Times New Roman"/>
        </w:rPr>
        <w:t>南北向产业发展主轴：依托现有鹤大线交通干道，串联起中心区南北两侧的产业园区与居民生活区，形成产业与生活互动发展的轴线，促进产业要素与生活资源的流通共享。</w:t>
      </w:r>
    </w:p>
    <w:p w14:paraId="37C19D5F">
      <w:pPr>
        <w:ind w:firstLine="640"/>
        <w:rPr>
          <w:rFonts w:cs="Times New Roman"/>
        </w:rPr>
      </w:pPr>
      <w:r>
        <w:rPr>
          <w:rFonts w:hint="eastAsia" w:cs="Times New Roman"/>
        </w:rPr>
        <w:t>东西向生活发展次轴：结合县道二长公路廊道，打造东西向的生活发展轴线，布局公园、绿地等休闲景观设施，提升中心区的生态品质与景观风貌，同时为居民提供休闲游憩的绿色空间。</w:t>
      </w:r>
    </w:p>
    <w:p w14:paraId="19BF287F">
      <w:pPr>
        <w:ind w:firstLine="640"/>
        <w:rPr>
          <w:rFonts w:cs="Times New Roman"/>
        </w:rPr>
      </w:pPr>
      <w:r>
        <w:rPr>
          <w:rFonts w:hint="eastAsia" w:cs="Times New Roman"/>
        </w:rPr>
        <w:t>三区协同：</w:t>
      </w:r>
    </w:p>
    <w:p w14:paraId="55814197">
      <w:pPr>
        <w:ind w:firstLine="640"/>
        <w:rPr>
          <w:rFonts w:cs="Times New Roman"/>
        </w:rPr>
      </w:pPr>
      <w:r>
        <w:rPr>
          <w:rFonts w:hint="eastAsia" w:cs="Times New Roman"/>
        </w:rPr>
        <w:t>南部综合生活区：配套完善的教育、医疗、社区服务等设施，营造舒适、便捷、安全的居住环境。</w:t>
      </w:r>
    </w:p>
    <w:p w14:paraId="5ABE1333">
      <w:pPr>
        <w:ind w:firstLine="640"/>
        <w:rPr>
          <w:rFonts w:cs="Times New Roman"/>
        </w:rPr>
      </w:pPr>
      <w:r>
        <w:rPr>
          <w:rFonts w:hint="eastAsia" w:cs="Times New Roman"/>
        </w:rPr>
        <w:t>北部产业发展区：整合现有北部工业用地，集中布局特色农产品加工、木材加工等传统产业园区，并在适宜区域规划新兴产业发展区，推动产业集聚与创新发展。</w:t>
      </w:r>
    </w:p>
    <w:p w14:paraId="48F36118">
      <w:pPr>
        <w:ind w:firstLine="640"/>
        <w:rPr>
          <w:rFonts w:cs="Times New Roman"/>
        </w:rPr>
      </w:pPr>
      <w:r>
        <w:rPr>
          <w:rFonts w:hint="eastAsia" w:cs="Times New Roman"/>
        </w:rPr>
        <w:t>东部居住生活区：规划居住组团位于中心区东部，提升居民生活居住质量，配套完善的设施</w:t>
      </w:r>
      <w:r>
        <w:rPr>
          <w:rFonts w:cs="Times New Roman"/>
        </w:rPr>
        <w:t>，满足村民的日常生活、休闲、游憩、娱乐等需求。</w:t>
      </w:r>
    </w:p>
    <w:p w14:paraId="3BE0C031">
      <w:pPr>
        <w:pStyle w:val="4"/>
      </w:pPr>
      <w:r>
        <w:t>用地布局</w:t>
      </w:r>
    </w:p>
    <w:p w14:paraId="3839F5E9">
      <w:pPr>
        <w:ind w:firstLine="640"/>
        <w:rPr>
          <w:rFonts w:cs="Times New Roman"/>
        </w:rPr>
      </w:pPr>
      <w:bookmarkStart w:id="59" w:name="_Hlk131089488"/>
      <w:r>
        <w:rPr>
          <w:rFonts w:cs="Times New Roman"/>
        </w:rPr>
        <w:t>规划至2035年，乡中心区城镇建设用地总计</w:t>
      </w:r>
      <w:r>
        <w:rPr>
          <w:rFonts w:hint="eastAsia" w:cs="Times New Roman"/>
        </w:rPr>
        <w:t>53.15</w:t>
      </w:r>
      <w:r>
        <w:rPr>
          <w:rFonts w:cs="Times New Roman"/>
        </w:rPr>
        <w:t>公顷，其中：</w:t>
      </w:r>
    </w:p>
    <w:p w14:paraId="229BCAE1">
      <w:pPr>
        <w:ind w:firstLine="640"/>
        <w:rPr>
          <w:rFonts w:cs="Times New Roman"/>
        </w:rPr>
      </w:pPr>
      <w:bookmarkStart w:id="60" w:name="_Hlk184372822"/>
      <w:r>
        <w:rPr>
          <w:rFonts w:hint="eastAsia" w:cs="Times New Roman"/>
        </w:rPr>
        <w:t>居住用地。规划形成集中与分散相结合的居住组团。既有居住区域配套完善的服务设施，如社区活动中心、幼儿园等，以满足居民日常生活需求。对于现状分散的居住用地，逐步进行改造升级，完善基础设施，改善居住环境，同时引导零散居民点向规划居住组团集聚。规划至2035年，居住用地规模控制在14.57公顷，占建设用地的27.41%。</w:t>
      </w:r>
    </w:p>
    <w:p w14:paraId="4DC2EE68">
      <w:pPr>
        <w:ind w:firstLine="640"/>
        <w:rPr>
          <w:rFonts w:cs="Times New Roman"/>
        </w:rPr>
      </w:pPr>
      <w:r>
        <w:rPr>
          <w:rFonts w:hint="eastAsia" w:cs="Times New Roman"/>
        </w:rPr>
        <w:t>2.公共管理与公共服务用地。对现有学校、医疗卫生设施进行设施升级，提升城区公共服务品质。规划至2035年，公共管理与公共服务用地4.11公顷，占建设用地的7.74%。</w:t>
      </w:r>
    </w:p>
    <w:p w14:paraId="4A40EF5C">
      <w:pPr>
        <w:ind w:firstLine="640"/>
        <w:rPr>
          <w:rFonts w:cs="Times New Roman"/>
        </w:rPr>
      </w:pPr>
      <w:r>
        <w:rPr>
          <w:rFonts w:hint="eastAsia" w:cs="Times New Roman"/>
        </w:rPr>
        <w:t>3.商业服务业用地。于鹤大线两侧增加商业服务业设施用地，吸引人口集聚。规划至2035年，商业服务业用地规模5.32公顷，占建设用地的10.02%。</w:t>
      </w:r>
    </w:p>
    <w:p w14:paraId="382B859F">
      <w:pPr>
        <w:ind w:firstLine="640"/>
        <w:rPr>
          <w:rFonts w:cs="Times New Roman"/>
        </w:rPr>
      </w:pPr>
      <w:r>
        <w:rPr>
          <w:rFonts w:hint="eastAsia" w:cs="Times New Roman"/>
        </w:rPr>
        <w:t>4.工矿用地。引导新增工矿用地向产业园区集中布局，促进工矿用地集约高效发展，提高工矿用地效率。加强工业集中区的基础设施建设，完善水、电、路、气等供应系统，同时注重环保设施建设，严格控制工业污染排放，推动工业企业向规模化、绿色化方向发展，重点引进与本地资源优势相结合的农产品深加工、木材加工制作等产业项目，促进产业升级转型。规划至2035年，工矿用地16.77公顷，占建设用地的31.55%。</w:t>
      </w:r>
    </w:p>
    <w:p w14:paraId="78B1FF7F">
      <w:pPr>
        <w:ind w:firstLine="640"/>
        <w:rPr>
          <w:rFonts w:cs="Times New Roman"/>
        </w:rPr>
      </w:pPr>
      <w:r>
        <w:rPr>
          <w:rFonts w:hint="eastAsia" w:cs="Times New Roman"/>
        </w:rPr>
        <w:t>5.仓储用地。规划至2035年，仓储用地2.80公顷，占城镇建设用地比例5.27%。</w:t>
      </w:r>
    </w:p>
    <w:p w14:paraId="5FA3AA10">
      <w:pPr>
        <w:ind w:firstLine="640"/>
        <w:rPr>
          <w:rFonts w:cs="Times New Roman"/>
        </w:rPr>
      </w:pPr>
      <w:r>
        <w:rPr>
          <w:rFonts w:hint="eastAsia" w:cs="Times New Roman"/>
        </w:rPr>
        <w:t>6.交通运输用地。规划至2035年，交通运输用地8.58公顷，占建设用地的16.14%。</w:t>
      </w:r>
    </w:p>
    <w:p w14:paraId="24C01CA1">
      <w:pPr>
        <w:ind w:firstLine="640"/>
        <w:rPr>
          <w:rFonts w:cs="Times New Roman"/>
        </w:rPr>
      </w:pPr>
      <w:r>
        <w:rPr>
          <w:rFonts w:hint="eastAsia" w:cs="Times New Roman"/>
        </w:rPr>
        <w:t>7.公用设施用地。规划至2035年，公用设施用地0.48公顷，占建设用地的0.91%。</w:t>
      </w:r>
    </w:p>
    <w:p w14:paraId="791706C8">
      <w:pPr>
        <w:ind w:firstLine="640"/>
        <w:rPr>
          <w:rFonts w:cs="Times New Roman"/>
        </w:rPr>
      </w:pPr>
      <w:r>
        <w:rPr>
          <w:rFonts w:hint="eastAsia" w:cs="Times New Roman"/>
        </w:rPr>
        <w:t>8.绿地与开敞空间用地。增加绿地和开敞空间用地，增补社区级公园，建设绿地和公园体系。规划至2035年，绿地与开敞空间用地0.52公顷，占建设用地的0.98%。</w:t>
      </w:r>
    </w:p>
    <w:bookmarkEnd w:id="59"/>
    <w:bookmarkEnd w:id="60"/>
    <w:p w14:paraId="036C0CA3">
      <w:pPr>
        <w:pStyle w:val="4"/>
      </w:pPr>
      <w:r>
        <w:t>用地兼容性控制</w:t>
      </w:r>
    </w:p>
    <w:p w14:paraId="632D84EE">
      <w:pPr>
        <w:widowControl/>
        <w:adjustRightInd w:val="0"/>
        <w:snapToGrid w:val="0"/>
        <w:ind w:firstLine="640"/>
        <w:rPr>
          <w:rFonts w:cs="Times New Roman"/>
        </w:rPr>
      </w:pPr>
      <w:bookmarkStart w:id="61" w:name="_Hlk131090097"/>
      <w:r>
        <w:rPr>
          <w:rFonts w:cs="Times New Roman"/>
        </w:rPr>
        <w:t>为提升乡中心区活力、增加用地性质的弹性，适应市场建设的需求，同时保障公益性设施的建设，对具有较好建设相容性的用地性质提供混合的可能。鼓励功能不冲突、环境要求相似且彼此间没有互相不利影响的用地混合设置。</w:t>
      </w:r>
    </w:p>
    <w:p w14:paraId="645195BF">
      <w:pPr>
        <w:widowControl/>
        <w:adjustRightInd w:val="0"/>
        <w:snapToGrid w:val="0"/>
        <w:ind w:firstLine="640"/>
        <w:rPr>
          <w:rFonts w:cs="Times New Roman"/>
        </w:rPr>
      </w:pPr>
      <w:r>
        <w:rPr>
          <w:rFonts w:cs="Times New Roman"/>
        </w:rPr>
        <w:t>为规范</w:t>
      </w:r>
      <w:r>
        <w:rPr>
          <w:rFonts w:hint="eastAsia" w:cs="Times New Roman"/>
        </w:rPr>
        <w:t>黑沟</w:t>
      </w:r>
      <w:r>
        <w:rPr>
          <w:rFonts w:cs="Times New Roman"/>
        </w:rPr>
        <w:t>乡规划用地兼容性管理，确定</w:t>
      </w:r>
      <w:r>
        <w:rPr>
          <w:rFonts w:hint="eastAsia" w:cs="Times New Roman"/>
        </w:rPr>
        <w:t>黑沟</w:t>
      </w:r>
      <w:r>
        <w:rPr>
          <w:rFonts w:cs="Times New Roman"/>
        </w:rPr>
        <w:t>乡土地使用主要兼容内容包括以下情形。</w:t>
      </w:r>
    </w:p>
    <w:p w14:paraId="28EAA0D2">
      <w:pPr>
        <w:widowControl/>
        <w:adjustRightInd w:val="0"/>
        <w:snapToGrid w:val="0"/>
        <w:ind w:firstLine="640"/>
        <w:rPr>
          <w:rFonts w:cs="Times New Roman"/>
        </w:rPr>
      </w:pPr>
      <w:r>
        <w:rPr>
          <w:rFonts w:cs="Times New Roman"/>
        </w:rPr>
        <w:t>部分兼容：“部分兼容”指在地块原规划性质上，混合其他单种性质用地的用地规模比例不超过30%，或混合其他两种及两种以上性质用地的用地规模比例之和不超过40%。相邻连接的同性质用地，可合并考虑兼容比例。被兼容的功能无法进行用地功能分区的，以上兼容比例按建筑规模计算。</w:t>
      </w:r>
    </w:p>
    <w:p w14:paraId="4C28695C">
      <w:pPr>
        <w:widowControl/>
        <w:adjustRightInd w:val="0"/>
        <w:snapToGrid w:val="0"/>
        <w:ind w:firstLine="640"/>
        <w:rPr>
          <w:rFonts w:cs="Times New Roman"/>
        </w:rPr>
      </w:pPr>
      <w:r>
        <w:rPr>
          <w:rFonts w:cs="Times New Roman"/>
        </w:rPr>
        <w:t>完全兼容：“完全兼容”指在地块原规划用地性质上，混合其他一种或几种性质用地的用地规模比例可达100%。</w:t>
      </w:r>
    </w:p>
    <w:p w14:paraId="455EDCCB">
      <w:pPr>
        <w:widowControl/>
        <w:adjustRightInd w:val="0"/>
        <w:snapToGrid w:val="0"/>
        <w:ind w:firstLine="640"/>
        <w:rPr>
          <w:rFonts w:cs="Times New Roman"/>
        </w:rPr>
      </w:pPr>
      <w:r>
        <w:rPr>
          <w:rFonts w:cs="Times New Roman"/>
        </w:rPr>
        <w:t>禁止兼容：“禁止兼容”指在地块原规划用地性质上不允许混合或转变为其他用地性质</w:t>
      </w:r>
      <w:bookmarkEnd w:id="61"/>
      <w:r>
        <w:rPr>
          <w:rFonts w:cs="Times New Roman"/>
        </w:rPr>
        <w:t>。</w:t>
      </w:r>
    </w:p>
    <w:p w14:paraId="5EBBE3EF">
      <w:pPr>
        <w:widowControl/>
        <w:adjustRightInd w:val="0"/>
        <w:snapToGrid w:val="0"/>
        <w:ind w:firstLine="640"/>
        <w:rPr>
          <w:rFonts w:cs="Times New Roman"/>
        </w:rPr>
      </w:pPr>
    </w:p>
    <w:tbl>
      <w:tblPr>
        <w:tblStyle w:val="15"/>
        <w:tblW w:w="4998" w:type="pct"/>
        <w:tblInd w:w="0" w:type="dxa"/>
        <w:tblLayout w:type="fixed"/>
        <w:tblCellMar>
          <w:top w:w="0" w:type="dxa"/>
          <w:left w:w="108" w:type="dxa"/>
          <w:bottom w:w="0" w:type="dxa"/>
          <w:right w:w="108" w:type="dxa"/>
        </w:tblCellMar>
      </w:tblPr>
      <w:tblGrid>
        <w:gridCol w:w="2452"/>
        <w:gridCol w:w="954"/>
        <w:gridCol w:w="1596"/>
        <w:gridCol w:w="1064"/>
        <w:gridCol w:w="789"/>
        <w:gridCol w:w="1669"/>
      </w:tblGrid>
      <w:tr w14:paraId="317B6FEC">
        <w:trPr>
          <w:trHeight w:val="255" w:hRule="atLeast"/>
        </w:trPr>
        <w:tc>
          <w:tcPr>
            <w:tcW w:w="1437" w:type="pct"/>
            <w:vMerge w:val="restart"/>
            <w:tcBorders>
              <w:top w:val="single" w:color="000000" w:sz="4" w:space="0"/>
              <w:left w:val="single" w:color="000000" w:sz="4" w:space="0"/>
              <w:bottom w:val="single" w:color="000000" w:sz="4" w:space="0"/>
              <w:right w:val="single" w:color="000000" w:sz="4" w:space="0"/>
            </w:tcBorders>
            <w:vAlign w:val="center"/>
          </w:tcPr>
          <w:p w14:paraId="2F3AF4B5">
            <w:pPr>
              <w:spacing w:line="240" w:lineRule="auto"/>
              <w:ind w:firstLine="0" w:firstLineChars="0"/>
              <w:jc w:val="center"/>
              <w:rPr>
                <w:rFonts w:eastAsia="仿宋" w:cs="Times New Roman"/>
                <w:sz w:val="21"/>
                <w:lang w:bidi="zh-CN"/>
              </w:rPr>
            </w:pPr>
            <w:r>
              <w:rPr>
                <w:rFonts w:hint="eastAsia" w:eastAsia="仿宋" w:cs="Times New Roman"/>
                <w:sz w:val="21"/>
                <w:lang w:bidi="zh-CN"/>
              </w:rPr>
              <w:t>分类</w:t>
            </w:r>
          </w:p>
        </w:tc>
        <w:tc>
          <w:tcPr>
            <w:tcW w:w="1495" w:type="pct"/>
            <w:gridSpan w:val="2"/>
            <w:tcBorders>
              <w:top w:val="single" w:color="000000" w:sz="4" w:space="0"/>
              <w:left w:val="single" w:color="000000" w:sz="4" w:space="0"/>
              <w:bottom w:val="single" w:color="000000" w:sz="4" w:space="0"/>
              <w:right w:val="single" w:color="000000" w:sz="4" w:space="0"/>
            </w:tcBorders>
            <w:vAlign w:val="center"/>
          </w:tcPr>
          <w:p w14:paraId="03CA8BFD">
            <w:pPr>
              <w:spacing w:line="240" w:lineRule="auto"/>
              <w:ind w:firstLine="0" w:firstLineChars="0"/>
              <w:jc w:val="center"/>
              <w:rPr>
                <w:rFonts w:eastAsia="仿宋" w:cs="Times New Roman"/>
                <w:sz w:val="21"/>
                <w:lang w:bidi="zh-CN"/>
              </w:rPr>
            </w:pPr>
            <w:r>
              <w:rPr>
                <w:rFonts w:hint="eastAsia" w:eastAsia="仿宋" w:cs="Times New Roman"/>
                <w:sz w:val="21"/>
                <w:lang w:bidi="zh-CN"/>
              </w:rPr>
              <w:t>规划基期年</w:t>
            </w:r>
          </w:p>
        </w:tc>
        <w:tc>
          <w:tcPr>
            <w:tcW w:w="1087" w:type="pct"/>
            <w:gridSpan w:val="2"/>
            <w:tcBorders>
              <w:top w:val="single" w:color="000000" w:sz="4" w:space="0"/>
              <w:left w:val="single" w:color="000000" w:sz="4" w:space="0"/>
              <w:bottom w:val="single" w:color="000000" w:sz="4" w:space="0"/>
              <w:right w:val="single" w:color="000000" w:sz="4" w:space="0"/>
            </w:tcBorders>
            <w:vAlign w:val="center"/>
          </w:tcPr>
          <w:p w14:paraId="0C692049">
            <w:pPr>
              <w:spacing w:line="240" w:lineRule="auto"/>
              <w:ind w:firstLine="0" w:firstLineChars="0"/>
              <w:jc w:val="center"/>
              <w:rPr>
                <w:rFonts w:eastAsia="仿宋" w:cs="Times New Roman"/>
                <w:sz w:val="21"/>
                <w:lang w:bidi="zh-CN"/>
              </w:rPr>
            </w:pPr>
            <w:r>
              <w:rPr>
                <w:rFonts w:hint="eastAsia" w:eastAsia="仿宋" w:cs="Times New Roman"/>
                <w:sz w:val="21"/>
                <w:lang w:bidi="zh-CN"/>
              </w:rPr>
              <w:t>规划目标年</w:t>
            </w:r>
          </w:p>
        </w:tc>
        <w:tc>
          <w:tcPr>
            <w:tcW w:w="978" w:type="pct"/>
            <w:vMerge w:val="restart"/>
            <w:tcBorders>
              <w:top w:val="single" w:color="000000" w:sz="4" w:space="0"/>
              <w:left w:val="single" w:color="000000" w:sz="4" w:space="0"/>
              <w:bottom w:val="single" w:color="000000" w:sz="4" w:space="0"/>
              <w:right w:val="single" w:color="000000" w:sz="4" w:space="0"/>
            </w:tcBorders>
            <w:vAlign w:val="center"/>
          </w:tcPr>
          <w:p w14:paraId="38084CEA">
            <w:pPr>
              <w:spacing w:line="240" w:lineRule="auto"/>
              <w:ind w:firstLine="0" w:firstLineChars="0"/>
              <w:jc w:val="center"/>
              <w:rPr>
                <w:rFonts w:eastAsia="仿宋" w:cs="Times New Roman"/>
                <w:sz w:val="21"/>
                <w:lang w:bidi="zh-CN"/>
              </w:rPr>
            </w:pPr>
            <w:r>
              <w:rPr>
                <w:rFonts w:hint="eastAsia" w:eastAsia="仿宋" w:cs="Times New Roman"/>
                <w:sz w:val="21"/>
                <w:lang w:bidi="zh-CN"/>
              </w:rPr>
              <w:t>规划期内面积增减(ha)</w:t>
            </w:r>
          </w:p>
        </w:tc>
      </w:tr>
      <w:tr w14:paraId="0310E1E3">
        <w:tblPrEx>
          <w:tblCellMar>
            <w:top w:w="0" w:type="dxa"/>
            <w:left w:w="108" w:type="dxa"/>
            <w:bottom w:w="0" w:type="dxa"/>
            <w:right w:w="108" w:type="dxa"/>
          </w:tblCellMar>
        </w:tblPrEx>
        <w:trPr>
          <w:trHeight w:val="255" w:hRule="atLeast"/>
        </w:trPr>
        <w:tc>
          <w:tcPr>
            <w:tcW w:w="1437" w:type="pct"/>
            <w:vMerge w:val="continue"/>
            <w:tcBorders>
              <w:top w:val="single" w:color="000000" w:sz="4" w:space="0"/>
              <w:left w:val="single" w:color="000000" w:sz="4" w:space="0"/>
              <w:bottom w:val="single" w:color="000000" w:sz="4" w:space="0"/>
              <w:right w:val="single" w:color="000000" w:sz="4" w:space="0"/>
            </w:tcBorders>
            <w:vAlign w:val="center"/>
          </w:tcPr>
          <w:p w14:paraId="67816C13">
            <w:pPr>
              <w:spacing w:line="240" w:lineRule="auto"/>
              <w:ind w:firstLine="0" w:firstLineChars="0"/>
              <w:jc w:val="center"/>
              <w:rPr>
                <w:rFonts w:eastAsia="仿宋" w:cs="Times New Roman"/>
                <w:sz w:val="21"/>
                <w:lang w:bidi="zh-CN"/>
              </w:rPr>
            </w:pPr>
          </w:p>
        </w:tc>
        <w:tc>
          <w:tcPr>
            <w:tcW w:w="560" w:type="pct"/>
            <w:tcBorders>
              <w:top w:val="single" w:color="000000" w:sz="4" w:space="0"/>
              <w:left w:val="single" w:color="000000" w:sz="4" w:space="0"/>
              <w:bottom w:val="single" w:color="000000" w:sz="4" w:space="0"/>
              <w:right w:val="single" w:color="000000" w:sz="4" w:space="0"/>
            </w:tcBorders>
            <w:vAlign w:val="center"/>
          </w:tcPr>
          <w:p w14:paraId="6B1C0FB5">
            <w:pPr>
              <w:spacing w:line="240" w:lineRule="auto"/>
              <w:ind w:firstLine="0" w:firstLineChars="0"/>
              <w:jc w:val="center"/>
              <w:rPr>
                <w:rFonts w:eastAsia="仿宋" w:cs="Times New Roman"/>
                <w:sz w:val="21"/>
                <w:lang w:bidi="zh-CN"/>
              </w:rPr>
            </w:pPr>
            <w:r>
              <w:rPr>
                <w:rFonts w:hint="eastAsia" w:eastAsia="仿宋" w:cs="Times New Roman"/>
                <w:sz w:val="21"/>
                <w:lang w:bidi="zh-CN"/>
              </w:rPr>
              <w:t>面积(ha)</w:t>
            </w:r>
          </w:p>
        </w:tc>
        <w:tc>
          <w:tcPr>
            <w:tcW w:w="935" w:type="pct"/>
            <w:tcBorders>
              <w:top w:val="single" w:color="000000" w:sz="4" w:space="0"/>
              <w:left w:val="single" w:color="000000" w:sz="4" w:space="0"/>
              <w:bottom w:val="single" w:color="000000" w:sz="4" w:space="0"/>
              <w:right w:val="single" w:color="000000" w:sz="4" w:space="0"/>
            </w:tcBorders>
            <w:vAlign w:val="center"/>
          </w:tcPr>
          <w:p w14:paraId="2E9387CB">
            <w:pPr>
              <w:spacing w:line="240" w:lineRule="auto"/>
              <w:ind w:firstLine="0" w:firstLineChars="0"/>
              <w:jc w:val="center"/>
              <w:rPr>
                <w:rFonts w:eastAsia="仿宋" w:cs="Times New Roman"/>
                <w:sz w:val="21"/>
                <w:lang w:bidi="zh-CN"/>
              </w:rPr>
            </w:pPr>
            <w:r>
              <w:rPr>
                <w:rFonts w:hint="eastAsia" w:eastAsia="仿宋" w:cs="Times New Roman"/>
                <w:sz w:val="21"/>
                <w:lang w:bidi="zh-CN"/>
              </w:rPr>
              <w:t>比重(%)</w:t>
            </w:r>
          </w:p>
        </w:tc>
        <w:tc>
          <w:tcPr>
            <w:tcW w:w="624" w:type="pct"/>
            <w:tcBorders>
              <w:top w:val="single" w:color="000000" w:sz="4" w:space="0"/>
              <w:left w:val="single" w:color="000000" w:sz="4" w:space="0"/>
              <w:bottom w:val="single" w:color="000000" w:sz="4" w:space="0"/>
              <w:right w:val="single" w:color="000000" w:sz="4" w:space="0"/>
            </w:tcBorders>
            <w:vAlign w:val="center"/>
          </w:tcPr>
          <w:p w14:paraId="6CCD4618">
            <w:pPr>
              <w:spacing w:line="240" w:lineRule="auto"/>
              <w:ind w:firstLine="0" w:firstLineChars="0"/>
              <w:jc w:val="center"/>
              <w:rPr>
                <w:rFonts w:eastAsia="仿宋" w:cs="Times New Roman"/>
                <w:sz w:val="21"/>
                <w:lang w:bidi="zh-CN"/>
              </w:rPr>
            </w:pPr>
            <w:r>
              <w:rPr>
                <w:rFonts w:hint="eastAsia" w:eastAsia="仿宋" w:cs="Times New Roman"/>
                <w:sz w:val="21"/>
                <w:lang w:bidi="zh-CN"/>
              </w:rPr>
              <w:t>面积(ha)</w:t>
            </w:r>
          </w:p>
        </w:tc>
        <w:tc>
          <w:tcPr>
            <w:tcW w:w="463" w:type="pct"/>
            <w:tcBorders>
              <w:top w:val="single" w:color="000000" w:sz="4" w:space="0"/>
              <w:left w:val="single" w:color="000000" w:sz="4" w:space="0"/>
              <w:bottom w:val="single" w:color="000000" w:sz="4" w:space="0"/>
              <w:right w:val="single" w:color="000000" w:sz="4" w:space="0"/>
            </w:tcBorders>
            <w:vAlign w:val="center"/>
          </w:tcPr>
          <w:p w14:paraId="1A06EE46">
            <w:pPr>
              <w:spacing w:line="240" w:lineRule="auto"/>
              <w:ind w:firstLine="0" w:firstLineChars="0"/>
              <w:jc w:val="center"/>
              <w:rPr>
                <w:rFonts w:eastAsia="仿宋" w:cs="Times New Roman"/>
                <w:sz w:val="21"/>
                <w:lang w:bidi="zh-CN"/>
              </w:rPr>
            </w:pPr>
            <w:r>
              <w:rPr>
                <w:rFonts w:hint="eastAsia" w:eastAsia="仿宋" w:cs="Times New Roman"/>
                <w:sz w:val="21"/>
                <w:lang w:bidi="zh-CN"/>
              </w:rPr>
              <w:t>比重(%)</w:t>
            </w:r>
          </w:p>
        </w:tc>
        <w:tc>
          <w:tcPr>
            <w:tcW w:w="978" w:type="pct"/>
            <w:vMerge w:val="continue"/>
            <w:tcBorders>
              <w:top w:val="single" w:color="000000" w:sz="4" w:space="0"/>
              <w:left w:val="single" w:color="000000" w:sz="4" w:space="0"/>
              <w:bottom w:val="single" w:color="000000" w:sz="4" w:space="0"/>
              <w:right w:val="single" w:color="000000" w:sz="4" w:space="0"/>
            </w:tcBorders>
            <w:vAlign w:val="center"/>
          </w:tcPr>
          <w:p w14:paraId="16EFA81B">
            <w:pPr>
              <w:spacing w:line="240" w:lineRule="auto"/>
              <w:ind w:firstLine="0" w:firstLineChars="0"/>
              <w:jc w:val="center"/>
              <w:rPr>
                <w:rFonts w:eastAsia="仿宋" w:cs="Times New Roman"/>
                <w:sz w:val="21"/>
                <w:lang w:bidi="zh-CN"/>
              </w:rPr>
            </w:pPr>
          </w:p>
        </w:tc>
      </w:tr>
      <w:tr w14:paraId="26EF1F61">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39B67F48">
            <w:pPr>
              <w:spacing w:line="240" w:lineRule="auto"/>
              <w:ind w:firstLine="0" w:firstLineChars="0"/>
              <w:jc w:val="center"/>
              <w:rPr>
                <w:rFonts w:eastAsia="仿宋" w:cs="Times New Roman"/>
                <w:sz w:val="21"/>
                <w:lang w:bidi="zh-CN"/>
              </w:rPr>
            </w:pPr>
            <w:r>
              <w:rPr>
                <w:rFonts w:hint="eastAsia" w:eastAsia="仿宋" w:cs="Times New Roman"/>
                <w:sz w:val="21"/>
                <w:lang w:bidi="zh-CN"/>
              </w:rPr>
              <w:t>耕地</w:t>
            </w:r>
          </w:p>
        </w:tc>
        <w:tc>
          <w:tcPr>
            <w:tcW w:w="560" w:type="pct"/>
            <w:tcBorders>
              <w:top w:val="single" w:color="000000" w:sz="4" w:space="0"/>
              <w:left w:val="single" w:color="000000" w:sz="4" w:space="0"/>
              <w:bottom w:val="single" w:color="000000" w:sz="4" w:space="0"/>
              <w:right w:val="single" w:color="000000" w:sz="4" w:space="0"/>
            </w:tcBorders>
            <w:vAlign w:val="center"/>
          </w:tcPr>
          <w:p w14:paraId="293DC161">
            <w:pPr>
              <w:spacing w:line="240" w:lineRule="auto"/>
              <w:ind w:firstLine="0" w:firstLineChars="0"/>
              <w:jc w:val="center"/>
              <w:rPr>
                <w:rFonts w:eastAsia="仿宋" w:cs="Times New Roman"/>
                <w:sz w:val="21"/>
                <w:lang w:bidi="zh-CN"/>
              </w:rPr>
            </w:pPr>
            <w:r>
              <w:rPr>
                <w:rFonts w:hint="eastAsia" w:eastAsia="仿宋" w:cs="Times New Roman"/>
                <w:sz w:val="21"/>
                <w:lang w:bidi="zh-CN"/>
              </w:rPr>
              <w:t>4.68</w:t>
            </w:r>
          </w:p>
        </w:tc>
        <w:tc>
          <w:tcPr>
            <w:tcW w:w="935" w:type="pct"/>
            <w:tcBorders>
              <w:top w:val="single" w:color="000000" w:sz="4" w:space="0"/>
              <w:left w:val="single" w:color="000000" w:sz="4" w:space="0"/>
              <w:bottom w:val="single" w:color="000000" w:sz="4" w:space="0"/>
              <w:right w:val="single" w:color="000000" w:sz="4" w:space="0"/>
            </w:tcBorders>
            <w:vAlign w:val="center"/>
          </w:tcPr>
          <w:p w14:paraId="41307703">
            <w:pPr>
              <w:spacing w:line="240" w:lineRule="auto"/>
              <w:ind w:firstLine="0" w:firstLineChars="0"/>
              <w:jc w:val="center"/>
              <w:rPr>
                <w:rFonts w:eastAsia="仿宋" w:cs="Times New Roman"/>
                <w:sz w:val="21"/>
                <w:lang w:bidi="zh-CN"/>
              </w:rPr>
            </w:pPr>
            <w:r>
              <w:rPr>
                <w:rFonts w:hint="eastAsia" w:eastAsia="仿宋" w:cs="Times New Roman"/>
                <w:sz w:val="21"/>
                <w:lang w:bidi="zh-CN"/>
              </w:rPr>
              <w:t>8.80</w:t>
            </w:r>
          </w:p>
        </w:tc>
        <w:tc>
          <w:tcPr>
            <w:tcW w:w="624" w:type="pct"/>
            <w:tcBorders>
              <w:top w:val="single" w:color="000000" w:sz="4" w:space="0"/>
              <w:left w:val="single" w:color="000000" w:sz="4" w:space="0"/>
              <w:bottom w:val="single" w:color="000000" w:sz="4" w:space="0"/>
              <w:right w:val="single" w:color="000000" w:sz="4" w:space="0"/>
            </w:tcBorders>
            <w:vAlign w:val="center"/>
          </w:tcPr>
          <w:p w14:paraId="7B528095">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463" w:type="pct"/>
            <w:tcBorders>
              <w:top w:val="single" w:color="000000" w:sz="4" w:space="0"/>
              <w:left w:val="single" w:color="000000" w:sz="4" w:space="0"/>
              <w:bottom w:val="single" w:color="000000" w:sz="4" w:space="0"/>
              <w:right w:val="single" w:color="000000" w:sz="4" w:space="0"/>
            </w:tcBorders>
            <w:vAlign w:val="center"/>
          </w:tcPr>
          <w:p w14:paraId="271BD3CF">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978" w:type="pct"/>
            <w:tcBorders>
              <w:top w:val="single" w:color="000000" w:sz="4" w:space="0"/>
              <w:left w:val="single" w:color="000000" w:sz="4" w:space="0"/>
              <w:bottom w:val="single" w:color="000000" w:sz="4" w:space="0"/>
              <w:right w:val="single" w:color="000000" w:sz="4" w:space="0"/>
            </w:tcBorders>
            <w:vAlign w:val="center"/>
          </w:tcPr>
          <w:p w14:paraId="71997374">
            <w:pPr>
              <w:spacing w:line="240" w:lineRule="auto"/>
              <w:ind w:firstLine="0" w:firstLineChars="0"/>
              <w:jc w:val="center"/>
              <w:rPr>
                <w:rFonts w:eastAsia="仿宋" w:cs="Times New Roman"/>
                <w:sz w:val="21"/>
                <w:lang w:bidi="zh-CN"/>
              </w:rPr>
            </w:pPr>
            <w:r>
              <w:rPr>
                <w:rFonts w:hint="eastAsia" w:eastAsia="仿宋" w:cs="Times New Roman"/>
                <w:sz w:val="21"/>
                <w:lang w:bidi="zh-CN"/>
              </w:rPr>
              <w:t>-4.68</w:t>
            </w:r>
          </w:p>
        </w:tc>
      </w:tr>
      <w:tr w14:paraId="14556350">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3E9397FE">
            <w:pPr>
              <w:spacing w:line="240" w:lineRule="auto"/>
              <w:ind w:firstLine="0" w:firstLineChars="0"/>
              <w:jc w:val="center"/>
              <w:rPr>
                <w:rFonts w:eastAsia="仿宋" w:cs="Times New Roman"/>
                <w:sz w:val="21"/>
                <w:lang w:bidi="zh-CN"/>
              </w:rPr>
            </w:pPr>
            <w:r>
              <w:rPr>
                <w:rFonts w:hint="eastAsia" w:eastAsia="仿宋" w:cs="Times New Roman"/>
                <w:sz w:val="21"/>
                <w:lang w:bidi="zh-CN"/>
              </w:rPr>
              <w:t>园地</w:t>
            </w:r>
          </w:p>
        </w:tc>
        <w:tc>
          <w:tcPr>
            <w:tcW w:w="560" w:type="pct"/>
            <w:tcBorders>
              <w:top w:val="single" w:color="000000" w:sz="4" w:space="0"/>
              <w:left w:val="single" w:color="000000" w:sz="4" w:space="0"/>
              <w:bottom w:val="single" w:color="000000" w:sz="4" w:space="0"/>
              <w:right w:val="single" w:color="000000" w:sz="4" w:space="0"/>
            </w:tcBorders>
            <w:vAlign w:val="center"/>
          </w:tcPr>
          <w:p w14:paraId="3F3AB740">
            <w:pPr>
              <w:spacing w:line="240" w:lineRule="auto"/>
              <w:ind w:firstLine="0" w:firstLineChars="0"/>
              <w:jc w:val="center"/>
              <w:rPr>
                <w:rFonts w:eastAsia="仿宋" w:cs="Times New Roman"/>
                <w:sz w:val="21"/>
                <w:lang w:bidi="zh-CN"/>
              </w:rPr>
            </w:pPr>
            <w:r>
              <w:rPr>
                <w:rFonts w:hint="eastAsia" w:eastAsia="仿宋" w:cs="Times New Roman"/>
                <w:sz w:val="21"/>
                <w:lang w:bidi="zh-CN"/>
              </w:rPr>
              <w:t>0.08</w:t>
            </w:r>
          </w:p>
        </w:tc>
        <w:tc>
          <w:tcPr>
            <w:tcW w:w="935" w:type="pct"/>
            <w:tcBorders>
              <w:top w:val="single" w:color="000000" w:sz="4" w:space="0"/>
              <w:left w:val="single" w:color="000000" w:sz="4" w:space="0"/>
              <w:bottom w:val="single" w:color="000000" w:sz="4" w:space="0"/>
              <w:right w:val="single" w:color="000000" w:sz="4" w:space="0"/>
            </w:tcBorders>
            <w:vAlign w:val="center"/>
          </w:tcPr>
          <w:p w14:paraId="4A94F322">
            <w:pPr>
              <w:spacing w:line="240" w:lineRule="auto"/>
              <w:ind w:firstLine="0" w:firstLineChars="0"/>
              <w:jc w:val="center"/>
              <w:rPr>
                <w:rFonts w:eastAsia="仿宋" w:cs="Times New Roman"/>
                <w:sz w:val="21"/>
                <w:lang w:bidi="zh-CN"/>
              </w:rPr>
            </w:pPr>
            <w:r>
              <w:rPr>
                <w:rFonts w:hint="eastAsia" w:eastAsia="仿宋" w:cs="Times New Roman"/>
                <w:sz w:val="21"/>
                <w:lang w:bidi="zh-CN"/>
              </w:rPr>
              <w:t>0.15</w:t>
            </w:r>
          </w:p>
        </w:tc>
        <w:tc>
          <w:tcPr>
            <w:tcW w:w="624" w:type="pct"/>
            <w:tcBorders>
              <w:top w:val="single" w:color="000000" w:sz="4" w:space="0"/>
              <w:left w:val="single" w:color="000000" w:sz="4" w:space="0"/>
              <w:bottom w:val="single" w:color="000000" w:sz="4" w:space="0"/>
              <w:right w:val="single" w:color="000000" w:sz="4" w:space="0"/>
            </w:tcBorders>
            <w:vAlign w:val="center"/>
          </w:tcPr>
          <w:p w14:paraId="4F4033DF">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463" w:type="pct"/>
            <w:tcBorders>
              <w:top w:val="single" w:color="000000" w:sz="4" w:space="0"/>
              <w:left w:val="single" w:color="000000" w:sz="4" w:space="0"/>
              <w:bottom w:val="single" w:color="000000" w:sz="4" w:space="0"/>
              <w:right w:val="single" w:color="000000" w:sz="4" w:space="0"/>
            </w:tcBorders>
            <w:vAlign w:val="center"/>
          </w:tcPr>
          <w:p w14:paraId="6D12C7A7">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978" w:type="pct"/>
            <w:tcBorders>
              <w:top w:val="single" w:color="000000" w:sz="4" w:space="0"/>
              <w:left w:val="single" w:color="000000" w:sz="4" w:space="0"/>
              <w:bottom w:val="single" w:color="000000" w:sz="4" w:space="0"/>
              <w:right w:val="single" w:color="000000" w:sz="4" w:space="0"/>
            </w:tcBorders>
            <w:vAlign w:val="center"/>
          </w:tcPr>
          <w:p w14:paraId="0482431D">
            <w:pPr>
              <w:spacing w:line="240" w:lineRule="auto"/>
              <w:ind w:firstLine="0" w:firstLineChars="0"/>
              <w:jc w:val="center"/>
              <w:rPr>
                <w:rFonts w:eastAsia="仿宋" w:cs="Times New Roman"/>
                <w:sz w:val="21"/>
                <w:lang w:bidi="zh-CN"/>
              </w:rPr>
            </w:pPr>
            <w:r>
              <w:rPr>
                <w:rFonts w:hint="eastAsia" w:eastAsia="仿宋" w:cs="Times New Roman"/>
                <w:sz w:val="21"/>
                <w:lang w:bidi="zh-CN"/>
              </w:rPr>
              <w:t>-0.08</w:t>
            </w:r>
          </w:p>
        </w:tc>
      </w:tr>
      <w:tr w14:paraId="073DED59">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2ACFBB3F">
            <w:pPr>
              <w:spacing w:line="240" w:lineRule="auto"/>
              <w:ind w:firstLine="0" w:firstLineChars="0"/>
              <w:jc w:val="center"/>
              <w:rPr>
                <w:rFonts w:eastAsia="仿宋" w:cs="Times New Roman"/>
                <w:sz w:val="21"/>
                <w:lang w:bidi="zh-CN"/>
              </w:rPr>
            </w:pPr>
            <w:r>
              <w:rPr>
                <w:rFonts w:hint="eastAsia" w:eastAsia="仿宋" w:cs="Times New Roman"/>
                <w:sz w:val="21"/>
                <w:lang w:bidi="zh-CN"/>
              </w:rPr>
              <w:t>林地</w:t>
            </w:r>
          </w:p>
        </w:tc>
        <w:tc>
          <w:tcPr>
            <w:tcW w:w="560" w:type="pct"/>
            <w:tcBorders>
              <w:top w:val="single" w:color="000000" w:sz="4" w:space="0"/>
              <w:left w:val="single" w:color="000000" w:sz="4" w:space="0"/>
              <w:bottom w:val="single" w:color="000000" w:sz="4" w:space="0"/>
              <w:right w:val="single" w:color="000000" w:sz="4" w:space="0"/>
            </w:tcBorders>
            <w:vAlign w:val="center"/>
          </w:tcPr>
          <w:p w14:paraId="7E4F28CA">
            <w:pPr>
              <w:spacing w:line="240" w:lineRule="auto"/>
              <w:ind w:firstLine="0" w:firstLineChars="0"/>
              <w:jc w:val="center"/>
              <w:rPr>
                <w:rFonts w:eastAsia="仿宋" w:cs="Times New Roman"/>
                <w:sz w:val="21"/>
                <w:lang w:bidi="zh-CN"/>
              </w:rPr>
            </w:pPr>
            <w:r>
              <w:rPr>
                <w:rFonts w:hint="eastAsia" w:eastAsia="仿宋" w:cs="Times New Roman"/>
                <w:sz w:val="21"/>
                <w:lang w:bidi="zh-CN"/>
              </w:rPr>
              <w:t>0.46</w:t>
            </w:r>
          </w:p>
        </w:tc>
        <w:tc>
          <w:tcPr>
            <w:tcW w:w="935" w:type="pct"/>
            <w:tcBorders>
              <w:top w:val="single" w:color="000000" w:sz="4" w:space="0"/>
              <w:left w:val="single" w:color="000000" w:sz="4" w:space="0"/>
              <w:bottom w:val="single" w:color="000000" w:sz="4" w:space="0"/>
              <w:right w:val="single" w:color="000000" w:sz="4" w:space="0"/>
            </w:tcBorders>
            <w:vAlign w:val="center"/>
          </w:tcPr>
          <w:p w14:paraId="3DDCC378">
            <w:pPr>
              <w:spacing w:line="240" w:lineRule="auto"/>
              <w:ind w:firstLine="0" w:firstLineChars="0"/>
              <w:jc w:val="center"/>
              <w:rPr>
                <w:rFonts w:eastAsia="仿宋" w:cs="Times New Roman"/>
                <w:sz w:val="21"/>
                <w:lang w:bidi="zh-CN"/>
              </w:rPr>
            </w:pPr>
            <w:r>
              <w:rPr>
                <w:rFonts w:hint="eastAsia" w:eastAsia="仿宋" w:cs="Times New Roman"/>
                <w:sz w:val="21"/>
                <w:lang w:bidi="zh-CN"/>
              </w:rPr>
              <w:t>0.87</w:t>
            </w:r>
          </w:p>
        </w:tc>
        <w:tc>
          <w:tcPr>
            <w:tcW w:w="624" w:type="pct"/>
            <w:tcBorders>
              <w:top w:val="single" w:color="000000" w:sz="4" w:space="0"/>
              <w:left w:val="single" w:color="000000" w:sz="4" w:space="0"/>
              <w:bottom w:val="single" w:color="000000" w:sz="4" w:space="0"/>
              <w:right w:val="single" w:color="000000" w:sz="4" w:space="0"/>
            </w:tcBorders>
            <w:vAlign w:val="center"/>
          </w:tcPr>
          <w:p w14:paraId="5943B69F">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463" w:type="pct"/>
            <w:tcBorders>
              <w:top w:val="single" w:color="000000" w:sz="4" w:space="0"/>
              <w:left w:val="single" w:color="000000" w:sz="4" w:space="0"/>
              <w:bottom w:val="single" w:color="000000" w:sz="4" w:space="0"/>
              <w:right w:val="single" w:color="000000" w:sz="4" w:space="0"/>
            </w:tcBorders>
            <w:vAlign w:val="center"/>
          </w:tcPr>
          <w:p w14:paraId="15C1DE69">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978" w:type="pct"/>
            <w:tcBorders>
              <w:top w:val="single" w:color="000000" w:sz="4" w:space="0"/>
              <w:left w:val="single" w:color="000000" w:sz="4" w:space="0"/>
              <w:bottom w:val="single" w:color="000000" w:sz="4" w:space="0"/>
              <w:right w:val="single" w:color="000000" w:sz="4" w:space="0"/>
            </w:tcBorders>
            <w:vAlign w:val="center"/>
          </w:tcPr>
          <w:p w14:paraId="497E2428">
            <w:pPr>
              <w:spacing w:line="240" w:lineRule="auto"/>
              <w:ind w:firstLine="0" w:firstLineChars="0"/>
              <w:jc w:val="center"/>
              <w:rPr>
                <w:rFonts w:eastAsia="仿宋" w:cs="Times New Roman"/>
                <w:sz w:val="21"/>
                <w:lang w:bidi="zh-CN"/>
              </w:rPr>
            </w:pPr>
            <w:r>
              <w:rPr>
                <w:rFonts w:hint="eastAsia" w:eastAsia="仿宋" w:cs="Times New Roman"/>
                <w:sz w:val="21"/>
                <w:lang w:bidi="zh-CN"/>
              </w:rPr>
              <w:t>-0.46</w:t>
            </w:r>
          </w:p>
        </w:tc>
      </w:tr>
      <w:tr w14:paraId="518638CF">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6DC72880">
            <w:pPr>
              <w:spacing w:line="240" w:lineRule="auto"/>
              <w:ind w:firstLine="0" w:firstLineChars="0"/>
              <w:jc w:val="center"/>
              <w:rPr>
                <w:rFonts w:eastAsia="仿宋" w:cs="Times New Roman"/>
                <w:sz w:val="21"/>
                <w:lang w:bidi="zh-CN"/>
              </w:rPr>
            </w:pPr>
            <w:r>
              <w:rPr>
                <w:rFonts w:hint="eastAsia" w:eastAsia="仿宋" w:cs="Times New Roman"/>
                <w:sz w:val="21"/>
                <w:lang w:bidi="zh-CN"/>
              </w:rPr>
              <w:t>草地</w:t>
            </w:r>
          </w:p>
        </w:tc>
        <w:tc>
          <w:tcPr>
            <w:tcW w:w="560" w:type="pct"/>
            <w:tcBorders>
              <w:top w:val="single" w:color="000000" w:sz="4" w:space="0"/>
              <w:left w:val="single" w:color="000000" w:sz="4" w:space="0"/>
              <w:bottom w:val="single" w:color="000000" w:sz="4" w:space="0"/>
              <w:right w:val="single" w:color="000000" w:sz="4" w:space="0"/>
            </w:tcBorders>
            <w:vAlign w:val="center"/>
          </w:tcPr>
          <w:p w14:paraId="0C69A70C">
            <w:pPr>
              <w:spacing w:line="240" w:lineRule="auto"/>
              <w:ind w:firstLine="0" w:firstLineChars="0"/>
              <w:jc w:val="center"/>
              <w:rPr>
                <w:rFonts w:eastAsia="仿宋" w:cs="Times New Roman"/>
                <w:sz w:val="21"/>
                <w:lang w:bidi="zh-CN"/>
              </w:rPr>
            </w:pPr>
            <w:r>
              <w:rPr>
                <w:rFonts w:hint="eastAsia" w:eastAsia="仿宋" w:cs="Times New Roman"/>
                <w:sz w:val="21"/>
                <w:lang w:bidi="zh-CN"/>
              </w:rPr>
              <w:t>0.11</w:t>
            </w:r>
          </w:p>
        </w:tc>
        <w:tc>
          <w:tcPr>
            <w:tcW w:w="935" w:type="pct"/>
            <w:tcBorders>
              <w:top w:val="single" w:color="000000" w:sz="4" w:space="0"/>
              <w:left w:val="single" w:color="000000" w:sz="4" w:space="0"/>
              <w:bottom w:val="single" w:color="000000" w:sz="4" w:space="0"/>
              <w:right w:val="single" w:color="000000" w:sz="4" w:space="0"/>
            </w:tcBorders>
            <w:vAlign w:val="center"/>
          </w:tcPr>
          <w:p w14:paraId="4C3A243E">
            <w:pPr>
              <w:spacing w:line="240" w:lineRule="auto"/>
              <w:ind w:firstLine="0" w:firstLineChars="0"/>
              <w:jc w:val="center"/>
              <w:rPr>
                <w:rFonts w:eastAsia="仿宋" w:cs="Times New Roman"/>
                <w:sz w:val="21"/>
                <w:lang w:bidi="zh-CN"/>
              </w:rPr>
            </w:pPr>
            <w:r>
              <w:rPr>
                <w:rFonts w:hint="eastAsia" w:eastAsia="仿宋" w:cs="Times New Roman"/>
                <w:sz w:val="21"/>
                <w:lang w:bidi="zh-CN"/>
              </w:rPr>
              <w:t>0.21</w:t>
            </w:r>
          </w:p>
        </w:tc>
        <w:tc>
          <w:tcPr>
            <w:tcW w:w="624" w:type="pct"/>
            <w:tcBorders>
              <w:top w:val="single" w:color="000000" w:sz="4" w:space="0"/>
              <w:left w:val="single" w:color="000000" w:sz="4" w:space="0"/>
              <w:bottom w:val="single" w:color="000000" w:sz="4" w:space="0"/>
              <w:right w:val="single" w:color="000000" w:sz="4" w:space="0"/>
            </w:tcBorders>
            <w:vAlign w:val="center"/>
          </w:tcPr>
          <w:p w14:paraId="6D8D30CB">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463" w:type="pct"/>
            <w:tcBorders>
              <w:top w:val="single" w:color="000000" w:sz="4" w:space="0"/>
              <w:left w:val="single" w:color="000000" w:sz="4" w:space="0"/>
              <w:bottom w:val="single" w:color="000000" w:sz="4" w:space="0"/>
              <w:right w:val="single" w:color="000000" w:sz="4" w:space="0"/>
            </w:tcBorders>
            <w:vAlign w:val="center"/>
          </w:tcPr>
          <w:p w14:paraId="5C95C684">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978" w:type="pct"/>
            <w:tcBorders>
              <w:top w:val="single" w:color="000000" w:sz="4" w:space="0"/>
              <w:left w:val="single" w:color="000000" w:sz="4" w:space="0"/>
              <w:bottom w:val="single" w:color="000000" w:sz="4" w:space="0"/>
              <w:right w:val="single" w:color="000000" w:sz="4" w:space="0"/>
            </w:tcBorders>
            <w:vAlign w:val="center"/>
          </w:tcPr>
          <w:p w14:paraId="78EDB002">
            <w:pPr>
              <w:spacing w:line="240" w:lineRule="auto"/>
              <w:ind w:firstLine="0" w:firstLineChars="0"/>
              <w:jc w:val="center"/>
              <w:rPr>
                <w:rFonts w:eastAsia="仿宋" w:cs="Times New Roman"/>
                <w:sz w:val="21"/>
                <w:lang w:bidi="zh-CN"/>
              </w:rPr>
            </w:pPr>
            <w:r>
              <w:rPr>
                <w:rFonts w:hint="eastAsia" w:eastAsia="仿宋" w:cs="Times New Roman"/>
                <w:sz w:val="21"/>
                <w:lang w:bidi="zh-CN"/>
              </w:rPr>
              <w:t>-0.11</w:t>
            </w:r>
          </w:p>
        </w:tc>
      </w:tr>
      <w:tr w14:paraId="6B627828">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253E2F3F">
            <w:pPr>
              <w:spacing w:line="240" w:lineRule="auto"/>
              <w:ind w:firstLine="0" w:firstLineChars="0"/>
              <w:jc w:val="center"/>
              <w:rPr>
                <w:rFonts w:eastAsia="仿宋" w:cs="Times New Roman"/>
                <w:sz w:val="21"/>
                <w:lang w:bidi="zh-CN"/>
              </w:rPr>
            </w:pPr>
            <w:r>
              <w:rPr>
                <w:rFonts w:hint="eastAsia" w:eastAsia="仿宋" w:cs="Times New Roman"/>
                <w:sz w:val="21"/>
                <w:lang w:bidi="zh-CN"/>
              </w:rPr>
              <w:t>农业设施建设用地</w:t>
            </w:r>
          </w:p>
        </w:tc>
        <w:tc>
          <w:tcPr>
            <w:tcW w:w="560" w:type="pct"/>
            <w:tcBorders>
              <w:top w:val="single" w:color="000000" w:sz="4" w:space="0"/>
              <w:left w:val="single" w:color="000000" w:sz="4" w:space="0"/>
              <w:bottom w:val="single" w:color="000000" w:sz="4" w:space="0"/>
              <w:right w:val="single" w:color="000000" w:sz="4" w:space="0"/>
            </w:tcBorders>
            <w:vAlign w:val="center"/>
          </w:tcPr>
          <w:p w14:paraId="5DA759C1">
            <w:pPr>
              <w:spacing w:line="240" w:lineRule="auto"/>
              <w:ind w:firstLine="0" w:firstLineChars="0"/>
              <w:jc w:val="center"/>
              <w:rPr>
                <w:rFonts w:eastAsia="仿宋" w:cs="Times New Roman"/>
                <w:sz w:val="21"/>
                <w:lang w:bidi="zh-CN"/>
              </w:rPr>
            </w:pPr>
            <w:r>
              <w:rPr>
                <w:rFonts w:hint="eastAsia" w:eastAsia="仿宋" w:cs="Times New Roman"/>
                <w:sz w:val="21"/>
                <w:lang w:bidi="zh-CN"/>
              </w:rPr>
              <w:t>0.60</w:t>
            </w:r>
          </w:p>
        </w:tc>
        <w:tc>
          <w:tcPr>
            <w:tcW w:w="935" w:type="pct"/>
            <w:tcBorders>
              <w:top w:val="single" w:color="000000" w:sz="4" w:space="0"/>
              <w:left w:val="single" w:color="000000" w:sz="4" w:space="0"/>
              <w:bottom w:val="single" w:color="000000" w:sz="4" w:space="0"/>
              <w:right w:val="single" w:color="000000" w:sz="4" w:space="0"/>
            </w:tcBorders>
            <w:vAlign w:val="center"/>
          </w:tcPr>
          <w:p w14:paraId="782B2118">
            <w:pPr>
              <w:spacing w:line="240" w:lineRule="auto"/>
              <w:ind w:firstLine="0" w:firstLineChars="0"/>
              <w:jc w:val="center"/>
              <w:rPr>
                <w:rFonts w:eastAsia="仿宋" w:cs="Times New Roman"/>
                <w:sz w:val="21"/>
                <w:lang w:bidi="zh-CN"/>
              </w:rPr>
            </w:pPr>
            <w:r>
              <w:rPr>
                <w:rFonts w:hint="eastAsia" w:eastAsia="仿宋" w:cs="Times New Roman"/>
                <w:sz w:val="21"/>
                <w:lang w:bidi="zh-CN"/>
              </w:rPr>
              <w:t>1.12</w:t>
            </w:r>
          </w:p>
        </w:tc>
        <w:tc>
          <w:tcPr>
            <w:tcW w:w="624" w:type="pct"/>
            <w:tcBorders>
              <w:top w:val="single" w:color="000000" w:sz="4" w:space="0"/>
              <w:left w:val="single" w:color="000000" w:sz="4" w:space="0"/>
              <w:bottom w:val="single" w:color="000000" w:sz="4" w:space="0"/>
              <w:right w:val="single" w:color="000000" w:sz="4" w:space="0"/>
            </w:tcBorders>
            <w:vAlign w:val="center"/>
          </w:tcPr>
          <w:p w14:paraId="29A189B6">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463" w:type="pct"/>
            <w:tcBorders>
              <w:top w:val="single" w:color="000000" w:sz="4" w:space="0"/>
              <w:left w:val="single" w:color="000000" w:sz="4" w:space="0"/>
              <w:bottom w:val="single" w:color="000000" w:sz="4" w:space="0"/>
              <w:right w:val="single" w:color="000000" w:sz="4" w:space="0"/>
            </w:tcBorders>
            <w:vAlign w:val="center"/>
          </w:tcPr>
          <w:p w14:paraId="352CC57D">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978" w:type="pct"/>
            <w:tcBorders>
              <w:top w:val="single" w:color="000000" w:sz="4" w:space="0"/>
              <w:left w:val="single" w:color="000000" w:sz="4" w:space="0"/>
              <w:bottom w:val="single" w:color="000000" w:sz="4" w:space="0"/>
              <w:right w:val="single" w:color="000000" w:sz="4" w:space="0"/>
            </w:tcBorders>
            <w:vAlign w:val="center"/>
          </w:tcPr>
          <w:p w14:paraId="11A112FF">
            <w:pPr>
              <w:spacing w:line="240" w:lineRule="auto"/>
              <w:ind w:firstLine="0" w:firstLineChars="0"/>
              <w:jc w:val="center"/>
              <w:rPr>
                <w:rFonts w:eastAsia="仿宋" w:cs="Times New Roman"/>
                <w:sz w:val="21"/>
                <w:lang w:bidi="zh-CN"/>
              </w:rPr>
            </w:pPr>
            <w:r>
              <w:rPr>
                <w:rFonts w:hint="eastAsia" w:eastAsia="仿宋" w:cs="Times New Roman"/>
                <w:sz w:val="21"/>
                <w:lang w:bidi="zh-CN"/>
              </w:rPr>
              <w:t>-0.60</w:t>
            </w:r>
          </w:p>
        </w:tc>
      </w:tr>
      <w:tr w14:paraId="13A720A3">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3BA88739">
            <w:pPr>
              <w:spacing w:line="240" w:lineRule="auto"/>
              <w:ind w:firstLine="0" w:firstLineChars="0"/>
              <w:jc w:val="center"/>
              <w:rPr>
                <w:rFonts w:eastAsia="仿宋" w:cs="Times New Roman"/>
                <w:sz w:val="21"/>
                <w:lang w:bidi="zh-CN"/>
              </w:rPr>
            </w:pPr>
            <w:r>
              <w:rPr>
                <w:rFonts w:hint="eastAsia" w:eastAsia="仿宋" w:cs="Times New Roman"/>
                <w:sz w:val="21"/>
                <w:lang w:bidi="zh-CN"/>
              </w:rPr>
              <w:t>居住用地</w:t>
            </w:r>
          </w:p>
        </w:tc>
        <w:tc>
          <w:tcPr>
            <w:tcW w:w="560" w:type="pct"/>
            <w:tcBorders>
              <w:top w:val="single" w:color="000000" w:sz="4" w:space="0"/>
              <w:left w:val="single" w:color="000000" w:sz="4" w:space="0"/>
              <w:bottom w:val="single" w:color="000000" w:sz="4" w:space="0"/>
              <w:right w:val="single" w:color="000000" w:sz="4" w:space="0"/>
            </w:tcBorders>
            <w:vAlign w:val="center"/>
          </w:tcPr>
          <w:p w14:paraId="4B5876BD">
            <w:pPr>
              <w:spacing w:line="240" w:lineRule="auto"/>
              <w:ind w:firstLine="0" w:firstLineChars="0"/>
              <w:jc w:val="center"/>
              <w:rPr>
                <w:rFonts w:eastAsia="仿宋" w:cs="Times New Roman"/>
                <w:sz w:val="21"/>
                <w:lang w:bidi="zh-CN"/>
              </w:rPr>
            </w:pPr>
            <w:r>
              <w:rPr>
                <w:rFonts w:hint="eastAsia" w:eastAsia="仿宋" w:cs="Times New Roman"/>
                <w:sz w:val="21"/>
                <w:lang w:bidi="zh-CN"/>
              </w:rPr>
              <w:t>10.82</w:t>
            </w:r>
          </w:p>
        </w:tc>
        <w:tc>
          <w:tcPr>
            <w:tcW w:w="935" w:type="pct"/>
            <w:tcBorders>
              <w:top w:val="single" w:color="000000" w:sz="4" w:space="0"/>
              <w:left w:val="single" w:color="000000" w:sz="4" w:space="0"/>
              <w:bottom w:val="single" w:color="000000" w:sz="4" w:space="0"/>
              <w:right w:val="single" w:color="000000" w:sz="4" w:space="0"/>
            </w:tcBorders>
            <w:vAlign w:val="center"/>
          </w:tcPr>
          <w:p w14:paraId="1BD0131E">
            <w:pPr>
              <w:spacing w:line="240" w:lineRule="auto"/>
              <w:ind w:firstLine="0" w:firstLineChars="0"/>
              <w:jc w:val="center"/>
              <w:rPr>
                <w:rFonts w:eastAsia="仿宋" w:cs="Times New Roman"/>
                <w:sz w:val="21"/>
                <w:lang w:bidi="zh-CN"/>
              </w:rPr>
            </w:pPr>
            <w:r>
              <w:rPr>
                <w:rFonts w:hint="eastAsia" w:eastAsia="仿宋" w:cs="Times New Roman"/>
                <w:sz w:val="21"/>
                <w:lang w:bidi="zh-CN"/>
              </w:rPr>
              <w:t>20.35</w:t>
            </w:r>
          </w:p>
        </w:tc>
        <w:tc>
          <w:tcPr>
            <w:tcW w:w="624" w:type="pct"/>
            <w:tcBorders>
              <w:top w:val="single" w:color="000000" w:sz="4" w:space="0"/>
              <w:left w:val="single" w:color="000000" w:sz="4" w:space="0"/>
              <w:bottom w:val="single" w:color="000000" w:sz="4" w:space="0"/>
              <w:right w:val="single" w:color="000000" w:sz="4" w:space="0"/>
            </w:tcBorders>
            <w:vAlign w:val="center"/>
          </w:tcPr>
          <w:p w14:paraId="187A334D">
            <w:pPr>
              <w:spacing w:line="240" w:lineRule="auto"/>
              <w:ind w:firstLine="0" w:firstLineChars="0"/>
              <w:jc w:val="center"/>
              <w:rPr>
                <w:rFonts w:eastAsia="仿宋" w:cs="Times New Roman"/>
                <w:sz w:val="21"/>
                <w:lang w:bidi="zh-CN"/>
              </w:rPr>
            </w:pPr>
            <w:r>
              <w:rPr>
                <w:rFonts w:hint="eastAsia" w:eastAsia="仿宋" w:cs="Times New Roman"/>
                <w:sz w:val="21"/>
                <w:lang w:bidi="zh-CN"/>
              </w:rPr>
              <w:t>14.57</w:t>
            </w:r>
          </w:p>
        </w:tc>
        <w:tc>
          <w:tcPr>
            <w:tcW w:w="463" w:type="pct"/>
            <w:tcBorders>
              <w:top w:val="single" w:color="000000" w:sz="4" w:space="0"/>
              <w:left w:val="single" w:color="000000" w:sz="4" w:space="0"/>
              <w:bottom w:val="single" w:color="000000" w:sz="4" w:space="0"/>
              <w:right w:val="single" w:color="000000" w:sz="4" w:space="0"/>
            </w:tcBorders>
            <w:vAlign w:val="center"/>
          </w:tcPr>
          <w:p w14:paraId="230EDCCD">
            <w:pPr>
              <w:spacing w:line="240" w:lineRule="auto"/>
              <w:ind w:firstLine="0" w:firstLineChars="0"/>
              <w:jc w:val="center"/>
              <w:rPr>
                <w:rFonts w:eastAsia="仿宋" w:cs="Times New Roman"/>
                <w:sz w:val="21"/>
                <w:lang w:bidi="zh-CN"/>
              </w:rPr>
            </w:pPr>
            <w:r>
              <w:rPr>
                <w:rFonts w:hint="eastAsia" w:eastAsia="仿宋" w:cs="Times New Roman"/>
                <w:sz w:val="21"/>
                <w:lang w:bidi="zh-CN"/>
              </w:rPr>
              <w:t>27.41</w:t>
            </w:r>
          </w:p>
        </w:tc>
        <w:tc>
          <w:tcPr>
            <w:tcW w:w="978" w:type="pct"/>
            <w:tcBorders>
              <w:top w:val="single" w:color="000000" w:sz="4" w:space="0"/>
              <w:left w:val="single" w:color="000000" w:sz="4" w:space="0"/>
              <w:bottom w:val="single" w:color="000000" w:sz="4" w:space="0"/>
              <w:right w:val="single" w:color="000000" w:sz="4" w:space="0"/>
            </w:tcBorders>
            <w:vAlign w:val="center"/>
          </w:tcPr>
          <w:p w14:paraId="0C39776C">
            <w:pPr>
              <w:spacing w:line="240" w:lineRule="auto"/>
              <w:ind w:firstLine="0" w:firstLineChars="0"/>
              <w:jc w:val="center"/>
              <w:rPr>
                <w:rFonts w:eastAsia="仿宋" w:cs="Times New Roman"/>
                <w:sz w:val="21"/>
                <w:lang w:bidi="zh-CN"/>
              </w:rPr>
            </w:pPr>
            <w:r>
              <w:rPr>
                <w:rFonts w:hint="eastAsia" w:eastAsia="仿宋" w:cs="Times New Roman"/>
                <w:sz w:val="21"/>
                <w:lang w:bidi="zh-CN"/>
              </w:rPr>
              <w:t>3.75</w:t>
            </w:r>
          </w:p>
        </w:tc>
      </w:tr>
      <w:tr w14:paraId="79341F55">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0D9BBBC0">
            <w:pPr>
              <w:spacing w:line="240" w:lineRule="auto"/>
              <w:ind w:firstLine="0" w:firstLineChars="0"/>
              <w:jc w:val="center"/>
              <w:rPr>
                <w:rFonts w:eastAsia="仿宋" w:cs="Times New Roman"/>
                <w:sz w:val="21"/>
                <w:lang w:bidi="zh-CN"/>
              </w:rPr>
            </w:pPr>
            <w:r>
              <w:rPr>
                <w:rFonts w:hint="eastAsia" w:eastAsia="仿宋" w:cs="Times New Roman"/>
                <w:sz w:val="21"/>
                <w:lang w:bidi="zh-CN"/>
              </w:rPr>
              <w:t>公共管理与公共服务用地</w:t>
            </w:r>
          </w:p>
        </w:tc>
        <w:tc>
          <w:tcPr>
            <w:tcW w:w="560" w:type="pct"/>
            <w:tcBorders>
              <w:top w:val="single" w:color="000000" w:sz="4" w:space="0"/>
              <w:left w:val="single" w:color="000000" w:sz="4" w:space="0"/>
              <w:bottom w:val="single" w:color="000000" w:sz="4" w:space="0"/>
              <w:right w:val="single" w:color="000000" w:sz="4" w:space="0"/>
            </w:tcBorders>
            <w:vAlign w:val="center"/>
          </w:tcPr>
          <w:p w14:paraId="2A7E6083">
            <w:pPr>
              <w:spacing w:line="240" w:lineRule="auto"/>
              <w:ind w:firstLine="0" w:firstLineChars="0"/>
              <w:jc w:val="center"/>
              <w:rPr>
                <w:rFonts w:eastAsia="仿宋" w:cs="Times New Roman"/>
                <w:sz w:val="21"/>
                <w:lang w:bidi="zh-CN"/>
              </w:rPr>
            </w:pPr>
            <w:r>
              <w:rPr>
                <w:rFonts w:hint="eastAsia" w:eastAsia="仿宋" w:cs="Times New Roman"/>
                <w:sz w:val="21"/>
                <w:lang w:bidi="zh-CN"/>
              </w:rPr>
              <w:t>5.07</w:t>
            </w:r>
          </w:p>
        </w:tc>
        <w:tc>
          <w:tcPr>
            <w:tcW w:w="935" w:type="pct"/>
            <w:tcBorders>
              <w:top w:val="single" w:color="000000" w:sz="4" w:space="0"/>
              <w:left w:val="single" w:color="000000" w:sz="4" w:space="0"/>
              <w:bottom w:val="single" w:color="000000" w:sz="4" w:space="0"/>
              <w:right w:val="single" w:color="000000" w:sz="4" w:space="0"/>
            </w:tcBorders>
            <w:vAlign w:val="center"/>
          </w:tcPr>
          <w:p w14:paraId="4D493810">
            <w:pPr>
              <w:spacing w:line="240" w:lineRule="auto"/>
              <w:ind w:firstLine="0" w:firstLineChars="0"/>
              <w:jc w:val="center"/>
              <w:rPr>
                <w:rFonts w:eastAsia="仿宋" w:cs="Times New Roman"/>
                <w:sz w:val="21"/>
                <w:lang w:bidi="zh-CN"/>
              </w:rPr>
            </w:pPr>
            <w:r>
              <w:rPr>
                <w:rFonts w:hint="eastAsia" w:eastAsia="仿宋" w:cs="Times New Roman"/>
                <w:sz w:val="21"/>
                <w:lang w:bidi="zh-CN"/>
              </w:rPr>
              <w:t>9.54</w:t>
            </w:r>
          </w:p>
        </w:tc>
        <w:tc>
          <w:tcPr>
            <w:tcW w:w="624" w:type="pct"/>
            <w:tcBorders>
              <w:top w:val="single" w:color="000000" w:sz="4" w:space="0"/>
              <w:left w:val="single" w:color="000000" w:sz="4" w:space="0"/>
              <w:bottom w:val="single" w:color="000000" w:sz="4" w:space="0"/>
              <w:right w:val="single" w:color="000000" w:sz="4" w:space="0"/>
            </w:tcBorders>
            <w:vAlign w:val="center"/>
          </w:tcPr>
          <w:p w14:paraId="0CF899AE">
            <w:pPr>
              <w:spacing w:line="240" w:lineRule="auto"/>
              <w:ind w:firstLine="0" w:firstLineChars="0"/>
              <w:jc w:val="center"/>
              <w:rPr>
                <w:rFonts w:eastAsia="仿宋" w:cs="Times New Roman"/>
                <w:sz w:val="21"/>
                <w:lang w:bidi="zh-CN"/>
              </w:rPr>
            </w:pPr>
            <w:r>
              <w:rPr>
                <w:rFonts w:hint="eastAsia" w:eastAsia="仿宋" w:cs="Times New Roman"/>
                <w:sz w:val="21"/>
                <w:lang w:bidi="zh-CN"/>
              </w:rPr>
              <w:t>4.11</w:t>
            </w:r>
          </w:p>
        </w:tc>
        <w:tc>
          <w:tcPr>
            <w:tcW w:w="463" w:type="pct"/>
            <w:tcBorders>
              <w:top w:val="single" w:color="000000" w:sz="4" w:space="0"/>
              <w:left w:val="single" w:color="000000" w:sz="4" w:space="0"/>
              <w:bottom w:val="single" w:color="000000" w:sz="4" w:space="0"/>
              <w:right w:val="single" w:color="000000" w:sz="4" w:space="0"/>
            </w:tcBorders>
            <w:vAlign w:val="center"/>
          </w:tcPr>
          <w:p w14:paraId="382C4FD9">
            <w:pPr>
              <w:spacing w:line="240" w:lineRule="auto"/>
              <w:ind w:firstLine="0" w:firstLineChars="0"/>
              <w:jc w:val="center"/>
              <w:rPr>
                <w:rFonts w:eastAsia="仿宋" w:cs="Times New Roman"/>
                <w:sz w:val="21"/>
                <w:lang w:bidi="zh-CN"/>
              </w:rPr>
            </w:pPr>
            <w:r>
              <w:rPr>
                <w:rFonts w:hint="eastAsia" w:eastAsia="仿宋" w:cs="Times New Roman"/>
                <w:sz w:val="21"/>
                <w:lang w:bidi="zh-CN"/>
              </w:rPr>
              <w:t>7.74</w:t>
            </w:r>
          </w:p>
        </w:tc>
        <w:tc>
          <w:tcPr>
            <w:tcW w:w="978" w:type="pct"/>
            <w:tcBorders>
              <w:top w:val="single" w:color="000000" w:sz="4" w:space="0"/>
              <w:left w:val="single" w:color="000000" w:sz="4" w:space="0"/>
              <w:bottom w:val="single" w:color="000000" w:sz="4" w:space="0"/>
              <w:right w:val="single" w:color="000000" w:sz="4" w:space="0"/>
            </w:tcBorders>
            <w:vAlign w:val="center"/>
          </w:tcPr>
          <w:p w14:paraId="1700150C">
            <w:pPr>
              <w:spacing w:line="240" w:lineRule="auto"/>
              <w:ind w:firstLine="0" w:firstLineChars="0"/>
              <w:jc w:val="center"/>
              <w:rPr>
                <w:rFonts w:eastAsia="仿宋" w:cs="Times New Roman"/>
                <w:sz w:val="21"/>
                <w:lang w:bidi="zh-CN"/>
              </w:rPr>
            </w:pPr>
            <w:r>
              <w:rPr>
                <w:rFonts w:hint="eastAsia" w:eastAsia="仿宋" w:cs="Times New Roman"/>
                <w:sz w:val="21"/>
                <w:lang w:bidi="zh-CN"/>
              </w:rPr>
              <w:t>-0.96</w:t>
            </w:r>
          </w:p>
        </w:tc>
      </w:tr>
      <w:tr w14:paraId="45EBEC50">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5FA30600">
            <w:pPr>
              <w:spacing w:line="240" w:lineRule="auto"/>
              <w:ind w:firstLine="0" w:firstLineChars="0"/>
              <w:jc w:val="center"/>
              <w:rPr>
                <w:rFonts w:eastAsia="仿宋" w:cs="Times New Roman"/>
                <w:sz w:val="21"/>
                <w:lang w:bidi="zh-CN"/>
              </w:rPr>
            </w:pPr>
            <w:r>
              <w:rPr>
                <w:rFonts w:hint="eastAsia" w:eastAsia="仿宋" w:cs="Times New Roman"/>
                <w:sz w:val="21"/>
                <w:lang w:bidi="zh-CN"/>
              </w:rPr>
              <w:t>商业服务业用地</w:t>
            </w:r>
          </w:p>
        </w:tc>
        <w:tc>
          <w:tcPr>
            <w:tcW w:w="560" w:type="pct"/>
            <w:tcBorders>
              <w:top w:val="single" w:color="000000" w:sz="4" w:space="0"/>
              <w:left w:val="single" w:color="000000" w:sz="4" w:space="0"/>
              <w:bottom w:val="single" w:color="000000" w:sz="4" w:space="0"/>
              <w:right w:val="single" w:color="000000" w:sz="4" w:space="0"/>
            </w:tcBorders>
            <w:vAlign w:val="center"/>
          </w:tcPr>
          <w:p w14:paraId="0C2A0D3D">
            <w:pPr>
              <w:spacing w:line="240" w:lineRule="auto"/>
              <w:ind w:firstLine="0" w:firstLineChars="0"/>
              <w:jc w:val="center"/>
              <w:rPr>
                <w:rFonts w:eastAsia="仿宋" w:cs="Times New Roman"/>
                <w:sz w:val="21"/>
                <w:lang w:bidi="zh-CN"/>
              </w:rPr>
            </w:pPr>
            <w:r>
              <w:rPr>
                <w:rFonts w:hint="eastAsia" w:eastAsia="仿宋" w:cs="Times New Roman"/>
                <w:sz w:val="21"/>
                <w:lang w:bidi="zh-CN"/>
              </w:rPr>
              <w:t>3.41</w:t>
            </w:r>
          </w:p>
        </w:tc>
        <w:tc>
          <w:tcPr>
            <w:tcW w:w="935" w:type="pct"/>
            <w:tcBorders>
              <w:top w:val="single" w:color="000000" w:sz="4" w:space="0"/>
              <w:left w:val="single" w:color="000000" w:sz="4" w:space="0"/>
              <w:bottom w:val="single" w:color="000000" w:sz="4" w:space="0"/>
              <w:right w:val="single" w:color="000000" w:sz="4" w:space="0"/>
            </w:tcBorders>
            <w:vAlign w:val="center"/>
          </w:tcPr>
          <w:p w14:paraId="444A8B77">
            <w:pPr>
              <w:spacing w:line="240" w:lineRule="auto"/>
              <w:ind w:firstLine="0" w:firstLineChars="0"/>
              <w:jc w:val="center"/>
              <w:rPr>
                <w:rFonts w:eastAsia="仿宋" w:cs="Times New Roman"/>
                <w:sz w:val="21"/>
                <w:lang w:bidi="zh-CN"/>
              </w:rPr>
            </w:pPr>
            <w:r>
              <w:rPr>
                <w:rFonts w:hint="eastAsia" w:eastAsia="仿宋" w:cs="Times New Roman"/>
                <w:sz w:val="21"/>
                <w:lang w:bidi="zh-CN"/>
              </w:rPr>
              <w:t>6.41</w:t>
            </w:r>
          </w:p>
        </w:tc>
        <w:tc>
          <w:tcPr>
            <w:tcW w:w="624" w:type="pct"/>
            <w:tcBorders>
              <w:top w:val="single" w:color="000000" w:sz="4" w:space="0"/>
              <w:left w:val="single" w:color="000000" w:sz="4" w:space="0"/>
              <w:bottom w:val="single" w:color="000000" w:sz="4" w:space="0"/>
              <w:right w:val="single" w:color="000000" w:sz="4" w:space="0"/>
            </w:tcBorders>
            <w:vAlign w:val="center"/>
          </w:tcPr>
          <w:p w14:paraId="7AD537CF">
            <w:pPr>
              <w:spacing w:line="240" w:lineRule="auto"/>
              <w:ind w:firstLine="0" w:firstLineChars="0"/>
              <w:jc w:val="center"/>
              <w:rPr>
                <w:rFonts w:eastAsia="仿宋" w:cs="Times New Roman"/>
                <w:sz w:val="21"/>
                <w:lang w:bidi="zh-CN"/>
              </w:rPr>
            </w:pPr>
            <w:r>
              <w:rPr>
                <w:rFonts w:hint="eastAsia" w:eastAsia="仿宋" w:cs="Times New Roman"/>
                <w:sz w:val="21"/>
                <w:lang w:bidi="zh-CN"/>
              </w:rPr>
              <w:t>5.32</w:t>
            </w:r>
          </w:p>
        </w:tc>
        <w:tc>
          <w:tcPr>
            <w:tcW w:w="463" w:type="pct"/>
            <w:tcBorders>
              <w:top w:val="single" w:color="000000" w:sz="4" w:space="0"/>
              <w:left w:val="single" w:color="000000" w:sz="4" w:space="0"/>
              <w:bottom w:val="single" w:color="000000" w:sz="4" w:space="0"/>
              <w:right w:val="single" w:color="000000" w:sz="4" w:space="0"/>
            </w:tcBorders>
            <w:vAlign w:val="center"/>
          </w:tcPr>
          <w:p w14:paraId="60CAE966">
            <w:pPr>
              <w:spacing w:line="240" w:lineRule="auto"/>
              <w:ind w:firstLine="0" w:firstLineChars="0"/>
              <w:jc w:val="center"/>
              <w:rPr>
                <w:rFonts w:eastAsia="仿宋" w:cs="Times New Roman"/>
                <w:sz w:val="21"/>
                <w:lang w:bidi="zh-CN"/>
              </w:rPr>
            </w:pPr>
            <w:r>
              <w:rPr>
                <w:rFonts w:hint="eastAsia" w:eastAsia="仿宋" w:cs="Times New Roman"/>
                <w:sz w:val="21"/>
                <w:lang w:bidi="zh-CN"/>
              </w:rPr>
              <w:t>10.02</w:t>
            </w:r>
          </w:p>
        </w:tc>
        <w:tc>
          <w:tcPr>
            <w:tcW w:w="978" w:type="pct"/>
            <w:tcBorders>
              <w:top w:val="single" w:color="000000" w:sz="4" w:space="0"/>
              <w:left w:val="single" w:color="000000" w:sz="4" w:space="0"/>
              <w:bottom w:val="single" w:color="000000" w:sz="4" w:space="0"/>
              <w:right w:val="single" w:color="000000" w:sz="4" w:space="0"/>
            </w:tcBorders>
            <w:vAlign w:val="center"/>
          </w:tcPr>
          <w:p w14:paraId="6368C8CA">
            <w:pPr>
              <w:spacing w:line="240" w:lineRule="auto"/>
              <w:ind w:firstLine="0" w:firstLineChars="0"/>
              <w:jc w:val="center"/>
              <w:rPr>
                <w:rFonts w:eastAsia="仿宋" w:cs="Times New Roman"/>
                <w:sz w:val="21"/>
                <w:lang w:bidi="zh-CN"/>
              </w:rPr>
            </w:pPr>
            <w:r>
              <w:rPr>
                <w:rFonts w:hint="eastAsia" w:eastAsia="仿宋" w:cs="Times New Roman"/>
                <w:sz w:val="21"/>
                <w:lang w:bidi="zh-CN"/>
              </w:rPr>
              <w:t>1.92</w:t>
            </w:r>
          </w:p>
        </w:tc>
      </w:tr>
      <w:tr w14:paraId="39917905">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06D5875E">
            <w:pPr>
              <w:spacing w:line="240" w:lineRule="auto"/>
              <w:ind w:firstLine="0" w:firstLineChars="0"/>
              <w:jc w:val="center"/>
              <w:rPr>
                <w:rFonts w:eastAsia="仿宋" w:cs="Times New Roman"/>
                <w:sz w:val="21"/>
                <w:lang w:bidi="zh-CN"/>
              </w:rPr>
            </w:pPr>
            <w:r>
              <w:rPr>
                <w:rFonts w:hint="eastAsia" w:eastAsia="仿宋" w:cs="Times New Roman"/>
                <w:sz w:val="21"/>
                <w:lang w:bidi="zh-CN"/>
              </w:rPr>
              <w:t>工矿用地</w:t>
            </w:r>
          </w:p>
        </w:tc>
        <w:tc>
          <w:tcPr>
            <w:tcW w:w="560" w:type="pct"/>
            <w:tcBorders>
              <w:top w:val="single" w:color="000000" w:sz="4" w:space="0"/>
              <w:left w:val="single" w:color="000000" w:sz="4" w:space="0"/>
              <w:bottom w:val="single" w:color="000000" w:sz="4" w:space="0"/>
              <w:right w:val="single" w:color="000000" w:sz="4" w:space="0"/>
            </w:tcBorders>
            <w:vAlign w:val="center"/>
          </w:tcPr>
          <w:p w14:paraId="48B6CD81">
            <w:pPr>
              <w:spacing w:line="240" w:lineRule="auto"/>
              <w:ind w:firstLine="0" w:firstLineChars="0"/>
              <w:jc w:val="center"/>
              <w:rPr>
                <w:rFonts w:eastAsia="仿宋" w:cs="Times New Roman"/>
                <w:sz w:val="21"/>
                <w:lang w:bidi="zh-CN"/>
              </w:rPr>
            </w:pPr>
            <w:r>
              <w:rPr>
                <w:rFonts w:hint="eastAsia" w:eastAsia="仿宋" w:cs="Times New Roman"/>
                <w:sz w:val="21"/>
                <w:lang w:bidi="zh-CN"/>
              </w:rPr>
              <w:t>16.33</w:t>
            </w:r>
          </w:p>
        </w:tc>
        <w:tc>
          <w:tcPr>
            <w:tcW w:w="935" w:type="pct"/>
            <w:tcBorders>
              <w:top w:val="single" w:color="000000" w:sz="4" w:space="0"/>
              <w:left w:val="single" w:color="000000" w:sz="4" w:space="0"/>
              <w:bottom w:val="single" w:color="000000" w:sz="4" w:space="0"/>
              <w:right w:val="single" w:color="000000" w:sz="4" w:space="0"/>
            </w:tcBorders>
            <w:vAlign w:val="center"/>
          </w:tcPr>
          <w:p w14:paraId="27F6BC16">
            <w:pPr>
              <w:spacing w:line="240" w:lineRule="auto"/>
              <w:ind w:firstLine="0" w:firstLineChars="0"/>
              <w:jc w:val="center"/>
              <w:rPr>
                <w:rFonts w:eastAsia="仿宋" w:cs="Times New Roman"/>
                <w:sz w:val="21"/>
                <w:lang w:bidi="zh-CN"/>
              </w:rPr>
            </w:pPr>
            <w:r>
              <w:rPr>
                <w:rFonts w:hint="eastAsia" w:eastAsia="仿宋" w:cs="Times New Roman"/>
                <w:sz w:val="21"/>
                <w:lang w:bidi="zh-CN"/>
              </w:rPr>
              <w:t>30.72</w:t>
            </w:r>
          </w:p>
        </w:tc>
        <w:tc>
          <w:tcPr>
            <w:tcW w:w="624" w:type="pct"/>
            <w:tcBorders>
              <w:top w:val="single" w:color="000000" w:sz="4" w:space="0"/>
              <w:left w:val="single" w:color="000000" w:sz="4" w:space="0"/>
              <w:bottom w:val="single" w:color="000000" w:sz="4" w:space="0"/>
              <w:right w:val="single" w:color="000000" w:sz="4" w:space="0"/>
            </w:tcBorders>
            <w:vAlign w:val="center"/>
          </w:tcPr>
          <w:p w14:paraId="3F9A52E3">
            <w:pPr>
              <w:spacing w:line="240" w:lineRule="auto"/>
              <w:ind w:firstLine="0" w:firstLineChars="0"/>
              <w:jc w:val="center"/>
              <w:rPr>
                <w:rFonts w:eastAsia="仿宋" w:cs="Times New Roman"/>
                <w:sz w:val="21"/>
                <w:lang w:bidi="zh-CN"/>
              </w:rPr>
            </w:pPr>
            <w:r>
              <w:rPr>
                <w:rFonts w:hint="eastAsia" w:eastAsia="仿宋" w:cs="Times New Roman"/>
                <w:sz w:val="21"/>
                <w:lang w:bidi="zh-CN"/>
              </w:rPr>
              <w:t>16.77</w:t>
            </w:r>
          </w:p>
        </w:tc>
        <w:tc>
          <w:tcPr>
            <w:tcW w:w="463" w:type="pct"/>
            <w:tcBorders>
              <w:top w:val="single" w:color="000000" w:sz="4" w:space="0"/>
              <w:left w:val="single" w:color="000000" w:sz="4" w:space="0"/>
              <w:bottom w:val="single" w:color="000000" w:sz="4" w:space="0"/>
              <w:right w:val="single" w:color="000000" w:sz="4" w:space="0"/>
            </w:tcBorders>
            <w:vAlign w:val="center"/>
          </w:tcPr>
          <w:p w14:paraId="1E6A9F77">
            <w:pPr>
              <w:spacing w:line="240" w:lineRule="auto"/>
              <w:ind w:firstLine="0" w:firstLineChars="0"/>
              <w:jc w:val="center"/>
              <w:rPr>
                <w:rFonts w:eastAsia="仿宋" w:cs="Times New Roman"/>
                <w:sz w:val="21"/>
                <w:lang w:bidi="zh-CN"/>
              </w:rPr>
            </w:pPr>
            <w:r>
              <w:rPr>
                <w:rFonts w:hint="eastAsia" w:eastAsia="仿宋" w:cs="Times New Roman"/>
                <w:sz w:val="21"/>
                <w:lang w:bidi="zh-CN"/>
              </w:rPr>
              <w:t>31.55</w:t>
            </w:r>
          </w:p>
        </w:tc>
        <w:tc>
          <w:tcPr>
            <w:tcW w:w="978" w:type="pct"/>
            <w:tcBorders>
              <w:top w:val="single" w:color="000000" w:sz="4" w:space="0"/>
              <w:left w:val="single" w:color="000000" w:sz="4" w:space="0"/>
              <w:bottom w:val="single" w:color="000000" w:sz="4" w:space="0"/>
              <w:right w:val="single" w:color="000000" w:sz="4" w:space="0"/>
            </w:tcBorders>
            <w:vAlign w:val="center"/>
          </w:tcPr>
          <w:p w14:paraId="7B745944">
            <w:pPr>
              <w:spacing w:line="240" w:lineRule="auto"/>
              <w:ind w:firstLine="0" w:firstLineChars="0"/>
              <w:jc w:val="center"/>
              <w:rPr>
                <w:rFonts w:eastAsia="仿宋" w:cs="Times New Roman"/>
                <w:sz w:val="21"/>
                <w:lang w:bidi="zh-CN"/>
              </w:rPr>
            </w:pPr>
            <w:r>
              <w:rPr>
                <w:rFonts w:hint="eastAsia" w:eastAsia="仿宋" w:cs="Times New Roman"/>
                <w:sz w:val="21"/>
                <w:lang w:bidi="zh-CN"/>
              </w:rPr>
              <w:t>0.44</w:t>
            </w:r>
          </w:p>
        </w:tc>
      </w:tr>
      <w:tr w14:paraId="23BF52D2">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1CDC7D46">
            <w:pPr>
              <w:spacing w:line="240" w:lineRule="auto"/>
              <w:ind w:firstLine="0" w:firstLineChars="0"/>
              <w:jc w:val="center"/>
              <w:rPr>
                <w:rFonts w:eastAsia="仿宋" w:cs="Times New Roman"/>
                <w:sz w:val="21"/>
                <w:lang w:bidi="zh-CN"/>
              </w:rPr>
            </w:pPr>
            <w:r>
              <w:rPr>
                <w:rFonts w:hint="eastAsia" w:eastAsia="仿宋" w:cs="Times New Roman"/>
                <w:sz w:val="21"/>
                <w:lang w:bidi="zh-CN"/>
              </w:rPr>
              <w:t>仓储用地</w:t>
            </w:r>
          </w:p>
        </w:tc>
        <w:tc>
          <w:tcPr>
            <w:tcW w:w="560" w:type="pct"/>
            <w:tcBorders>
              <w:top w:val="single" w:color="000000" w:sz="4" w:space="0"/>
              <w:left w:val="single" w:color="000000" w:sz="4" w:space="0"/>
              <w:bottom w:val="single" w:color="000000" w:sz="4" w:space="0"/>
              <w:right w:val="single" w:color="000000" w:sz="4" w:space="0"/>
            </w:tcBorders>
            <w:vAlign w:val="center"/>
          </w:tcPr>
          <w:p w14:paraId="51BEB2B5">
            <w:pPr>
              <w:spacing w:line="240" w:lineRule="auto"/>
              <w:ind w:firstLine="0" w:firstLineChars="0"/>
              <w:jc w:val="center"/>
              <w:rPr>
                <w:rFonts w:eastAsia="仿宋" w:cs="Times New Roman"/>
                <w:sz w:val="21"/>
                <w:lang w:bidi="zh-CN"/>
              </w:rPr>
            </w:pPr>
            <w:r>
              <w:rPr>
                <w:rFonts w:hint="eastAsia" w:eastAsia="仿宋" w:cs="Times New Roman"/>
                <w:sz w:val="21"/>
                <w:lang w:bidi="zh-CN"/>
              </w:rPr>
              <w:t>2.42</w:t>
            </w:r>
          </w:p>
        </w:tc>
        <w:tc>
          <w:tcPr>
            <w:tcW w:w="935" w:type="pct"/>
            <w:tcBorders>
              <w:top w:val="single" w:color="000000" w:sz="4" w:space="0"/>
              <w:left w:val="single" w:color="000000" w:sz="4" w:space="0"/>
              <w:bottom w:val="single" w:color="000000" w:sz="4" w:space="0"/>
              <w:right w:val="single" w:color="000000" w:sz="4" w:space="0"/>
            </w:tcBorders>
            <w:vAlign w:val="center"/>
          </w:tcPr>
          <w:p w14:paraId="1BDAA026">
            <w:pPr>
              <w:spacing w:line="240" w:lineRule="auto"/>
              <w:ind w:firstLine="0" w:firstLineChars="0"/>
              <w:jc w:val="center"/>
              <w:rPr>
                <w:rFonts w:eastAsia="仿宋" w:cs="Times New Roman"/>
                <w:sz w:val="21"/>
                <w:lang w:bidi="zh-CN"/>
              </w:rPr>
            </w:pPr>
            <w:r>
              <w:rPr>
                <w:rFonts w:hint="eastAsia" w:eastAsia="仿宋" w:cs="Times New Roman"/>
                <w:sz w:val="21"/>
                <w:lang w:bidi="zh-CN"/>
              </w:rPr>
              <w:t>4.54</w:t>
            </w:r>
          </w:p>
        </w:tc>
        <w:tc>
          <w:tcPr>
            <w:tcW w:w="624" w:type="pct"/>
            <w:tcBorders>
              <w:top w:val="single" w:color="000000" w:sz="4" w:space="0"/>
              <w:left w:val="single" w:color="000000" w:sz="4" w:space="0"/>
              <w:bottom w:val="single" w:color="000000" w:sz="4" w:space="0"/>
              <w:right w:val="single" w:color="000000" w:sz="4" w:space="0"/>
            </w:tcBorders>
            <w:vAlign w:val="center"/>
          </w:tcPr>
          <w:p w14:paraId="2D3E95D7">
            <w:pPr>
              <w:spacing w:line="240" w:lineRule="auto"/>
              <w:ind w:firstLine="0" w:firstLineChars="0"/>
              <w:jc w:val="center"/>
              <w:rPr>
                <w:rFonts w:eastAsia="仿宋" w:cs="Times New Roman"/>
                <w:sz w:val="21"/>
                <w:lang w:bidi="zh-CN"/>
              </w:rPr>
            </w:pPr>
            <w:r>
              <w:rPr>
                <w:rFonts w:hint="eastAsia" w:eastAsia="仿宋" w:cs="Times New Roman"/>
                <w:sz w:val="21"/>
                <w:lang w:bidi="zh-CN"/>
              </w:rPr>
              <w:t>2.80</w:t>
            </w:r>
          </w:p>
        </w:tc>
        <w:tc>
          <w:tcPr>
            <w:tcW w:w="463" w:type="pct"/>
            <w:tcBorders>
              <w:top w:val="single" w:color="000000" w:sz="4" w:space="0"/>
              <w:left w:val="single" w:color="000000" w:sz="4" w:space="0"/>
              <w:bottom w:val="single" w:color="000000" w:sz="4" w:space="0"/>
              <w:right w:val="single" w:color="000000" w:sz="4" w:space="0"/>
            </w:tcBorders>
            <w:vAlign w:val="center"/>
          </w:tcPr>
          <w:p w14:paraId="5507303F">
            <w:pPr>
              <w:spacing w:line="240" w:lineRule="auto"/>
              <w:ind w:firstLine="0" w:firstLineChars="0"/>
              <w:jc w:val="center"/>
              <w:rPr>
                <w:rFonts w:eastAsia="仿宋" w:cs="Times New Roman"/>
                <w:sz w:val="21"/>
                <w:lang w:bidi="zh-CN"/>
              </w:rPr>
            </w:pPr>
            <w:r>
              <w:rPr>
                <w:rFonts w:hint="eastAsia" w:eastAsia="仿宋" w:cs="Times New Roman"/>
                <w:sz w:val="21"/>
                <w:lang w:bidi="zh-CN"/>
              </w:rPr>
              <w:t>5.27</w:t>
            </w:r>
          </w:p>
        </w:tc>
        <w:tc>
          <w:tcPr>
            <w:tcW w:w="978" w:type="pct"/>
            <w:tcBorders>
              <w:top w:val="single" w:color="000000" w:sz="4" w:space="0"/>
              <w:left w:val="single" w:color="000000" w:sz="4" w:space="0"/>
              <w:bottom w:val="single" w:color="000000" w:sz="4" w:space="0"/>
              <w:right w:val="single" w:color="000000" w:sz="4" w:space="0"/>
            </w:tcBorders>
            <w:vAlign w:val="center"/>
          </w:tcPr>
          <w:p w14:paraId="0FD2C43F">
            <w:pPr>
              <w:spacing w:line="240" w:lineRule="auto"/>
              <w:ind w:firstLine="0" w:firstLineChars="0"/>
              <w:jc w:val="center"/>
              <w:rPr>
                <w:rFonts w:eastAsia="仿宋" w:cs="Times New Roman"/>
                <w:sz w:val="21"/>
                <w:lang w:bidi="zh-CN"/>
              </w:rPr>
            </w:pPr>
            <w:r>
              <w:rPr>
                <w:rFonts w:hint="eastAsia" w:eastAsia="仿宋" w:cs="Times New Roman"/>
                <w:sz w:val="21"/>
                <w:lang w:bidi="zh-CN"/>
              </w:rPr>
              <w:t>0.38</w:t>
            </w:r>
          </w:p>
        </w:tc>
      </w:tr>
      <w:tr w14:paraId="3C7FFB18">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7DD90306">
            <w:pPr>
              <w:spacing w:line="240" w:lineRule="auto"/>
              <w:ind w:firstLine="0" w:firstLineChars="0"/>
              <w:jc w:val="center"/>
              <w:rPr>
                <w:rFonts w:eastAsia="仿宋" w:cs="Times New Roman"/>
                <w:sz w:val="21"/>
                <w:lang w:bidi="zh-CN"/>
              </w:rPr>
            </w:pPr>
            <w:r>
              <w:rPr>
                <w:rFonts w:hint="eastAsia" w:eastAsia="仿宋" w:cs="Times New Roman"/>
                <w:sz w:val="21"/>
                <w:lang w:bidi="zh-CN"/>
              </w:rPr>
              <w:t>交通运输用地</w:t>
            </w:r>
          </w:p>
        </w:tc>
        <w:tc>
          <w:tcPr>
            <w:tcW w:w="560" w:type="pct"/>
            <w:tcBorders>
              <w:top w:val="single" w:color="000000" w:sz="4" w:space="0"/>
              <w:left w:val="single" w:color="000000" w:sz="4" w:space="0"/>
              <w:bottom w:val="single" w:color="000000" w:sz="4" w:space="0"/>
              <w:right w:val="single" w:color="000000" w:sz="4" w:space="0"/>
            </w:tcBorders>
            <w:vAlign w:val="center"/>
          </w:tcPr>
          <w:p w14:paraId="0955FAFD">
            <w:pPr>
              <w:spacing w:line="240" w:lineRule="auto"/>
              <w:ind w:firstLine="0" w:firstLineChars="0"/>
              <w:jc w:val="center"/>
              <w:rPr>
                <w:rFonts w:eastAsia="仿宋" w:cs="Times New Roman"/>
                <w:sz w:val="21"/>
                <w:lang w:bidi="zh-CN"/>
              </w:rPr>
            </w:pPr>
            <w:r>
              <w:rPr>
                <w:rFonts w:hint="eastAsia" w:eastAsia="仿宋" w:cs="Times New Roman"/>
                <w:sz w:val="21"/>
                <w:lang w:bidi="zh-CN"/>
              </w:rPr>
              <w:t>8.94</w:t>
            </w:r>
          </w:p>
        </w:tc>
        <w:tc>
          <w:tcPr>
            <w:tcW w:w="935" w:type="pct"/>
            <w:tcBorders>
              <w:top w:val="single" w:color="000000" w:sz="4" w:space="0"/>
              <w:left w:val="single" w:color="000000" w:sz="4" w:space="0"/>
              <w:bottom w:val="single" w:color="000000" w:sz="4" w:space="0"/>
              <w:right w:val="single" w:color="000000" w:sz="4" w:space="0"/>
            </w:tcBorders>
            <w:vAlign w:val="center"/>
          </w:tcPr>
          <w:p w14:paraId="428A6E7D">
            <w:pPr>
              <w:spacing w:line="240" w:lineRule="auto"/>
              <w:ind w:firstLine="0" w:firstLineChars="0"/>
              <w:jc w:val="center"/>
              <w:rPr>
                <w:rFonts w:eastAsia="仿宋" w:cs="Times New Roman"/>
                <w:sz w:val="21"/>
                <w:lang w:bidi="zh-CN"/>
              </w:rPr>
            </w:pPr>
            <w:r>
              <w:rPr>
                <w:rFonts w:hint="eastAsia" w:eastAsia="仿宋" w:cs="Times New Roman"/>
                <w:sz w:val="21"/>
                <w:lang w:bidi="zh-CN"/>
              </w:rPr>
              <w:t>16.83</w:t>
            </w:r>
          </w:p>
        </w:tc>
        <w:tc>
          <w:tcPr>
            <w:tcW w:w="624" w:type="pct"/>
            <w:tcBorders>
              <w:top w:val="single" w:color="000000" w:sz="4" w:space="0"/>
              <w:left w:val="single" w:color="000000" w:sz="4" w:space="0"/>
              <w:bottom w:val="single" w:color="000000" w:sz="4" w:space="0"/>
              <w:right w:val="single" w:color="000000" w:sz="4" w:space="0"/>
            </w:tcBorders>
            <w:vAlign w:val="center"/>
          </w:tcPr>
          <w:p w14:paraId="53BD7C30">
            <w:pPr>
              <w:spacing w:line="240" w:lineRule="auto"/>
              <w:ind w:firstLine="0" w:firstLineChars="0"/>
              <w:jc w:val="center"/>
              <w:rPr>
                <w:rFonts w:eastAsia="仿宋" w:cs="Times New Roman"/>
                <w:sz w:val="21"/>
                <w:lang w:bidi="zh-CN"/>
              </w:rPr>
            </w:pPr>
            <w:r>
              <w:rPr>
                <w:rFonts w:hint="eastAsia" w:eastAsia="仿宋" w:cs="Times New Roman"/>
                <w:sz w:val="21"/>
                <w:lang w:bidi="zh-CN"/>
              </w:rPr>
              <w:t>8.58</w:t>
            </w:r>
          </w:p>
        </w:tc>
        <w:tc>
          <w:tcPr>
            <w:tcW w:w="463" w:type="pct"/>
            <w:tcBorders>
              <w:top w:val="single" w:color="000000" w:sz="4" w:space="0"/>
              <w:left w:val="single" w:color="000000" w:sz="4" w:space="0"/>
              <w:bottom w:val="single" w:color="000000" w:sz="4" w:space="0"/>
              <w:right w:val="single" w:color="000000" w:sz="4" w:space="0"/>
            </w:tcBorders>
            <w:vAlign w:val="center"/>
          </w:tcPr>
          <w:p w14:paraId="275221EB">
            <w:pPr>
              <w:spacing w:line="240" w:lineRule="auto"/>
              <w:ind w:firstLine="0" w:firstLineChars="0"/>
              <w:jc w:val="center"/>
              <w:rPr>
                <w:rFonts w:eastAsia="仿宋" w:cs="Times New Roman"/>
                <w:sz w:val="21"/>
                <w:lang w:bidi="zh-CN"/>
              </w:rPr>
            </w:pPr>
            <w:r>
              <w:rPr>
                <w:rFonts w:hint="eastAsia" w:eastAsia="仿宋" w:cs="Times New Roman"/>
                <w:sz w:val="21"/>
                <w:lang w:bidi="zh-CN"/>
              </w:rPr>
              <w:t>16.14</w:t>
            </w:r>
          </w:p>
        </w:tc>
        <w:tc>
          <w:tcPr>
            <w:tcW w:w="978" w:type="pct"/>
            <w:tcBorders>
              <w:top w:val="single" w:color="000000" w:sz="4" w:space="0"/>
              <w:left w:val="single" w:color="000000" w:sz="4" w:space="0"/>
              <w:bottom w:val="single" w:color="000000" w:sz="4" w:space="0"/>
              <w:right w:val="single" w:color="000000" w:sz="4" w:space="0"/>
            </w:tcBorders>
            <w:vAlign w:val="center"/>
          </w:tcPr>
          <w:p w14:paraId="14EBFE1A">
            <w:pPr>
              <w:spacing w:line="240" w:lineRule="auto"/>
              <w:ind w:firstLine="0" w:firstLineChars="0"/>
              <w:jc w:val="center"/>
              <w:rPr>
                <w:rFonts w:eastAsia="仿宋" w:cs="Times New Roman"/>
                <w:sz w:val="21"/>
                <w:lang w:bidi="zh-CN"/>
              </w:rPr>
            </w:pPr>
            <w:r>
              <w:rPr>
                <w:rFonts w:hint="eastAsia" w:eastAsia="仿宋" w:cs="Times New Roman"/>
                <w:sz w:val="21"/>
                <w:lang w:bidi="zh-CN"/>
              </w:rPr>
              <w:t>-0.36</w:t>
            </w:r>
          </w:p>
        </w:tc>
      </w:tr>
      <w:tr w14:paraId="473E45DA">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14D0A4C8">
            <w:pPr>
              <w:spacing w:line="240" w:lineRule="auto"/>
              <w:ind w:firstLine="0" w:firstLineChars="0"/>
              <w:jc w:val="center"/>
              <w:rPr>
                <w:rFonts w:eastAsia="仿宋" w:cs="Times New Roman"/>
                <w:sz w:val="21"/>
                <w:lang w:bidi="zh-CN"/>
              </w:rPr>
            </w:pPr>
            <w:r>
              <w:rPr>
                <w:rFonts w:hint="eastAsia" w:eastAsia="仿宋" w:cs="Times New Roman"/>
                <w:sz w:val="21"/>
                <w:lang w:bidi="zh-CN"/>
              </w:rPr>
              <w:t>公用设施用地</w:t>
            </w:r>
          </w:p>
        </w:tc>
        <w:tc>
          <w:tcPr>
            <w:tcW w:w="560" w:type="pct"/>
            <w:tcBorders>
              <w:top w:val="single" w:color="000000" w:sz="4" w:space="0"/>
              <w:left w:val="single" w:color="000000" w:sz="4" w:space="0"/>
              <w:bottom w:val="single" w:color="000000" w:sz="4" w:space="0"/>
              <w:right w:val="single" w:color="000000" w:sz="4" w:space="0"/>
            </w:tcBorders>
            <w:vAlign w:val="center"/>
          </w:tcPr>
          <w:p w14:paraId="234E5710">
            <w:pPr>
              <w:spacing w:line="240" w:lineRule="auto"/>
              <w:ind w:firstLine="0" w:firstLineChars="0"/>
              <w:jc w:val="center"/>
              <w:rPr>
                <w:rFonts w:eastAsia="仿宋" w:cs="Times New Roman"/>
                <w:sz w:val="21"/>
                <w:lang w:bidi="zh-CN"/>
              </w:rPr>
            </w:pPr>
            <w:r>
              <w:rPr>
                <w:rFonts w:hint="eastAsia" w:eastAsia="仿宋" w:cs="Times New Roman"/>
                <w:sz w:val="21"/>
                <w:lang w:bidi="zh-CN"/>
              </w:rPr>
              <w:t>0.23</w:t>
            </w:r>
          </w:p>
        </w:tc>
        <w:tc>
          <w:tcPr>
            <w:tcW w:w="935" w:type="pct"/>
            <w:tcBorders>
              <w:top w:val="single" w:color="000000" w:sz="4" w:space="0"/>
              <w:left w:val="single" w:color="000000" w:sz="4" w:space="0"/>
              <w:bottom w:val="single" w:color="000000" w:sz="4" w:space="0"/>
              <w:right w:val="single" w:color="000000" w:sz="4" w:space="0"/>
            </w:tcBorders>
            <w:vAlign w:val="center"/>
          </w:tcPr>
          <w:p w14:paraId="0F6EC274">
            <w:pPr>
              <w:spacing w:line="240" w:lineRule="auto"/>
              <w:ind w:firstLine="0" w:firstLineChars="0"/>
              <w:jc w:val="center"/>
              <w:rPr>
                <w:rFonts w:eastAsia="仿宋" w:cs="Times New Roman"/>
                <w:sz w:val="21"/>
                <w:lang w:bidi="zh-CN"/>
              </w:rPr>
            </w:pPr>
            <w:r>
              <w:rPr>
                <w:rFonts w:hint="eastAsia" w:eastAsia="仿宋" w:cs="Times New Roman"/>
                <w:sz w:val="21"/>
                <w:lang w:bidi="zh-CN"/>
              </w:rPr>
              <w:t>0.44</w:t>
            </w:r>
          </w:p>
        </w:tc>
        <w:tc>
          <w:tcPr>
            <w:tcW w:w="624" w:type="pct"/>
            <w:tcBorders>
              <w:top w:val="single" w:color="000000" w:sz="4" w:space="0"/>
              <w:left w:val="single" w:color="000000" w:sz="4" w:space="0"/>
              <w:bottom w:val="single" w:color="000000" w:sz="4" w:space="0"/>
              <w:right w:val="single" w:color="000000" w:sz="4" w:space="0"/>
            </w:tcBorders>
            <w:vAlign w:val="center"/>
          </w:tcPr>
          <w:p w14:paraId="2726941D">
            <w:pPr>
              <w:spacing w:line="240" w:lineRule="auto"/>
              <w:ind w:firstLine="0" w:firstLineChars="0"/>
              <w:jc w:val="center"/>
              <w:rPr>
                <w:rFonts w:eastAsia="仿宋" w:cs="Times New Roman"/>
                <w:sz w:val="21"/>
                <w:lang w:bidi="zh-CN"/>
              </w:rPr>
            </w:pPr>
            <w:r>
              <w:rPr>
                <w:rFonts w:hint="eastAsia" w:eastAsia="仿宋" w:cs="Times New Roman"/>
                <w:sz w:val="21"/>
                <w:lang w:bidi="zh-CN"/>
              </w:rPr>
              <w:t>0.48</w:t>
            </w:r>
          </w:p>
        </w:tc>
        <w:tc>
          <w:tcPr>
            <w:tcW w:w="463" w:type="pct"/>
            <w:tcBorders>
              <w:top w:val="single" w:color="000000" w:sz="4" w:space="0"/>
              <w:left w:val="single" w:color="000000" w:sz="4" w:space="0"/>
              <w:bottom w:val="single" w:color="000000" w:sz="4" w:space="0"/>
              <w:right w:val="single" w:color="000000" w:sz="4" w:space="0"/>
            </w:tcBorders>
            <w:vAlign w:val="center"/>
          </w:tcPr>
          <w:p w14:paraId="0E0CEA50">
            <w:pPr>
              <w:spacing w:line="240" w:lineRule="auto"/>
              <w:ind w:firstLine="0" w:firstLineChars="0"/>
              <w:jc w:val="center"/>
              <w:rPr>
                <w:rFonts w:eastAsia="仿宋" w:cs="Times New Roman"/>
                <w:sz w:val="21"/>
                <w:lang w:bidi="zh-CN"/>
              </w:rPr>
            </w:pPr>
            <w:r>
              <w:rPr>
                <w:rFonts w:hint="eastAsia" w:eastAsia="仿宋" w:cs="Times New Roman"/>
                <w:sz w:val="21"/>
                <w:lang w:bidi="zh-CN"/>
              </w:rPr>
              <w:t>0.91</w:t>
            </w:r>
          </w:p>
        </w:tc>
        <w:tc>
          <w:tcPr>
            <w:tcW w:w="978" w:type="pct"/>
            <w:tcBorders>
              <w:top w:val="single" w:color="000000" w:sz="4" w:space="0"/>
              <w:left w:val="single" w:color="000000" w:sz="4" w:space="0"/>
              <w:bottom w:val="single" w:color="000000" w:sz="4" w:space="0"/>
              <w:right w:val="single" w:color="000000" w:sz="4" w:space="0"/>
            </w:tcBorders>
            <w:vAlign w:val="center"/>
          </w:tcPr>
          <w:p w14:paraId="2085C75F">
            <w:pPr>
              <w:spacing w:line="240" w:lineRule="auto"/>
              <w:ind w:firstLine="0" w:firstLineChars="0"/>
              <w:jc w:val="center"/>
              <w:rPr>
                <w:rFonts w:eastAsia="仿宋" w:cs="Times New Roman"/>
                <w:sz w:val="21"/>
                <w:lang w:bidi="zh-CN"/>
              </w:rPr>
            </w:pPr>
            <w:r>
              <w:rPr>
                <w:rFonts w:hint="eastAsia" w:eastAsia="仿宋" w:cs="Times New Roman"/>
                <w:sz w:val="21"/>
                <w:lang w:bidi="zh-CN"/>
              </w:rPr>
              <w:t>0.25</w:t>
            </w:r>
          </w:p>
        </w:tc>
      </w:tr>
      <w:tr w14:paraId="6DA00902">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3B0A9AD5">
            <w:pPr>
              <w:spacing w:line="240" w:lineRule="auto"/>
              <w:ind w:firstLine="0" w:firstLineChars="0"/>
              <w:jc w:val="center"/>
              <w:rPr>
                <w:rFonts w:eastAsia="仿宋" w:cs="Times New Roman"/>
                <w:sz w:val="21"/>
                <w:lang w:bidi="zh-CN"/>
              </w:rPr>
            </w:pPr>
            <w:r>
              <w:rPr>
                <w:rFonts w:hint="eastAsia" w:eastAsia="仿宋" w:cs="Times New Roman"/>
                <w:sz w:val="21"/>
                <w:lang w:bidi="zh-CN"/>
              </w:rPr>
              <w:t>绿地与开敞空间用地</w:t>
            </w:r>
          </w:p>
        </w:tc>
        <w:tc>
          <w:tcPr>
            <w:tcW w:w="560" w:type="pct"/>
            <w:tcBorders>
              <w:top w:val="single" w:color="000000" w:sz="4" w:space="0"/>
              <w:left w:val="single" w:color="000000" w:sz="4" w:space="0"/>
              <w:bottom w:val="single" w:color="000000" w:sz="4" w:space="0"/>
              <w:right w:val="single" w:color="000000" w:sz="4" w:space="0"/>
            </w:tcBorders>
            <w:vAlign w:val="center"/>
          </w:tcPr>
          <w:p w14:paraId="20E2A0AB">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935" w:type="pct"/>
            <w:tcBorders>
              <w:top w:val="single" w:color="000000" w:sz="4" w:space="0"/>
              <w:left w:val="single" w:color="000000" w:sz="4" w:space="0"/>
              <w:bottom w:val="single" w:color="000000" w:sz="4" w:space="0"/>
              <w:right w:val="single" w:color="000000" w:sz="4" w:space="0"/>
            </w:tcBorders>
            <w:vAlign w:val="center"/>
          </w:tcPr>
          <w:p w14:paraId="313A77F2">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624" w:type="pct"/>
            <w:tcBorders>
              <w:top w:val="single" w:color="000000" w:sz="4" w:space="0"/>
              <w:left w:val="single" w:color="000000" w:sz="4" w:space="0"/>
              <w:bottom w:val="single" w:color="000000" w:sz="4" w:space="0"/>
              <w:right w:val="single" w:color="000000" w:sz="4" w:space="0"/>
            </w:tcBorders>
            <w:vAlign w:val="center"/>
          </w:tcPr>
          <w:p w14:paraId="2B183EC1">
            <w:pPr>
              <w:spacing w:line="240" w:lineRule="auto"/>
              <w:ind w:firstLine="0" w:firstLineChars="0"/>
              <w:jc w:val="center"/>
              <w:rPr>
                <w:rFonts w:eastAsia="仿宋" w:cs="Times New Roman"/>
                <w:sz w:val="21"/>
                <w:lang w:bidi="zh-CN"/>
              </w:rPr>
            </w:pPr>
            <w:r>
              <w:rPr>
                <w:rFonts w:hint="eastAsia" w:eastAsia="仿宋" w:cs="Times New Roman"/>
                <w:sz w:val="21"/>
                <w:lang w:bidi="zh-CN"/>
              </w:rPr>
              <w:t>0.52</w:t>
            </w:r>
          </w:p>
        </w:tc>
        <w:tc>
          <w:tcPr>
            <w:tcW w:w="463" w:type="pct"/>
            <w:tcBorders>
              <w:top w:val="single" w:color="000000" w:sz="4" w:space="0"/>
              <w:left w:val="single" w:color="000000" w:sz="4" w:space="0"/>
              <w:bottom w:val="single" w:color="000000" w:sz="4" w:space="0"/>
              <w:right w:val="single" w:color="000000" w:sz="4" w:space="0"/>
            </w:tcBorders>
            <w:vAlign w:val="center"/>
          </w:tcPr>
          <w:p w14:paraId="5C2C42A9">
            <w:pPr>
              <w:spacing w:line="240" w:lineRule="auto"/>
              <w:ind w:firstLine="0" w:firstLineChars="0"/>
              <w:jc w:val="center"/>
              <w:rPr>
                <w:rFonts w:eastAsia="仿宋" w:cs="Times New Roman"/>
                <w:sz w:val="21"/>
                <w:lang w:bidi="zh-CN"/>
              </w:rPr>
            </w:pPr>
            <w:r>
              <w:rPr>
                <w:rFonts w:hint="eastAsia" w:eastAsia="仿宋" w:cs="Times New Roman"/>
                <w:sz w:val="21"/>
                <w:lang w:bidi="zh-CN"/>
              </w:rPr>
              <w:t>0.98</w:t>
            </w:r>
          </w:p>
        </w:tc>
        <w:tc>
          <w:tcPr>
            <w:tcW w:w="978" w:type="pct"/>
            <w:tcBorders>
              <w:top w:val="single" w:color="000000" w:sz="4" w:space="0"/>
              <w:left w:val="single" w:color="000000" w:sz="4" w:space="0"/>
              <w:bottom w:val="single" w:color="000000" w:sz="4" w:space="0"/>
              <w:right w:val="single" w:color="000000" w:sz="4" w:space="0"/>
            </w:tcBorders>
            <w:vAlign w:val="center"/>
          </w:tcPr>
          <w:p w14:paraId="2906315A">
            <w:pPr>
              <w:spacing w:line="240" w:lineRule="auto"/>
              <w:ind w:firstLine="0" w:firstLineChars="0"/>
              <w:jc w:val="center"/>
              <w:rPr>
                <w:rFonts w:eastAsia="仿宋" w:cs="Times New Roman"/>
                <w:sz w:val="21"/>
                <w:lang w:bidi="zh-CN"/>
              </w:rPr>
            </w:pPr>
            <w:r>
              <w:rPr>
                <w:rFonts w:hint="eastAsia" w:eastAsia="仿宋" w:cs="Times New Roman"/>
                <w:sz w:val="21"/>
                <w:lang w:bidi="zh-CN"/>
              </w:rPr>
              <w:t>0.52</w:t>
            </w:r>
          </w:p>
        </w:tc>
      </w:tr>
      <w:tr w14:paraId="2CDD3FDE">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2F867E39">
            <w:pPr>
              <w:spacing w:line="240" w:lineRule="auto"/>
              <w:ind w:firstLine="0" w:firstLineChars="0"/>
              <w:jc w:val="center"/>
              <w:rPr>
                <w:rFonts w:eastAsia="仿宋" w:cs="Times New Roman"/>
                <w:sz w:val="21"/>
                <w:lang w:bidi="zh-CN"/>
              </w:rPr>
            </w:pPr>
            <w:r>
              <w:rPr>
                <w:rFonts w:hint="eastAsia" w:eastAsia="仿宋" w:cs="Times New Roman"/>
                <w:sz w:val="21"/>
                <w:lang w:bidi="zh-CN"/>
              </w:rPr>
              <w:t>陆地水域</w:t>
            </w:r>
          </w:p>
        </w:tc>
        <w:tc>
          <w:tcPr>
            <w:tcW w:w="560" w:type="pct"/>
            <w:tcBorders>
              <w:top w:val="single" w:color="000000" w:sz="4" w:space="0"/>
              <w:left w:val="single" w:color="000000" w:sz="4" w:space="0"/>
              <w:bottom w:val="single" w:color="000000" w:sz="4" w:space="0"/>
              <w:right w:val="single" w:color="000000" w:sz="4" w:space="0"/>
            </w:tcBorders>
            <w:vAlign w:val="center"/>
          </w:tcPr>
          <w:p w14:paraId="55A52B25">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935" w:type="pct"/>
            <w:tcBorders>
              <w:top w:val="single" w:color="000000" w:sz="4" w:space="0"/>
              <w:left w:val="single" w:color="000000" w:sz="4" w:space="0"/>
              <w:bottom w:val="single" w:color="000000" w:sz="4" w:space="0"/>
              <w:right w:val="single" w:color="000000" w:sz="4" w:space="0"/>
            </w:tcBorders>
            <w:vAlign w:val="center"/>
          </w:tcPr>
          <w:p w14:paraId="3C750D7F">
            <w:pPr>
              <w:spacing w:line="240" w:lineRule="auto"/>
              <w:ind w:firstLine="0" w:firstLineChars="0"/>
              <w:jc w:val="center"/>
              <w:rPr>
                <w:rFonts w:eastAsia="仿宋" w:cs="Times New Roman"/>
                <w:sz w:val="21"/>
                <w:lang w:bidi="zh-CN"/>
              </w:rPr>
            </w:pPr>
            <w:r>
              <w:rPr>
                <w:rFonts w:hint="eastAsia" w:eastAsia="仿宋" w:cs="Times New Roman"/>
                <w:sz w:val="21"/>
                <w:lang w:bidi="zh-CN"/>
              </w:rPr>
              <w:t>0.01</w:t>
            </w:r>
          </w:p>
        </w:tc>
        <w:tc>
          <w:tcPr>
            <w:tcW w:w="624" w:type="pct"/>
            <w:tcBorders>
              <w:top w:val="single" w:color="000000" w:sz="4" w:space="0"/>
              <w:left w:val="single" w:color="000000" w:sz="4" w:space="0"/>
              <w:bottom w:val="single" w:color="000000" w:sz="4" w:space="0"/>
              <w:right w:val="single" w:color="000000" w:sz="4" w:space="0"/>
            </w:tcBorders>
            <w:vAlign w:val="center"/>
          </w:tcPr>
          <w:p w14:paraId="71939FEB">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463" w:type="pct"/>
            <w:tcBorders>
              <w:top w:val="single" w:color="000000" w:sz="4" w:space="0"/>
              <w:left w:val="single" w:color="000000" w:sz="4" w:space="0"/>
              <w:bottom w:val="single" w:color="000000" w:sz="4" w:space="0"/>
              <w:right w:val="single" w:color="000000" w:sz="4" w:space="0"/>
            </w:tcBorders>
            <w:vAlign w:val="center"/>
          </w:tcPr>
          <w:p w14:paraId="476AF1F5">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c>
          <w:tcPr>
            <w:tcW w:w="978" w:type="pct"/>
            <w:tcBorders>
              <w:top w:val="single" w:color="000000" w:sz="4" w:space="0"/>
              <w:left w:val="single" w:color="000000" w:sz="4" w:space="0"/>
              <w:bottom w:val="single" w:color="000000" w:sz="4" w:space="0"/>
              <w:right w:val="single" w:color="000000" w:sz="4" w:space="0"/>
            </w:tcBorders>
            <w:vAlign w:val="center"/>
          </w:tcPr>
          <w:p w14:paraId="6CD119F2">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r>
      <w:tr w14:paraId="5A1F9C17">
        <w:tblPrEx>
          <w:tblCellMar>
            <w:top w:w="0" w:type="dxa"/>
            <w:left w:w="108" w:type="dxa"/>
            <w:bottom w:w="0" w:type="dxa"/>
            <w:right w:w="108" w:type="dxa"/>
          </w:tblCellMar>
        </w:tblPrEx>
        <w:trPr>
          <w:trHeight w:val="255" w:hRule="atLeast"/>
        </w:trPr>
        <w:tc>
          <w:tcPr>
            <w:tcW w:w="1437" w:type="pct"/>
            <w:tcBorders>
              <w:top w:val="single" w:color="000000" w:sz="4" w:space="0"/>
              <w:left w:val="single" w:color="000000" w:sz="4" w:space="0"/>
              <w:bottom w:val="single" w:color="000000" w:sz="4" w:space="0"/>
              <w:right w:val="single" w:color="000000" w:sz="4" w:space="0"/>
            </w:tcBorders>
            <w:vAlign w:val="center"/>
          </w:tcPr>
          <w:p w14:paraId="3EE7F14E">
            <w:pPr>
              <w:spacing w:line="240" w:lineRule="auto"/>
              <w:ind w:firstLine="0" w:firstLineChars="0"/>
              <w:jc w:val="center"/>
              <w:rPr>
                <w:rFonts w:eastAsia="仿宋" w:cs="Times New Roman"/>
                <w:sz w:val="21"/>
                <w:lang w:bidi="zh-CN"/>
              </w:rPr>
            </w:pPr>
            <w:r>
              <w:rPr>
                <w:rFonts w:hint="eastAsia" w:eastAsia="仿宋" w:cs="Times New Roman"/>
                <w:sz w:val="21"/>
                <w:lang w:bidi="zh-CN"/>
              </w:rPr>
              <w:t>总计</w:t>
            </w:r>
          </w:p>
        </w:tc>
        <w:tc>
          <w:tcPr>
            <w:tcW w:w="560" w:type="pct"/>
            <w:tcBorders>
              <w:top w:val="single" w:color="000000" w:sz="4" w:space="0"/>
              <w:left w:val="single" w:color="000000" w:sz="4" w:space="0"/>
              <w:bottom w:val="single" w:color="000000" w:sz="4" w:space="0"/>
              <w:right w:val="single" w:color="000000" w:sz="4" w:space="0"/>
            </w:tcBorders>
            <w:vAlign w:val="center"/>
          </w:tcPr>
          <w:p w14:paraId="63210604">
            <w:pPr>
              <w:spacing w:line="240" w:lineRule="auto"/>
              <w:ind w:firstLine="0" w:firstLineChars="0"/>
              <w:jc w:val="center"/>
              <w:rPr>
                <w:rFonts w:eastAsia="仿宋" w:cs="Times New Roman"/>
                <w:sz w:val="21"/>
                <w:lang w:bidi="zh-CN"/>
              </w:rPr>
            </w:pPr>
            <w:r>
              <w:rPr>
                <w:rFonts w:hint="eastAsia" w:eastAsia="仿宋" w:cs="Times New Roman"/>
                <w:sz w:val="21"/>
                <w:lang w:bidi="zh-CN"/>
              </w:rPr>
              <w:t>53.15</w:t>
            </w:r>
          </w:p>
        </w:tc>
        <w:tc>
          <w:tcPr>
            <w:tcW w:w="935" w:type="pct"/>
            <w:tcBorders>
              <w:top w:val="single" w:color="000000" w:sz="4" w:space="0"/>
              <w:left w:val="single" w:color="000000" w:sz="4" w:space="0"/>
              <w:bottom w:val="single" w:color="000000" w:sz="4" w:space="0"/>
              <w:right w:val="single" w:color="000000" w:sz="4" w:space="0"/>
            </w:tcBorders>
            <w:vAlign w:val="center"/>
          </w:tcPr>
          <w:p w14:paraId="04F0A8A4">
            <w:pPr>
              <w:spacing w:line="240" w:lineRule="auto"/>
              <w:ind w:firstLine="0" w:firstLineChars="0"/>
              <w:jc w:val="center"/>
              <w:rPr>
                <w:rFonts w:eastAsia="仿宋" w:cs="Times New Roman"/>
                <w:sz w:val="21"/>
                <w:lang w:bidi="zh-CN"/>
              </w:rPr>
            </w:pPr>
            <w:r>
              <w:rPr>
                <w:rFonts w:hint="eastAsia" w:eastAsia="仿宋" w:cs="Times New Roman"/>
                <w:sz w:val="21"/>
                <w:lang w:bidi="zh-CN"/>
              </w:rPr>
              <w:t>100.00</w:t>
            </w:r>
          </w:p>
        </w:tc>
        <w:tc>
          <w:tcPr>
            <w:tcW w:w="624" w:type="pct"/>
            <w:tcBorders>
              <w:top w:val="single" w:color="000000" w:sz="4" w:space="0"/>
              <w:left w:val="single" w:color="000000" w:sz="4" w:space="0"/>
              <w:bottom w:val="single" w:color="000000" w:sz="4" w:space="0"/>
              <w:right w:val="single" w:color="000000" w:sz="4" w:space="0"/>
            </w:tcBorders>
            <w:vAlign w:val="center"/>
          </w:tcPr>
          <w:p w14:paraId="1F823F3F">
            <w:pPr>
              <w:spacing w:line="240" w:lineRule="auto"/>
              <w:ind w:firstLine="0" w:firstLineChars="0"/>
              <w:jc w:val="center"/>
              <w:rPr>
                <w:rFonts w:eastAsia="仿宋" w:cs="Times New Roman"/>
                <w:sz w:val="21"/>
                <w:lang w:bidi="zh-CN"/>
              </w:rPr>
            </w:pPr>
            <w:r>
              <w:rPr>
                <w:rFonts w:hint="eastAsia" w:eastAsia="仿宋" w:cs="Times New Roman"/>
                <w:sz w:val="21"/>
                <w:lang w:bidi="zh-CN"/>
              </w:rPr>
              <w:t>53.15</w:t>
            </w:r>
          </w:p>
        </w:tc>
        <w:tc>
          <w:tcPr>
            <w:tcW w:w="463" w:type="pct"/>
            <w:tcBorders>
              <w:top w:val="single" w:color="000000" w:sz="4" w:space="0"/>
              <w:left w:val="single" w:color="000000" w:sz="4" w:space="0"/>
              <w:bottom w:val="single" w:color="000000" w:sz="4" w:space="0"/>
              <w:right w:val="single" w:color="000000" w:sz="4" w:space="0"/>
            </w:tcBorders>
            <w:vAlign w:val="center"/>
          </w:tcPr>
          <w:p w14:paraId="62C1190B">
            <w:pPr>
              <w:spacing w:line="240" w:lineRule="auto"/>
              <w:ind w:firstLine="0" w:firstLineChars="0"/>
              <w:jc w:val="center"/>
              <w:rPr>
                <w:rFonts w:eastAsia="仿宋" w:cs="Times New Roman"/>
                <w:sz w:val="21"/>
                <w:lang w:bidi="zh-CN"/>
              </w:rPr>
            </w:pPr>
            <w:r>
              <w:rPr>
                <w:rFonts w:hint="eastAsia" w:eastAsia="仿宋" w:cs="Times New Roman"/>
                <w:sz w:val="21"/>
                <w:lang w:bidi="zh-CN"/>
              </w:rPr>
              <w:t>100.00</w:t>
            </w:r>
          </w:p>
        </w:tc>
        <w:tc>
          <w:tcPr>
            <w:tcW w:w="978" w:type="pct"/>
            <w:tcBorders>
              <w:top w:val="single" w:color="000000" w:sz="4" w:space="0"/>
              <w:left w:val="single" w:color="000000" w:sz="4" w:space="0"/>
              <w:bottom w:val="single" w:color="000000" w:sz="4" w:space="0"/>
              <w:right w:val="single" w:color="000000" w:sz="4" w:space="0"/>
            </w:tcBorders>
            <w:vAlign w:val="center"/>
          </w:tcPr>
          <w:p w14:paraId="24EAADF0">
            <w:pPr>
              <w:spacing w:line="240" w:lineRule="auto"/>
              <w:ind w:firstLine="0" w:firstLineChars="0"/>
              <w:jc w:val="center"/>
              <w:rPr>
                <w:rFonts w:eastAsia="仿宋" w:cs="Times New Roman"/>
                <w:sz w:val="21"/>
                <w:lang w:bidi="zh-CN"/>
              </w:rPr>
            </w:pPr>
            <w:r>
              <w:rPr>
                <w:rFonts w:hint="eastAsia" w:eastAsia="仿宋" w:cs="Times New Roman"/>
                <w:sz w:val="21"/>
                <w:lang w:bidi="zh-CN"/>
              </w:rPr>
              <w:t>0.00</w:t>
            </w:r>
          </w:p>
        </w:tc>
      </w:tr>
    </w:tbl>
    <w:p w14:paraId="2AD0210F">
      <w:pPr>
        <w:widowControl/>
        <w:adjustRightInd w:val="0"/>
        <w:snapToGrid w:val="0"/>
        <w:ind w:firstLine="640"/>
        <w:rPr>
          <w:rFonts w:hint="eastAsia" w:cs="Times New Roman"/>
        </w:rPr>
      </w:pPr>
    </w:p>
    <w:p w14:paraId="63492093">
      <w:pPr>
        <w:pStyle w:val="3"/>
        <w:rPr>
          <w:rFonts w:ascii="Times New Roman" w:hAnsi="Times New Roman" w:cs="Times New Roman"/>
          <w:color w:val="auto"/>
        </w:rPr>
      </w:pPr>
      <w:bookmarkStart w:id="62" w:name="_Toc220921284"/>
      <w:r>
        <w:rPr>
          <w:rFonts w:ascii="Times New Roman" w:hAnsi="Times New Roman" w:cs="Times New Roman"/>
          <w:color w:val="auto"/>
        </w:rPr>
        <w:t>第三节绿地系统和开敞空间</w:t>
      </w:r>
      <w:bookmarkEnd w:id="62"/>
    </w:p>
    <w:p w14:paraId="07739686">
      <w:pPr>
        <w:pStyle w:val="4"/>
        <w:numPr>
          <w:ilvl w:val="0"/>
          <w:numId w:val="28"/>
        </w:numPr>
        <w:ind w:left="198" w:firstLine="641"/>
      </w:pPr>
      <w:r>
        <w:t>绿地系统规划</w:t>
      </w:r>
    </w:p>
    <w:p w14:paraId="78625477">
      <w:pPr>
        <w:ind w:firstLine="640"/>
        <w:rPr>
          <w:rFonts w:cs="Times New Roman"/>
        </w:rPr>
      </w:pPr>
      <w:r>
        <w:rPr>
          <w:rFonts w:cs="Times New Roman"/>
        </w:rPr>
        <w:t>规划在梳理现状水系的基础上，统筹“点、线、面”布局，形成“一核、</w:t>
      </w:r>
      <w:r>
        <w:rPr>
          <w:rFonts w:hint="eastAsia" w:cs="Times New Roman"/>
        </w:rPr>
        <w:t>两轴</w:t>
      </w:r>
      <w:r>
        <w:rPr>
          <w:rFonts w:cs="Times New Roman"/>
        </w:rPr>
        <w:t>、多点”的绿地系统结构。</w:t>
      </w:r>
    </w:p>
    <w:p w14:paraId="6F4F4580">
      <w:pPr>
        <w:ind w:firstLine="640"/>
        <w:rPr>
          <w:rFonts w:cs="Times New Roman"/>
        </w:rPr>
      </w:pPr>
      <w:r>
        <w:rPr>
          <w:rFonts w:cs="Times New Roman"/>
        </w:rPr>
        <w:t>“一核”：乡中心区的大型公园绿地形成的城镇绿核。</w:t>
      </w:r>
    </w:p>
    <w:p w14:paraId="4F2A2B79">
      <w:pPr>
        <w:ind w:firstLine="640"/>
        <w:rPr>
          <w:rFonts w:cs="Times New Roman"/>
        </w:rPr>
      </w:pPr>
      <w:r>
        <w:rPr>
          <w:rFonts w:cs="Times New Roman"/>
        </w:rPr>
        <w:t>“</w:t>
      </w:r>
      <w:r>
        <w:rPr>
          <w:rFonts w:hint="eastAsia" w:cs="Times New Roman"/>
        </w:rPr>
        <w:t>两轴</w:t>
      </w:r>
      <w:r>
        <w:rPr>
          <w:rFonts w:cs="Times New Roman"/>
        </w:rPr>
        <w:t>”：依托县道</w:t>
      </w:r>
      <w:r>
        <w:rPr>
          <w:rFonts w:hint="eastAsia" w:cs="Times New Roman"/>
        </w:rPr>
        <w:t>鹤大线、县道二长公路</w:t>
      </w:r>
      <w:r>
        <w:rPr>
          <w:rFonts w:cs="Times New Roman"/>
        </w:rPr>
        <w:t>形成的交通绿廊</w:t>
      </w:r>
      <w:r>
        <w:rPr>
          <w:rFonts w:hint="eastAsia" w:cs="Times New Roman"/>
        </w:rPr>
        <w:t>，串联起各个绿地斑块</w:t>
      </w:r>
      <w:r>
        <w:rPr>
          <w:rFonts w:cs="Times New Roman"/>
        </w:rPr>
        <w:t>。</w:t>
      </w:r>
    </w:p>
    <w:p w14:paraId="1FD2910F">
      <w:pPr>
        <w:ind w:firstLine="640"/>
        <w:rPr>
          <w:rFonts w:cs="Times New Roman"/>
        </w:rPr>
      </w:pPr>
      <w:r>
        <w:rPr>
          <w:rFonts w:cs="Times New Roman"/>
        </w:rPr>
        <w:t>“多点”：</w:t>
      </w:r>
      <w:r>
        <w:rPr>
          <w:rFonts w:hint="eastAsia" w:cs="Times New Roman"/>
        </w:rPr>
        <w:t>分布于村庄内部的口袋公园、广场等小型绿地节点，与核心和绿带相互呼应，形成完整的绿地网络体系</w:t>
      </w:r>
      <w:r>
        <w:rPr>
          <w:rFonts w:cs="Times New Roman"/>
        </w:rPr>
        <w:t>。</w:t>
      </w:r>
    </w:p>
    <w:p w14:paraId="6C13A697">
      <w:pPr>
        <w:pStyle w:val="4"/>
      </w:pPr>
      <w:r>
        <w:t>公园绿地</w:t>
      </w:r>
    </w:p>
    <w:p w14:paraId="48EAED42">
      <w:pPr>
        <w:ind w:firstLine="640"/>
        <w:rPr>
          <w:rFonts w:cs="Times New Roman"/>
        </w:rPr>
      </w:pPr>
      <w:r>
        <w:rPr>
          <w:rFonts w:hint="eastAsia" w:cs="Times New Roman"/>
        </w:rPr>
        <w:t>在乡中心区的商业中心、文化活动中心等人群聚集区域设置休闲广场，作为居民举办文化活动、集会、社交的场所，广场周边可设置商业服务设施、座椅、景观小品等，营造热闹、活跃的公共空间氛围。</w:t>
      </w:r>
    </w:p>
    <w:p w14:paraId="779CE74C">
      <w:pPr>
        <w:ind w:firstLine="640"/>
        <w:rPr>
          <w:rFonts w:cs="Times New Roman"/>
        </w:rPr>
      </w:pPr>
      <w:r>
        <w:rPr>
          <w:rFonts w:hint="eastAsia" w:cs="Times New Roman"/>
        </w:rPr>
        <w:t>文化活动场地：在具有本地文化特色的区域或历史遗迹周边，规划文化活动场地，用于举办传统节日庆典、民俗表演等活动，展示文化魅力，传承民族精神。</w:t>
      </w:r>
    </w:p>
    <w:p w14:paraId="59624525">
      <w:pPr>
        <w:pStyle w:val="4"/>
      </w:pPr>
      <w:r>
        <w:t>防护绿地</w:t>
      </w:r>
    </w:p>
    <w:p w14:paraId="2A038412">
      <w:pPr>
        <w:ind w:firstLine="640"/>
        <w:rPr>
          <w:rFonts w:cs="Times New Roman"/>
        </w:rPr>
      </w:pPr>
      <w:r>
        <w:rPr>
          <w:rFonts w:cs="Times New Roman"/>
        </w:rPr>
        <w:t>加强道路、高压走廊、工业区卫生隔离带等防护绿带的控制和建设，构建安全、连续的防护绿地空间骨架。架空电力线路规划走廊宽度应按照《城市电力规划规范（GB/T50293）》《电力设施保护条例》及本溪地区有关标准规范执行。公路防护绿地设置应按照国家、辽宁省相关法律、法规及保护条例执行。</w:t>
      </w:r>
    </w:p>
    <w:p w14:paraId="63EE6208">
      <w:pPr>
        <w:pStyle w:val="4"/>
      </w:pPr>
      <w:r>
        <w:t>公共开敞空间</w:t>
      </w:r>
    </w:p>
    <w:p w14:paraId="4B33AF49">
      <w:pPr>
        <w:ind w:firstLine="640"/>
        <w:rPr>
          <w:rFonts w:cs="Times New Roman"/>
        </w:rPr>
      </w:pPr>
      <w:r>
        <w:rPr>
          <w:rFonts w:hint="eastAsia" w:cs="Times New Roman"/>
        </w:rPr>
        <w:t>在中心区核心位置规划一处大型公共活动场地，集文化展示、大型集会、休闲娱乐等多功能于一体，成为黑沟乡的标志性公共空间。在轴线与主要道路交叉口、社区入口等关键位置设置公共开敞空间节点，如小型广场、雕塑公园等，形成视觉焦点和活动集聚点，增强空间的节奏感和吸引力。在商业中心区附近的公园绿地，可设置商业外摆区、露天表演场地等，为商业活动提供休闲空间，促进商业氛围的提升。在文化设施周边的公园绿地，可融入文化元素，如文化雕塑、历史展示墙等，使公园绿地成为文化传播和传承的载体。</w:t>
      </w:r>
    </w:p>
    <w:p w14:paraId="18D87051">
      <w:pPr>
        <w:pStyle w:val="3"/>
        <w:rPr>
          <w:rFonts w:ascii="Times New Roman" w:hAnsi="Times New Roman" w:cs="Times New Roman"/>
          <w:color w:val="auto"/>
        </w:rPr>
      </w:pPr>
      <w:bookmarkStart w:id="63" w:name="_Toc220921285"/>
      <w:r>
        <w:rPr>
          <w:rFonts w:ascii="Times New Roman" w:hAnsi="Times New Roman" w:cs="Times New Roman"/>
          <w:color w:val="auto"/>
        </w:rPr>
        <w:t>第四节景观风貌</w:t>
      </w:r>
      <w:bookmarkEnd w:id="63"/>
    </w:p>
    <w:p w14:paraId="4259A360">
      <w:pPr>
        <w:pStyle w:val="4"/>
        <w:numPr>
          <w:ilvl w:val="0"/>
          <w:numId w:val="29"/>
        </w:numPr>
        <w:ind w:left="198" w:firstLine="641"/>
      </w:pPr>
      <w:r>
        <w:t>景观风貌引导</w:t>
      </w:r>
    </w:p>
    <w:p w14:paraId="03DD6C73">
      <w:pPr>
        <w:ind w:firstLine="640"/>
        <w:rPr>
          <w:rFonts w:cs="Times New Roman"/>
        </w:rPr>
      </w:pPr>
      <w:r>
        <w:rPr>
          <w:rFonts w:hint="eastAsia" w:cs="Times New Roman"/>
        </w:rPr>
        <w:t>黑沟乡中心区的建筑风格应与周边景观协调一致。推广传统建筑风格或现代建筑风格的融合设计，兼顾建筑外观的美学价值与实用性。应引导居民与商家参与建筑外观的改造与美化工作，以提升中心区的整体形象。在规划中应体现人文关怀，充分考虑居民与游客的需求和体验。通过设置艺术装置、雕塑等景观元素，丰富中心区的艺术气息和文化内涵。依托当地丰富的山林资源，建设生态公园、休闲步道等自然景观设施，使居民与游客在享受自然的同时，体验黑沟乡的自然之美。</w:t>
      </w:r>
    </w:p>
    <w:p w14:paraId="609631B2">
      <w:pPr>
        <w:pStyle w:val="4"/>
      </w:pPr>
      <w:r>
        <w:t>景观风貌分区</w:t>
      </w:r>
    </w:p>
    <w:p w14:paraId="7CFD6329">
      <w:pPr>
        <w:ind w:firstLine="640"/>
        <w:rPr>
          <w:rFonts w:cs="Times New Roman"/>
        </w:rPr>
      </w:pPr>
      <w:r>
        <w:rPr>
          <w:rFonts w:cs="Times New Roman"/>
        </w:rPr>
        <w:t>根据不同片区的功能和场地特征差异，规划形成</w:t>
      </w:r>
      <w:r>
        <w:rPr>
          <w:rFonts w:hint="eastAsia" w:cs="Times New Roman"/>
        </w:rPr>
        <w:t>四</w:t>
      </w:r>
      <w:r>
        <w:rPr>
          <w:rFonts w:cs="Times New Roman"/>
        </w:rPr>
        <w:t>片建筑风貌分区，分别为传统</w:t>
      </w:r>
      <w:r>
        <w:rPr>
          <w:rFonts w:hint="eastAsia" w:cs="Times New Roman"/>
        </w:rPr>
        <w:t>生活居住</w:t>
      </w:r>
      <w:r>
        <w:rPr>
          <w:rFonts w:cs="Times New Roman"/>
        </w:rPr>
        <w:t>风貌</w:t>
      </w:r>
      <w:r>
        <w:rPr>
          <w:rFonts w:hint="eastAsia" w:cs="Times New Roman"/>
        </w:rPr>
        <w:t>区</w:t>
      </w:r>
      <w:r>
        <w:rPr>
          <w:rFonts w:cs="Times New Roman"/>
        </w:rPr>
        <w:t>、</w:t>
      </w:r>
      <w:r>
        <w:rPr>
          <w:rFonts w:hint="eastAsia" w:cs="Times New Roman"/>
        </w:rPr>
        <w:t>商业活力</w:t>
      </w:r>
      <w:r>
        <w:rPr>
          <w:rFonts w:cs="Times New Roman"/>
        </w:rPr>
        <w:t>风貌</w:t>
      </w:r>
      <w:r>
        <w:rPr>
          <w:rFonts w:hint="eastAsia" w:cs="Times New Roman"/>
        </w:rPr>
        <w:t>区</w:t>
      </w:r>
      <w:r>
        <w:rPr>
          <w:rFonts w:cs="Times New Roman"/>
        </w:rPr>
        <w:t>、</w:t>
      </w:r>
      <w:r>
        <w:rPr>
          <w:rFonts w:hint="eastAsia" w:cs="Times New Roman"/>
        </w:rPr>
        <w:t>现代工业风貌区、农业观光风貌区</w:t>
      </w:r>
      <w:r>
        <w:rPr>
          <w:rFonts w:cs="Times New Roman"/>
        </w:rPr>
        <w:t>。</w:t>
      </w:r>
    </w:p>
    <w:p w14:paraId="1FD21282">
      <w:pPr>
        <w:ind w:firstLine="640"/>
        <w:rPr>
          <w:rFonts w:cs="Times New Roman"/>
        </w:rPr>
      </w:pPr>
      <w:r>
        <w:rPr>
          <w:rFonts w:hint="eastAsia" w:cs="Times New Roman"/>
        </w:rPr>
        <w:t>生活居住</w:t>
      </w:r>
      <w:r>
        <w:rPr>
          <w:rFonts w:cs="Times New Roman"/>
        </w:rPr>
        <w:t>风貌</w:t>
      </w:r>
      <w:r>
        <w:rPr>
          <w:rFonts w:hint="eastAsia" w:cs="Times New Roman"/>
        </w:rPr>
        <w:t>区：包括现有的居民聚居点。规划注重提升居住环境品质，完善基础设施配套，增加公共绿地与休闲空间，鼓励居民建筑采用传统与现代相结合的风格，传承地域文化特色。</w:t>
      </w:r>
    </w:p>
    <w:p w14:paraId="591CCD62">
      <w:pPr>
        <w:ind w:firstLine="640"/>
        <w:rPr>
          <w:rFonts w:cs="Times New Roman"/>
        </w:rPr>
      </w:pPr>
      <w:r>
        <w:rPr>
          <w:rFonts w:hint="eastAsia" w:cs="Times New Roman"/>
        </w:rPr>
        <w:t>商业活力</w:t>
      </w:r>
      <w:r>
        <w:rPr>
          <w:rFonts w:cs="Times New Roman"/>
        </w:rPr>
        <w:t>风貌</w:t>
      </w:r>
      <w:r>
        <w:rPr>
          <w:rFonts w:hint="eastAsia" w:cs="Times New Roman"/>
        </w:rPr>
        <w:t>区：鼓励建设具有现代风格与地方特色相结合的商业建筑，营造繁华热闹的商业氛围。优化商业布局，设置景观小品、休憩座椅、街头绿地等，提升购物休闲体验，吸引游客与本地居民消费，拉动区域经济增长。</w:t>
      </w:r>
    </w:p>
    <w:p w14:paraId="40FFFF5E">
      <w:pPr>
        <w:ind w:firstLine="640"/>
        <w:rPr>
          <w:rFonts w:cs="Times New Roman"/>
        </w:rPr>
      </w:pPr>
      <w:r>
        <w:rPr>
          <w:rFonts w:hint="eastAsia" w:cs="Times New Roman"/>
        </w:rPr>
        <w:t>现代工业风貌区：鼓励工业企业采用现代、简洁的建筑风格，注重建筑的功能性与环保性。厂房外观设计可结合企业特点与产业特色元素，增加建筑的辨识度与美观度。同时，加强工业建筑的绿色建筑设计，推广应用节能、环保技术与材料。</w:t>
      </w:r>
    </w:p>
    <w:p w14:paraId="37F4A007">
      <w:pPr>
        <w:ind w:firstLine="640"/>
        <w:rPr>
          <w:rFonts w:cs="Times New Roman"/>
        </w:rPr>
      </w:pPr>
      <w:r>
        <w:rPr>
          <w:rFonts w:hint="eastAsia" w:cs="Times New Roman"/>
        </w:rPr>
        <w:t>农业观光</w:t>
      </w:r>
      <w:r>
        <w:rPr>
          <w:rFonts w:cs="Times New Roman"/>
        </w:rPr>
        <w:t>风貌</w:t>
      </w:r>
      <w:r>
        <w:rPr>
          <w:rFonts w:hint="eastAsia" w:cs="Times New Roman"/>
        </w:rPr>
        <w:t>区：位于镇中心区周围农田集中区域。结合农业生产，发展观光农业，规划特色农田景观、采摘体验园、农事活动体验区等，建筑以简洁实用的农业生产与观光服务设施为主，如农产品展销中心、农家乐等。</w:t>
      </w:r>
    </w:p>
    <w:p w14:paraId="3EABEF14">
      <w:pPr>
        <w:pStyle w:val="4"/>
      </w:pPr>
      <w:r>
        <w:t>开发强度分区指引</w:t>
      </w:r>
    </w:p>
    <w:p w14:paraId="64FFB77E">
      <w:pPr>
        <w:widowControl/>
        <w:adjustRightInd w:val="0"/>
        <w:snapToGrid w:val="0"/>
        <w:ind w:firstLine="640"/>
        <w:rPr>
          <w:rFonts w:cs="Times New Roman"/>
        </w:rPr>
      </w:pPr>
      <w:r>
        <w:rPr>
          <w:rFonts w:cs="Times New Roman"/>
        </w:rPr>
        <w:t>建设用地开发强度按三级控制，实行差异化的土地开发强度管制。</w:t>
      </w:r>
    </w:p>
    <w:p w14:paraId="412F45D3">
      <w:pPr>
        <w:ind w:firstLine="640"/>
        <w:rPr>
          <w:rFonts w:cs="Times New Roman"/>
        </w:rPr>
      </w:pPr>
      <w:r>
        <w:rPr>
          <w:rFonts w:cs="Times New Roman"/>
        </w:rPr>
        <w:t>1.开发强度I区：中低强度开发地区。主要分布于已建片区为中低强度开发居住地块和工业地块，控制容积率0.8-1.0，建筑高度宜小于15米。乡中心区内部水体、山体周边或城镇开敞空间周边的建筑高度控制区域，以及视线通廊控制范围内，打造宜人的城镇风貌，视觉走廊下建筑高度不宜大于15米。工业用地容积率应高于0.8。</w:t>
      </w:r>
    </w:p>
    <w:p w14:paraId="4D967C74">
      <w:pPr>
        <w:ind w:firstLine="640"/>
        <w:rPr>
          <w:rFonts w:cs="Times New Roman"/>
        </w:rPr>
      </w:pPr>
      <w:r>
        <w:rPr>
          <w:rFonts w:cs="Times New Roman"/>
        </w:rPr>
        <w:t>2.开发强度II区：包括为公共设施用地。奠定基准建筑高度，打造整体舒缓的城镇基底风貌。区内独立地块容积率不宜高于1.5，平均容积率为1.0-1.2，建筑密度不宜大于30%，建筑高度不宜高于15米。</w:t>
      </w:r>
    </w:p>
    <w:p w14:paraId="21314EF3">
      <w:pPr>
        <w:pStyle w:val="4"/>
      </w:pPr>
      <w:r>
        <w:rPr>
          <w:rFonts w:hint="eastAsia"/>
        </w:rPr>
        <w:t>规划引导策略</w:t>
      </w:r>
    </w:p>
    <w:p w14:paraId="7BAE8DD3">
      <w:pPr>
        <w:ind w:firstLine="640"/>
        <w:rPr>
          <w:rFonts w:cs="Times New Roman"/>
        </w:rPr>
      </w:pPr>
      <w:r>
        <w:rPr>
          <w:rFonts w:hint="eastAsia" w:cs="Times New Roman"/>
        </w:rPr>
        <w:t>建筑风貌引导：核心景观区建筑采用传统与现代融合的风格，运用当地的建筑材料与特色元素，如木质结构、石材装饰等，色彩以淡雅为主。生活居住区建筑在满足现代居住功能的基础上，融入传统民居坡屋顶、雕花门窗等元素，形成统一而富有变化的建筑风貌。农业观光区建筑突出农业主题，采用简易的钢结构与木结构相结合，造型简洁明快，便于农业生产与游客活动。</w:t>
      </w:r>
    </w:p>
    <w:p w14:paraId="7283D7C7">
      <w:pPr>
        <w:ind w:firstLine="640"/>
        <w:rPr>
          <w:rFonts w:cs="Times New Roman"/>
        </w:rPr>
      </w:pPr>
      <w:r>
        <w:rPr>
          <w:rFonts w:hint="eastAsia" w:cs="Times New Roman"/>
        </w:rPr>
        <w:t>景观元素引导：保护和利用现有的自然景观资源，如对山林进行抚育，保持河流的自然岸线，在适当区域营造湿地景观。在不同分区设置特色景观小品，如核心景观区的文化雕塑、生态保育区的科普标识牌、生活居住区的民俗文化展示墙、农业观光区的农业主题雕塑等。</w:t>
      </w:r>
    </w:p>
    <w:p w14:paraId="46F9DE82">
      <w:pPr>
        <w:ind w:firstLine="640"/>
        <w:rPr>
          <w:rFonts w:cs="Times New Roman"/>
        </w:rPr>
      </w:pPr>
      <w:r>
        <w:rPr>
          <w:rFonts w:hint="eastAsia" w:cs="Times New Roman"/>
        </w:rPr>
        <w:t>交通与游线规划：构建便捷的内部交通网络，连接各个规划分区，设置自行车道与步行道，鼓励绿色出行。规划旅游游线，如以核心景观区为起点，串联生态保育区、农业观光区等，设计不同时长与主题的游览线路，提高游客的体验感与游览效率。</w:t>
      </w:r>
    </w:p>
    <w:p w14:paraId="7ADA0CBF">
      <w:pPr>
        <w:pStyle w:val="3"/>
        <w:rPr>
          <w:rFonts w:ascii="Times New Roman" w:hAnsi="Times New Roman" w:cs="Times New Roman"/>
          <w:color w:val="auto"/>
        </w:rPr>
      </w:pPr>
      <w:bookmarkStart w:id="64" w:name="_Toc220921286"/>
      <w:r>
        <w:rPr>
          <w:rFonts w:ascii="Times New Roman" w:hAnsi="Times New Roman" w:cs="Times New Roman"/>
          <w:color w:val="auto"/>
        </w:rPr>
        <w:t>第五节住房保障</w:t>
      </w:r>
      <w:bookmarkEnd w:id="64"/>
    </w:p>
    <w:p w14:paraId="1A27EE54">
      <w:pPr>
        <w:pStyle w:val="4"/>
        <w:numPr>
          <w:ilvl w:val="0"/>
          <w:numId w:val="30"/>
        </w:numPr>
        <w:ind w:left="198" w:firstLine="641"/>
      </w:pPr>
      <w:r>
        <w:t>居住用地规模和布局</w:t>
      </w:r>
    </w:p>
    <w:p w14:paraId="08EED892">
      <w:pPr>
        <w:widowControl/>
        <w:adjustRightInd w:val="0"/>
        <w:snapToGrid w:val="0"/>
        <w:ind w:firstLine="640"/>
        <w:rPr>
          <w:rFonts w:cs="Times New Roman"/>
        </w:rPr>
      </w:pPr>
      <w:bookmarkStart w:id="65" w:name="_Hlk133418041"/>
      <w:r>
        <w:rPr>
          <w:rFonts w:cs="Times New Roman"/>
        </w:rPr>
        <w:t>充分对接住房建设需求，严格落实供地调控机制，强化保障性住房建设和管理，逐步建立以公租房、保障性租赁住房和共有产权住房为主体的住房保障体系。规划至2035年，城镇人均住房面积达到45平方米。新增住宅用地供应优先安排在公共空间和公益性设施实施情况较好的地区</w:t>
      </w:r>
      <w:bookmarkEnd w:id="65"/>
      <w:r>
        <w:rPr>
          <w:rFonts w:cs="Times New Roman"/>
        </w:rPr>
        <w:t>。</w:t>
      </w:r>
    </w:p>
    <w:p w14:paraId="4DF71A87">
      <w:pPr>
        <w:pStyle w:val="4"/>
      </w:pPr>
      <w:r>
        <w:t>住房保障建设</w:t>
      </w:r>
    </w:p>
    <w:p w14:paraId="1BC17D72">
      <w:pPr>
        <w:widowControl/>
        <w:adjustRightInd w:val="0"/>
        <w:snapToGrid w:val="0"/>
        <w:ind w:firstLine="640"/>
        <w:rPr>
          <w:rFonts w:cs="Times New Roman"/>
        </w:rPr>
      </w:pPr>
      <w:bookmarkStart w:id="66" w:name="_Hlk129180793"/>
      <w:bookmarkStart w:id="67" w:name="_Hlk131090464"/>
      <w:r>
        <w:rPr>
          <w:rFonts w:cs="Times New Roman"/>
        </w:rPr>
        <w:t>提升住房保障水平，不断增加保障性住房供给。</w:t>
      </w:r>
      <w:r>
        <w:rPr>
          <w:rFonts w:hint="eastAsia" w:cs="Times New Roman"/>
        </w:rPr>
        <w:t>积极引导村民有序建房，形成错落有致、功能分区明确的中心区格局。</w:t>
      </w:r>
      <w:r>
        <w:rPr>
          <w:rFonts w:cs="Times New Roman"/>
        </w:rPr>
        <w:t>建设完整居住社区。实施城镇更新</w:t>
      </w:r>
      <w:r>
        <w:rPr>
          <w:rFonts w:hint="eastAsia" w:cs="Times New Roman"/>
        </w:rPr>
        <w:t>、存量更新</w:t>
      </w:r>
      <w:r>
        <w:rPr>
          <w:rFonts w:cs="Times New Roman"/>
        </w:rPr>
        <w:t>行动，加强社区治理，</w:t>
      </w:r>
      <w:r>
        <w:rPr>
          <w:rFonts w:hint="eastAsia" w:cs="Times New Roman"/>
        </w:rPr>
        <w:t>加强公共服务设施与居住用地的整合规划，在居住区内合理配置学校、幼儿园、卫生室、文化活动中心、超市等设施，打造便捷的生活圈，提高村民生活便利性</w:t>
      </w:r>
      <w:r>
        <w:rPr>
          <w:rFonts w:cs="Times New Roman"/>
        </w:rPr>
        <w:t>，推进基础设施提档升级。</w:t>
      </w:r>
    </w:p>
    <w:bookmarkEnd w:id="66"/>
    <w:bookmarkEnd w:id="67"/>
    <w:p w14:paraId="68F62E11">
      <w:pPr>
        <w:pStyle w:val="3"/>
        <w:rPr>
          <w:rFonts w:ascii="Times New Roman" w:hAnsi="Times New Roman" w:cs="Times New Roman"/>
          <w:color w:val="auto"/>
        </w:rPr>
      </w:pPr>
      <w:bookmarkStart w:id="68" w:name="_Toc220921287"/>
      <w:r>
        <w:rPr>
          <w:rFonts w:ascii="Times New Roman" w:hAnsi="Times New Roman" w:cs="Times New Roman"/>
          <w:color w:val="auto"/>
        </w:rPr>
        <w:t>第六节城镇更新</w:t>
      </w:r>
      <w:bookmarkEnd w:id="68"/>
    </w:p>
    <w:p w14:paraId="47523018">
      <w:pPr>
        <w:pStyle w:val="4"/>
        <w:numPr>
          <w:ilvl w:val="0"/>
          <w:numId w:val="31"/>
        </w:numPr>
        <w:ind w:left="198" w:firstLine="641"/>
      </w:pPr>
      <w:r>
        <w:t>推进存量用地盘活利用</w:t>
      </w:r>
    </w:p>
    <w:p w14:paraId="370BF477">
      <w:pPr>
        <w:widowControl/>
        <w:adjustRightInd w:val="0"/>
        <w:snapToGrid w:val="0"/>
        <w:ind w:firstLine="640"/>
        <w:rPr>
          <w:rFonts w:cs="Times New Roman"/>
        </w:rPr>
      </w:pPr>
      <w:bookmarkStart w:id="69" w:name="_Hlk131095086"/>
      <w:r>
        <w:rPr>
          <w:rFonts w:cs="Times New Roman"/>
        </w:rPr>
        <w:t>加大存量用地挖潜消化力度，积极推进低效用地减量，鼓励引导各项城镇建设节约集约利用土地，全面提升土地利用效率。按照属地原则盘活空间，优先用于重点片区建设。推动利用存量建设用地补齐民生公共服务设施短板。严格落实建设用地“增存挂钩”机制</w:t>
      </w:r>
      <w:bookmarkEnd w:id="69"/>
      <w:r>
        <w:rPr>
          <w:rFonts w:cs="Times New Roman"/>
        </w:rPr>
        <w:t>。</w:t>
      </w:r>
    </w:p>
    <w:p w14:paraId="60AE5AB6">
      <w:pPr>
        <w:pStyle w:val="4"/>
      </w:pPr>
      <w:r>
        <w:t>有序推进</w:t>
      </w:r>
      <w:r>
        <w:rPr>
          <w:rFonts w:hint="eastAsia"/>
        </w:rPr>
        <w:t>“存量更新”</w:t>
      </w:r>
    </w:p>
    <w:p w14:paraId="1BDADE06">
      <w:pPr>
        <w:widowControl/>
        <w:adjustRightInd w:val="0"/>
        <w:snapToGrid w:val="0"/>
        <w:ind w:firstLine="640"/>
        <w:rPr>
          <w:rFonts w:cs="Times New Roman"/>
        </w:rPr>
      </w:pPr>
      <w:r>
        <w:rPr>
          <w:rFonts w:hint="eastAsia" w:cs="Times New Roman"/>
        </w:rPr>
        <w:t>开展存量更新，通过环境整治、公共空间优化、建筑外观美化等手段进行改造。鼓励设置庭院空间，可用于种植蔬菜、花卉等，既满足居民自给自足的生活需求，又能美化环境。开展环境整治行动，清理垃圾杂物，治理污水排放。打造景观节点，如在河流沿岸建设滨水景观带，在公共空间设置雕塑、花坛等景观小品，提高中心区的整体环境品质与景观吸引力</w:t>
      </w:r>
      <w:r>
        <w:rPr>
          <w:rFonts w:cs="Times New Roman"/>
        </w:rPr>
        <w:t>。</w:t>
      </w:r>
      <w:r>
        <w:rPr>
          <w:rFonts w:hint="eastAsia" w:cs="Times New Roman"/>
        </w:rPr>
        <w:t>拓宽和改造主要道路，增加人行道与自行车道，规划建设公共停车场与智能交通系统。更新老化的给排水管道，建设污水处理设施，提高水资源利用效率。升级改造供电网络，实现通信网络全覆盖，推进智能化基础设施建设。</w:t>
      </w:r>
    </w:p>
    <w:p w14:paraId="368440DB">
      <w:pPr>
        <w:pStyle w:val="3"/>
        <w:rPr>
          <w:rFonts w:ascii="Times New Roman" w:hAnsi="Times New Roman" w:cs="Times New Roman"/>
          <w:color w:val="auto"/>
        </w:rPr>
      </w:pPr>
      <w:bookmarkStart w:id="70" w:name="_Toc220921288"/>
      <w:r>
        <w:rPr>
          <w:rFonts w:ascii="Times New Roman" w:hAnsi="Times New Roman" w:cs="Times New Roman"/>
          <w:color w:val="auto"/>
        </w:rPr>
        <w:t>第七节“四线”管控</w:t>
      </w:r>
      <w:bookmarkEnd w:id="70"/>
    </w:p>
    <w:p w14:paraId="0AB8DFA3">
      <w:pPr>
        <w:pStyle w:val="4"/>
        <w:numPr>
          <w:ilvl w:val="0"/>
          <w:numId w:val="32"/>
        </w:numPr>
        <w:ind w:left="198" w:firstLine="641"/>
      </w:pPr>
      <w:r>
        <w:t>绿线管控</w:t>
      </w:r>
    </w:p>
    <w:p w14:paraId="71682E07">
      <w:pPr>
        <w:widowControl/>
        <w:ind w:firstLine="640"/>
        <w:rPr>
          <w:rFonts w:cs="Times New Roman"/>
          <w:u w:val="single"/>
        </w:rPr>
      </w:pPr>
      <w:r>
        <w:rPr>
          <w:rFonts w:cs="Times New Roman"/>
          <w:u w:val="single"/>
        </w:rPr>
        <w:t>将对居民生活有重要影响的重要公园绿地、防护绿地和广场用地等结构性城市绿地和结构性生态绿地划定为绿线，绿线控制范围0.10公顷，参照《城市绿线管理办法》管控。</w:t>
      </w:r>
    </w:p>
    <w:p w14:paraId="44BABD20">
      <w:pPr>
        <w:widowControl/>
        <w:adjustRightInd w:val="0"/>
        <w:snapToGrid w:val="0"/>
        <w:ind w:firstLine="640"/>
        <w:rPr>
          <w:rFonts w:cs="Times New Roman"/>
        </w:rPr>
      </w:pPr>
      <w:r>
        <w:rPr>
          <w:rFonts w:hint="eastAsia" w:cs="Times New Roman"/>
        </w:rPr>
        <w:t>绿线内的用地，不得改作他用，不得违反法律法规、强制性标准以及批准的规划进行开发建设；有关部门不得违反规定，批准在绿线范围内进行建设；因建设或者其他特殊情况，需要临时占用绿线内用地的，必须依法办理相关审批手续；在绿线范围内，不符合规划要求的建筑物、构筑物及其他设施应当限期迁出；任何单位和个人不得在绿地范围内进行拦河截溪、取土采石、设置垃圾堆场、排放污水以及其他对生态环境构成破坏的活动。</w:t>
      </w:r>
    </w:p>
    <w:p w14:paraId="4AF654C2">
      <w:pPr>
        <w:pStyle w:val="4"/>
      </w:pPr>
      <w:r>
        <w:t>黄线管控</w:t>
      </w:r>
    </w:p>
    <w:p w14:paraId="671E7209">
      <w:pPr>
        <w:ind w:firstLine="640"/>
        <w:rPr>
          <w:rFonts w:cs="Times New Roman"/>
        </w:rPr>
      </w:pPr>
      <w:r>
        <w:rPr>
          <w:rFonts w:cs="Times New Roman"/>
          <w:u w:val="single"/>
        </w:rPr>
        <w:t>将给水设施、排水设施、电力设施、通信设施、燃气设施、热力设施、环卫设施等划入城镇黄线范围，黄线控制范围</w:t>
      </w:r>
      <w:r>
        <w:rPr>
          <w:rFonts w:hint="eastAsia" w:cs="Times New Roman"/>
          <w:u w:val="single"/>
        </w:rPr>
        <w:t>0.25</w:t>
      </w:r>
      <w:r>
        <w:rPr>
          <w:rFonts w:cs="Times New Roman"/>
          <w:u w:val="single"/>
        </w:rPr>
        <w:t>公顷。纳入黄线管控的线性设施满足走向不改变、服务片区不改变，面状设施用地规模不减小、服务功能不减弱的前提下，黄线的具体边界、定位可在详细规划编制和实施中落实，黄线的调整应符合国家有关规定。按照《城市黄线管理办法》及相关空间管控要求，对黄线进行严格管理。</w:t>
      </w:r>
      <w:r>
        <w:rPr>
          <w:rFonts w:cs="Times New Roman"/>
        </w:rPr>
        <w:t>城市黄线控制范围除保障设施自身运行安全外，应考虑与周围其他建（构）筑物的间距要求，对现有损坏或影响城市基础设施安全、正常运作的用地，应当限期整改或拆除。</w:t>
      </w:r>
    </w:p>
    <w:p w14:paraId="1609C220">
      <w:pPr>
        <w:pStyle w:val="4"/>
      </w:pPr>
      <w:r>
        <w:t>蓝线管控</w:t>
      </w:r>
    </w:p>
    <w:p w14:paraId="0F690CF6">
      <w:pPr>
        <w:widowControl/>
        <w:adjustRightInd w:val="0"/>
        <w:snapToGrid w:val="0"/>
        <w:ind w:firstLine="640"/>
      </w:pPr>
      <w:r>
        <w:rPr>
          <w:rFonts w:hint="eastAsia" w:cs="Times New Roman"/>
        </w:rPr>
        <w:t>黑沟</w:t>
      </w:r>
      <w:r>
        <w:rPr>
          <w:rFonts w:cs="Times New Roman"/>
        </w:rPr>
        <w:t>乡中心区不涉及城市</w:t>
      </w:r>
      <w:r>
        <w:rPr>
          <w:rFonts w:hint="eastAsia" w:cs="Times New Roman"/>
        </w:rPr>
        <w:t>蓝</w:t>
      </w:r>
      <w:r>
        <w:rPr>
          <w:rFonts w:cs="Times New Roman"/>
        </w:rPr>
        <w:t>线。</w:t>
      </w:r>
    </w:p>
    <w:p w14:paraId="4C22E9D8">
      <w:pPr>
        <w:pStyle w:val="4"/>
      </w:pPr>
      <w:r>
        <w:t>紫线管控</w:t>
      </w:r>
    </w:p>
    <w:p w14:paraId="7271F150">
      <w:pPr>
        <w:widowControl/>
        <w:adjustRightInd w:val="0"/>
        <w:snapToGrid w:val="0"/>
        <w:ind w:firstLine="640"/>
        <w:rPr>
          <w:rFonts w:cs="Times New Roman"/>
        </w:rPr>
      </w:pPr>
      <w:bookmarkStart w:id="71" w:name="OLE_LINK2"/>
      <w:r>
        <w:rPr>
          <w:rFonts w:hint="eastAsia" w:cs="Times New Roman"/>
        </w:rPr>
        <w:t>黑沟</w:t>
      </w:r>
      <w:r>
        <w:rPr>
          <w:rFonts w:cs="Times New Roman"/>
        </w:rPr>
        <w:t>乡中心区不涉及城市紫线。</w:t>
      </w:r>
    </w:p>
    <w:bookmarkEnd w:id="71"/>
    <w:p w14:paraId="18436ED8">
      <w:pPr>
        <w:widowControl/>
        <w:adjustRightInd w:val="0"/>
        <w:snapToGrid w:val="0"/>
        <w:ind w:firstLine="640"/>
        <w:rPr>
          <w:rFonts w:cs="Times New Roman"/>
          <w:u w:val="single"/>
        </w:rPr>
      </w:pPr>
    </w:p>
    <w:p w14:paraId="6E0013C8">
      <w:pPr>
        <w:pStyle w:val="2"/>
        <w:spacing w:before="312" w:after="312"/>
        <w:rPr>
          <w:rFonts w:ascii="Times New Roman" w:hAnsi="Times New Roman" w:cs="Times New Roman"/>
          <w:color w:val="auto"/>
        </w:rPr>
      </w:pPr>
      <w:bookmarkStart w:id="72" w:name="_Toc220921289"/>
      <w:r>
        <w:rPr>
          <w:rFonts w:ascii="Times New Roman" w:hAnsi="Times New Roman" w:cs="Times New Roman"/>
          <w:color w:val="auto"/>
        </w:rPr>
        <w:t>第</w:t>
      </w:r>
      <w:r>
        <w:rPr>
          <w:rFonts w:hint="eastAsia" w:ascii="Times New Roman" w:hAnsi="Times New Roman" w:cs="Times New Roman"/>
          <w:color w:val="auto"/>
        </w:rPr>
        <w:t>九</w:t>
      </w:r>
      <w:r>
        <w:rPr>
          <w:rFonts w:ascii="Times New Roman" w:hAnsi="Times New Roman" w:cs="Times New Roman"/>
          <w:color w:val="auto"/>
        </w:rPr>
        <w:t>章国土空间保障支撑体系</w:t>
      </w:r>
      <w:bookmarkEnd w:id="72"/>
    </w:p>
    <w:p w14:paraId="1403CC28">
      <w:pPr>
        <w:pStyle w:val="3"/>
        <w:rPr>
          <w:rFonts w:ascii="Times New Roman" w:hAnsi="Times New Roman" w:cs="Times New Roman"/>
          <w:color w:val="auto"/>
        </w:rPr>
      </w:pPr>
      <w:bookmarkStart w:id="73" w:name="_Toc220921290"/>
      <w:r>
        <w:rPr>
          <w:rFonts w:ascii="Times New Roman" w:hAnsi="Times New Roman" w:cs="Times New Roman"/>
          <w:color w:val="auto"/>
        </w:rPr>
        <w:t>第一节公共服务设施</w:t>
      </w:r>
      <w:bookmarkEnd w:id="73"/>
    </w:p>
    <w:p w14:paraId="70BBCE9B">
      <w:pPr>
        <w:pStyle w:val="4"/>
        <w:numPr>
          <w:ilvl w:val="0"/>
          <w:numId w:val="33"/>
        </w:numPr>
        <w:ind w:left="198" w:firstLine="641"/>
      </w:pPr>
      <w:r>
        <w:t>完善城乡公共服务体系</w:t>
      </w:r>
    </w:p>
    <w:p w14:paraId="6FF1F35C">
      <w:pPr>
        <w:widowControl/>
        <w:adjustRightInd w:val="0"/>
        <w:snapToGrid w:val="0"/>
        <w:ind w:firstLine="640"/>
        <w:rPr>
          <w:rFonts w:cs="Times New Roman"/>
        </w:rPr>
      </w:pPr>
      <w:r>
        <w:rPr>
          <w:rFonts w:cs="Times New Roman"/>
        </w:rPr>
        <w:t>建设“乡中心区—村级”两级公共服务设施体系，形成多层次、全覆盖、人性化的基本公共服务网络。乡级公共服务设施集中布置在乡中心区内，集中建设包括政府、中心幼儿园、文化站、卫生院、集贸市场、活动中心、文化广场等公共服务设施，建立设施完善的服务体系。村级公共服务设施应本着节约土地、充分利用存量土地、集中布局的原则，按照乡村振兴的总体要求，根据各村发展条件，主要建设村委会、卫生所、文化站、活动广场等服务设施，满足村民基本生活需求。对于旅游特色村，要重点配套和完善旅游住宿、旅游餐饮、旅游购物等旅游服务设施。</w:t>
      </w:r>
    </w:p>
    <w:p w14:paraId="301215B8">
      <w:pPr>
        <w:widowControl/>
        <w:adjustRightInd w:val="0"/>
        <w:snapToGrid w:val="0"/>
        <w:ind w:firstLine="640"/>
        <w:rPr>
          <w:rFonts w:cs="Times New Roman"/>
        </w:rPr>
      </w:pPr>
      <w:r>
        <w:rPr>
          <w:rFonts w:cs="Times New Roman"/>
          <w:lang w:bidi="ar"/>
        </w:rPr>
        <w:t>综合考虑交通条件、村民出行距离和生产生活习惯、交通条件等因素，</w:t>
      </w:r>
      <w:r>
        <w:rPr>
          <w:rFonts w:cs="Times New Roman"/>
        </w:rPr>
        <w:t>按照慢行可达的空间范围，构建“行政村—自然村”两个层级的乡村社区生活圈，健全全民覆盖、普惠共享、城乡一体的基本公共服务体系。合理配置公共服务和生产服务设施，满足居民行政便民、文体休闲、健康卫生、基础教育、养老关怀、商业商贸等需求。到规划期末，综合服务设施覆盖率达到85%以上。</w:t>
      </w:r>
    </w:p>
    <w:p w14:paraId="40D81314">
      <w:pPr>
        <w:widowControl/>
        <w:adjustRightInd w:val="0"/>
        <w:snapToGrid w:val="0"/>
        <w:ind w:firstLine="640"/>
        <w:rPr>
          <w:rFonts w:cs="Times New Roman"/>
        </w:rPr>
      </w:pPr>
      <w:r>
        <w:rPr>
          <w:rFonts w:cs="Times New Roman"/>
        </w:rPr>
        <w:t>完善文化休闲设施功能布局。开展综合文化中心、展览馆等文化设施建设。乡中心区建设1个综合性文化服务中心（文化站），在各行政村设置综合文化室</w:t>
      </w:r>
      <w:r>
        <w:rPr>
          <w:rFonts w:hint="eastAsia" w:cs="Times New Roman"/>
        </w:rPr>
        <w:t>、法律法规宣传室</w:t>
      </w:r>
      <w:r>
        <w:rPr>
          <w:rFonts w:cs="Times New Roman"/>
        </w:rPr>
        <w:t>，开展村级综合性文化室提质升级工作，达到建设标准。</w:t>
      </w:r>
    </w:p>
    <w:p w14:paraId="3C60BAEF">
      <w:pPr>
        <w:widowControl/>
        <w:adjustRightInd w:val="0"/>
        <w:snapToGrid w:val="0"/>
        <w:ind w:firstLine="640"/>
        <w:rPr>
          <w:rFonts w:cs="Times New Roman"/>
        </w:rPr>
      </w:pPr>
      <w:r>
        <w:rPr>
          <w:rFonts w:cs="Times New Roman"/>
        </w:rPr>
        <w:t>提高全民健身场地设施供给水平。充分利用公园绿地资源，打造具有特色的健身休闲集聚区。改善全民健身服务供给水平，乡中心区布局1处镇级全民健身活动中心，配置篮球场、健身器材等基本体育设施。提升农村地区全民健身服务质量，在中心村布局村级体育健身点，配置健身器材和健身步道。</w:t>
      </w:r>
    </w:p>
    <w:p w14:paraId="65F04667">
      <w:pPr>
        <w:widowControl/>
        <w:adjustRightInd w:val="0"/>
        <w:snapToGrid w:val="0"/>
        <w:ind w:firstLine="640"/>
        <w:rPr>
          <w:rFonts w:cs="Times New Roman"/>
        </w:rPr>
      </w:pPr>
      <w:r>
        <w:rPr>
          <w:rFonts w:cs="Times New Roman"/>
        </w:rPr>
        <w:t>优化教育设施功能布局。以实现镇域内学校标准化、师资均衡化、配备现代化、质量优质化的建设目标，加大推进义务教育学校校舍标准化建设力度，加强学校体育运动场（馆）建设。新建居民住宅区，应根据规划要求配套建设幼儿园。</w:t>
      </w:r>
    </w:p>
    <w:p w14:paraId="4DC9C69E">
      <w:pPr>
        <w:widowControl/>
        <w:adjustRightInd w:val="0"/>
        <w:snapToGrid w:val="0"/>
        <w:ind w:firstLine="640"/>
        <w:rPr>
          <w:rFonts w:cs="Times New Roman"/>
        </w:rPr>
      </w:pPr>
      <w:r>
        <w:rPr>
          <w:rFonts w:cs="Times New Roman"/>
        </w:rPr>
        <w:t>加强医疗卫生设施建设。提升</w:t>
      </w:r>
      <w:r>
        <w:rPr>
          <w:rFonts w:hint="eastAsia" w:cs="Times New Roman"/>
        </w:rPr>
        <w:t>黑沟</w:t>
      </w:r>
      <w:r>
        <w:rPr>
          <w:rFonts w:cs="Times New Roman"/>
        </w:rPr>
        <w:t>乡卫生院服务能力和服务质量，保障应急医疗设施用地，各村设置一处村卫生室。做好农村医疗卫生和预防保健工作，优化医疗卫生资源，提高整体医疗卫生水平。</w:t>
      </w:r>
    </w:p>
    <w:p w14:paraId="50D57623">
      <w:pPr>
        <w:widowControl/>
        <w:adjustRightInd w:val="0"/>
        <w:snapToGrid w:val="0"/>
        <w:ind w:firstLine="640"/>
        <w:rPr>
          <w:rFonts w:cs="Times New Roman"/>
        </w:rPr>
      </w:pPr>
      <w:r>
        <w:rPr>
          <w:rFonts w:hint="eastAsia" w:cs="Times New Roman"/>
        </w:rPr>
        <w:t>建设覆盖城乡的养老服务网络，融入县域三级养老服务网络。</w:t>
      </w:r>
      <w:r>
        <w:rPr>
          <w:rFonts w:hint="eastAsia" w:ascii="仿宋_GB2312" w:hAnsi="仿宋_GB2312" w:cs="仿宋_GB2312"/>
          <w:szCs w:val="32"/>
        </w:rPr>
        <w:t>提升社会保障水平，坚持普惠性、保基本、均等化、可持续、高标准建设社会保障服务设施。</w:t>
      </w:r>
      <w:r>
        <w:rPr>
          <w:rFonts w:hint="eastAsia" w:cs="Times New Roman"/>
        </w:rPr>
        <w:t>在乡中心区，结合公共服务设施集中布局，重点建设具备全托、日托、上门服务、医养结合、对下指导等综合功能的养老服务中心，承担区域性服务支撑功能，辐射本乡域。在村（社区）层级，着力完善养老服务设施站点网络。中心村和一般村均需因地制宜设置养老服务设施。中心村结合村委会以及闲置校舍建设镇级、村级幸福院、老年人日间照料中心、老年活动室。一般村结合村委会以及闲置校舍综合设置老年人活动室、养老服务设施站点，确保养老服务设施基本覆盖。</w:t>
      </w:r>
    </w:p>
    <w:p w14:paraId="2821F548">
      <w:pPr>
        <w:widowControl/>
        <w:adjustRightInd w:val="0"/>
        <w:snapToGrid w:val="0"/>
        <w:ind w:firstLine="640"/>
        <w:rPr>
          <w:rFonts w:cs="Times New Roman"/>
        </w:rPr>
      </w:pPr>
      <w:r>
        <w:rPr>
          <w:rFonts w:cs="Times New Roman"/>
        </w:rPr>
        <w:t>推动公益性公墓建设。按照“因地制宜、量力而行、尽力而为”的原则推进农村公益性公墓建设，利用村集体建设用地、林地、荒地、废弃地、改造农村散坟集中安葬点等作为公益性公墓建设用地。</w:t>
      </w:r>
    </w:p>
    <w:p w14:paraId="39CB9975">
      <w:pPr>
        <w:pStyle w:val="4"/>
      </w:pPr>
      <w:r>
        <w:t>提升乡中心区公共服务设施水平</w:t>
      </w:r>
    </w:p>
    <w:p w14:paraId="52CAF039">
      <w:pPr>
        <w:ind w:firstLine="640"/>
        <w:rPr>
          <w:rFonts w:cs="Times New Roman"/>
        </w:rPr>
      </w:pPr>
      <w:r>
        <w:rPr>
          <w:rFonts w:cs="Times New Roman"/>
        </w:rPr>
        <w:t>——形成复合活力的公共中心体系</w:t>
      </w:r>
    </w:p>
    <w:p w14:paraId="4E6EA8ED">
      <w:pPr>
        <w:ind w:firstLine="640"/>
        <w:rPr>
          <w:rFonts w:cs="Times New Roman"/>
          <w:lang w:bidi="ar"/>
        </w:rPr>
      </w:pPr>
      <w:r>
        <w:rPr>
          <w:rFonts w:cs="Times New Roman"/>
          <w:lang w:bidi="ar"/>
        </w:rPr>
        <w:t>完善</w:t>
      </w:r>
      <w:r>
        <w:rPr>
          <w:rFonts w:hint="eastAsia" w:cs="Times New Roman"/>
          <w:lang w:bidi="ar"/>
        </w:rPr>
        <w:t>黑沟</w:t>
      </w:r>
      <w:r>
        <w:rPr>
          <w:rFonts w:cs="Times New Roman"/>
          <w:lang w:bidi="ar"/>
        </w:rPr>
        <w:t>乡“十五分钟社区生活圈”建设，以社区生活圈为单元，补齐公共服务短板，重点优化配备基层的健康管理、养老服务、终身教育、文化活动、体育健身、商业服务、行政管理等各类基本公共服务设施。规划至2035年，乡中心区打造1个十五分钟社区生活圈，形成1处公共服务中心，覆盖率达到100%，乡中心区各级公共管理与公共服务用地人均面积达到</w:t>
      </w:r>
      <w:r>
        <w:rPr>
          <w:rFonts w:hint="eastAsia" w:cs="Times New Roman"/>
          <w:lang w:bidi="ar"/>
        </w:rPr>
        <w:t>20.56</w:t>
      </w:r>
      <w:r>
        <w:rPr>
          <w:rFonts w:cs="Times New Roman"/>
          <w:lang w:bidi="ar"/>
        </w:rPr>
        <w:t>平方米。</w:t>
      </w:r>
    </w:p>
    <w:p w14:paraId="06536D5C">
      <w:pPr>
        <w:ind w:firstLine="640"/>
        <w:rPr>
          <w:rFonts w:cs="Times New Roman"/>
          <w:lang w:bidi="ar"/>
        </w:rPr>
      </w:pPr>
      <w:r>
        <w:rPr>
          <w:rFonts w:cs="Times New Roman"/>
          <w:lang w:bidi="ar"/>
        </w:rPr>
        <w:t>——文化设施</w:t>
      </w:r>
    </w:p>
    <w:p w14:paraId="49970D0E">
      <w:pPr>
        <w:ind w:firstLine="640"/>
        <w:rPr>
          <w:rFonts w:cs="Times New Roman"/>
          <w:lang w:bidi="ar"/>
        </w:rPr>
      </w:pPr>
      <w:bookmarkStart w:id="74" w:name="_Hlk131412087"/>
      <w:r>
        <w:rPr>
          <w:rFonts w:cs="Times New Roman"/>
          <w:lang w:bidi="ar"/>
        </w:rPr>
        <w:t>提升乡镇级文化设施水平。</w:t>
      </w:r>
      <w:bookmarkEnd w:id="74"/>
      <w:r>
        <w:rPr>
          <w:rFonts w:cs="Times New Roman"/>
          <w:lang w:bidi="ar"/>
        </w:rPr>
        <w:t>规划在乡中心区中部建设文化站，推动公共图书馆、文化馆（站）、基层综合性文化服务中心和旅游服务中心一体化建设。结合行政办公用地和公共绿地，重点建设和完善滨河公园文化广场及绿化景观带，复合利用增设文体科技设施，以提升</w:t>
      </w:r>
      <w:r>
        <w:rPr>
          <w:rFonts w:hint="eastAsia" w:cs="Times New Roman"/>
          <w:lang w:bidi="ar"/>
        </w:rPr>
        <w:t>黑沟</w:t>
      </w:r>
      <w:r>
        <w:rPr>
          <w:rFonts w:cs="Times New Roman"/>
          <w:lang w:bidi="ar"/>
        </w:rPr>
        <w:t>乡的文化品牌建设。</w:t>
      </w:r>
    </w:p>
    <w:p w14:paraId="42DCB97D">
      <w:pPr>
        <w:ind w:firstLine="640"/>
        <w:rPr>
          <w:rFonts w:cs="Times New Roman"/>
          <w:lang w:bidi="ar"/>
        </w:rPr>
      </w:pPr>
      <w:r>
        <w:rPr>
          <w:rFonts w:cs="Times New Roman"/>
          <w:lang w:bidi="ar"/>
        </w:rPr>
        <w:t>结合居住用地布局，均衡合理配置基层文化设施。完善社区级文化设施建设，优化基层文化设施布局，提升基层文化设施服务效能。社区级文化设施依据就近便利的原则建设，包括社区文化活动中心、综合文化室等。鼓励文化设施与社区行政办公设施共建共设。</w:t>
      </w:r>
    </w:p>
    <w:p w14:paraId="28C4BD5D">
      <w:pPr>
        <w:ind w:firstLine="640"/>
        <w:rPr>
          <w:rFonts w:cs="Times New Roman"/>
          <w:lang w:bidi="ar"/>
        </w:rPr>
      </w:pPr>
      <w:r>
        <w:rPr>
          <w:rFonts w:cs="Times New Roman"/>
          <w:lang w:bidi="ar"/>
        </w:rPr>
        <w:t>——教育设施</w:t>
      </w:r>
    </w:p>
    <w:p w14:paraId="1EA1612B">
      <w:pPr>
        <w:ind w:firstLine="640"/>
        <w:rPr>
          <w:rFonts w:cs="Times New Roman"/>
          <w:lang w:bidi="ar"/>
        </w:rPr>
      </w:pPr>
      <w:bookmarkStart w:id="75" w:name="_Hlk162974331"/>
      <w:r>
        <w:rPr>
          <w:rFonts w:cs="Times New Roman"/>
          <w:lang w:bidi="ar"/>
        </w:rPr>
        <w:t>基础教育实现优质均衡发展。引导基础教育资源合理布局，保障基础教育发展空间，加大基础教育用地统筹利用和储备保障。提升</w:t>
      </w:r>
      <w:r>
        <w:rPr>
          <w:rFonts w:hint="eastAsia" w:cs="Times New Roman"/>
          <w:lang w:bidi="ar"/>
        </w:rPr>
        <w:t>小学学校</w:t>
      </w:r>
      <w:r>
        <w:rPr>
          <w:rFonts w:cs="Times New Roman"/>
          <w:lang w:bidi="ar"/>
        </w:rPr>
        <w:t>教育设施水平，</w:t>
      </w:r>
      <w:r>
        <w:rPr>
          <w:rFonts w:hint="eastAsia" w:cs="Times New Roman"/>
          <w:lang w:bidi="ar"/>
        </w:rPr>
        <w:t>于小学内建设中心幼儿园，或结合市场化开展幼儿园建设</w:t>
      </w:r>
      <w:r>
        <w:rPr>
          <w:rFonts w:cs="Times New Roman"/>
          <w:lang w:bidi="ar"/>
        </w:rPr>
        <w:t>。</w:t>
      </w:r>
      <w:bookmarkEnd w:id="75"/>
    </w:p>
    <w:p w14:paraId="301973EE">
      <w:pPr>
        <w:ind w:firstLine="640"/>
        <w:rPr>
          <w:rFonts w:cs="Times New Roman"/>
          <w:lang w:bidi="ar"/>
        </w:rPr>
      </w:pPr>
      <w:r>
        <w:rPr>
          <w:rFonts w:cs="Times New Roman"/>
          <w:lang w:bidi="ar"/>
        </w:rPr>
        <w:t>——体育设施</w:t>
      </w:r>
    </w:p>
    <w:p w14:paraId="5B814BF9">
      <w:pPr>
        <w:ind w:firstLine="640"/>
        <w:rPr>
          <w:rFonts w:cs="Times New Roman"/>
          <w:lang w:bidi="ar"/>
        </w:rPr>
      </w:pPr>
      <w:r>
        <w:rPr>
          <w:rFonts w:cs="Times New Roman"/>
          <w:lang w:bidi="ar"/>
        </w:rPr>
        <w:t>深入实施健康中国战略和全民健身国家战略，构建更高水平的全民健身公共服务体系，推动全民健身均等化、融合化和智慧化发展，不断满足人民群众多元化健身需求。</w:t>
      </w:r>
    </w:p>
    <w:p w14:paraId="0A4C797C">
      <w:pPr>
        <w:ind w:firstLine="640"/>
        <w:rPr>
          <w:rFonts w:cs="Times New Roman"/>
          <w:lang w:bidi="ar"/>
        </w:rPr>
      </w:pPr>
      <w:r>
        <w:rPr>
          <w:rFonts w:cs="Times New Roman"/>
          <w:lang w:bidi="ar"/>
        </w:rPr>
        <w:t>提升乡镇级体育设施水平。增加社区级体育设施覆盖率，系统梳理可用于建设健身场地设施的空闲地、边角地、建筑屋顶等空间资源，聚焦群众就近健身需求，优先建设贴近社区、方便可达的多功能运动场、体育公园、健身步道、健身广场设施，不断促进企事业单位体育设施分时开放。</w:t>
      </w:r>
      <w:bookmarkStart w:id="76" w:name="_Hlk131058981"/>
      <w:r>
        <w:rPr>
          <w:rFonts w:cs="Times New Roman"/>
          <w:lang w:bidi="ar"/>
        </w:rPr>
        <w:t>十五分钟体育生活圈设施覆盖率达到100%</w:t>
      </w:r>
      <w:bookmarkEnd w:id="76"/>
      <w:r>
        <w:rPr>
          <w:rFonts w:cs="Times New Roman"/>
          <w:lang w:bidi="ar"/>
        </w:rPr>
        <w:t>。</w:t>
      </w:r>
    </w:p>
    <w:p w14:paraId="32DD3E59">
      <w:pPr>
        <w:ind w:firstLine="640"/>
        <w:rPr>
          <w:rFonts w:cs="Times New Roman"/>
          <w:lang w:bidi="ar"/>
        </w:rPr>
      </w:pPr>
      <w:r>
        <w:rPr>
          <w:rFonts w:cs="Times New Roman"/>
          <w:lang w:bidi="ar"/>
        </w:rPr>
        <w:t>——医疗卫生设施</w:t>
      </w:r>
    </w:p>
    <w:p w14:paraId="6CADADED">
      <w:pPr>
        <w:ind w:firstLine="640"/>
        <w:rPr>
          <w:rFonts w:cs="Times New Roman"/>
          <w:lang w:bidi="ar"/>
        </w:rPr>
      </w:pPr>
      <w:bookmarkStart w:id="77" w:name="_Hlk131091265"/>
      <w:r>
        <w:rPr>
          <w:rFonts w:cs="Times New Roman"/>
          <w:lang w:bidi="ar"/>
        </w:rPr>
        <w:t>逐步改善现有医疗卫生设施，对</w:t>
      </w:r>
      <w:r>
        <w:rPr>
          <w:rFonts w:hint="eastAsia" w:cs="Times New Roman"/>
          <w:lang w:bidi="ar"/>
        </w:rPr>
        <w:t>黑沟</w:t>
      </w:r>
      <w:r>
        <w:rPr>
          <w:rFonts w:cs="Times New Roman"/>
          <w:lang w:bidi="ar"/>
        </w:rPr>
        <w:t>乡中心</w:t>
      </w:r>
      <w:r>
        <w:rPr>
          <w:rFonts w:hint="eastAsia" w:cs="Times New Roman"/>
          <w:lang w:bidi="ar"/>
        </w:rPr>
        <w:t>卫生院</w:t>
      </w:r>
      <w:r>
        <w:rPr>
          <w:rFonts w:cs="Times New Roman"/>
          <w:lang w:bidi="ar"/>
        </w:rPr>
        <w:t>进行升级改造，提升急诊急救、老年健康管理、中医康养等方面服务水平。持续推进“互联网＋医疗健康”服务，实现纳入</w:t>
      </w:r>
      <w:r>
        <w:rPr>
          <w:rFonts w:hint="eastAsia" w:cs="Times New Roman"/>
          <w:lang w:bidi="ar"/>
        </w:rPr>
        <w:t>县</w:t>
      </w:r>
      <w:r>
        <w:rPr>
          <w:rFonts w:cs="Times New Roman"/>
          <w:lang w:bidi="ar"/>
        </w:rPr>
        <w:t>域医共体建设，促进优质医疗卫生资源下沉。增加老年颐养功能，以发展养老产业，应对人口老龄化发展。</w:t>
      </w:r>
    </w:p>
    <w:bookmarkEnd w:id="77"/>
    <w:p w14:paraId="5DF655E1">
      <w:pPr>
        <w:ind w:firstLine="640"/>
        <w:rPr>
          <w:rFonts w:cs="Times New Roman"/>
          <w:lang w:bidi="ar"/>
        </w:rPr>
      </w:pPr>
      <w:r>
        <w:rPr>
          <w:rFonts w:cs="Times New Roman"/>
          <w:lang w:bidi="ar"/>
        </w:rPr>
        <w:t>——社会福利设施</w:t>
      </w:r>
    </w:p>
    <w:p w14:paraId="4E499172">
      <w:pPr>
        <w:ind w:firstLine="640"/>
        <w:rPr>
          <w:rFonts w:cs="Times New Roman"/>
          <w:lang w:bidi="ar"/>
        </w:rPr>
      </w:pPr>
      <w:r>
        <w:rPr>
          <w:rFonts w:cs="Times New Roman"/>
          <w:lang w:bidi="ar"/>
        </w:rPr>
        <w:t>以养老服务设施为主线，整合统筹残疾人、困境儿童两个群体的设施服务需求。大力推进儿童福利设施机构的建设，至规划期末基本实现能够为众多孤儿提供专业的养育、康复和特教等服务，形成儿童福利机构服务网络。</w:t>
      </w:r>
    </w:p>
    <w:p w14:paraId="775DB427">
      <w:pPr>
        <w:ind w:firstLine="640"/>
        <w:rPr>
          <w:rFonts w:cs="Times New Roman"/>
          <w:lang w:bidi="ar"/>
        </w:rPr>
      </w:pPr>
      <w:r>
        <w:rPr>
          <w:rFonts w:cs="Times New Roman"/>
          <w:lang w:bidi="ar"/>
        </w:rPr>
        <w:t>建立“居家为基础、社区为依托、机构充分发展、医养相结合、城乡区域一体”的养老服务体系，推动医养结合的康养产业和养老服务业做大做强。</w:t>
      </w:r>
    </w:p>
    <w:p w14:paraId="60D53207">
      <w:pPr>
        <w:pStyle w:val="3"/>
        <w:rPr>
          <w:rFonts w:ascii="Times New Roman" w:hAnsi="Times New Roman" w:cs="Times New Roman"/>
          <w:color w:val="auto"/>
        </w:rPr>
      </w:pPr>
      <w:bookmarkStart w:id="78" w:name="_Toc220921291"/>
      <w:r>
        <w:rPr>
          <w:rFonts w:ascii="Times New Roman" w:hAnsi="Times New Roman" w:cs="Times New Roman"/>
          <w:color w:val="auto"/>
        </w:rPr>
        <w:t>第二节综合交通设施</w:t>
      </w:r>
      <w:bookmarkEnd w:id="78"/>
    </w:p>
    <w:p w14:paraId="6DED2C1A">
      <w:pPr>
        <w:pStyle w:val="4"/>
        <w:numPr>
          <w:ilvl w:val="0"/>
          <w:numId w:val="34"/>
        </w:numPr>
        <w:ind w:left="198" w:firstLine="641"/>
      </w:pPr>
      <w:r>
        <w:t>构建镇域综合交通网络体系</w:t>
      </w:r>
    </w:p>
    <w:p w14:paraId="3EC1E16C">
      <w:pPr>
        <w:widowControl/>
        <w:adjustRightInd w:val="0"/>
        <w:snapToGrid w:val="0"/>
        <w:ind w:firstLine="640"/>
        <w:rPr>
          <w:rFonts w:cs="Times New Roman"/>
        </w:rPr>
      </w:pPr>
      <w:r>
        <w:rPr>
          <w:rFonts w:hint="eastAsia" w:cs="Times New Roman"/>
        </w:rPr>
        <w:t>黑沟</w:t>
      </w:r>
      <w:r>
        <w:rPr>
          <w:rFonts w:cs="Times New Roman"/>
        </w:rPr>
        <w:t>乡域内的主要对外交通为鹤大高速公路、</w:t>
      </w:r>
      <w:r>
        <w:rPr>
          <w:rFonts w:hint="eastAsia" w:cs="Times New Roman"/>
        </w:rPr>
        <w:t>鹤大线（201国道）和省道S305柞本线。铁路为通灌铁路。</w:t>
      </w:r>
      <w:r>
        <w:rPr>
          <w:rFonts w:cs="Times New Roman"/>
        </w:rPr>
        <w:t>规划</w:t>
      </w:r>
      <w:r>
        <w:rPr>
          <w:rFonts w:hint="eastAsia" w:cs="Times New Roman"/>
        </w:rPr>
        <w:t>保障通化至丹东客运专线建设空间，</w:t>
      </w:r>
      <w:r>
        <w:rPr>
          <w:rFonts w:cs="Times New Roman"/>
        </w:rPr>
        <w:t>依托县、乡级交通干线，加强</w:t>
      </w:r>
      <w:r>
        <w:rPr>
          <w:rFonts w:hint="eastAsia" w:cs="Times New Roman"/>
        </w:rPr>
        <w:t>黑沟</w:t>
      </w:r>
      <w:r>
        <w:rPr>
          <w:rFonts w:cs="Times New Roman"/>
        </w:rPr>
        <w:t>乡与周边地区的交通联系，立足地区干线，完善区域交通网</w:t>
      </w:r>
      <w:r>
        <w:rPr>
          <w:rFonts w:hint="eastAsia" w:cs="Times New Roman"/>
          <w:lang w:val="en-US" w:eastAsia="zh-CN"/>
        </w:rPr>
        <w:t>络</w:t>
      </w:r>
      <w:r>
        <w:rPr>
          <w:rFonts w:cs="Times New Roman"/>
        </w:rPr>
        <w:t>。全面提高乡村道路等级，改善路面质量，形成以县、乡级公路为基本骨架、以放射状乡村级道路为支撑，联系各个村庄的较为完善的镇域公路交通网体系。加强</w:t>
      </w:r>
      <w:r>
        <w:rPr>
          <w:rFonts w:hint="eastAsia" w:cs="Times New Roman"/>
        </w:rPr>
        <w:t>黑沟</w:t>
      </w:r>
      <w:r>
        <w:rPr>
          <w:rFonts w:cs="Times New Roman"/>
        </w:rPr>
        <w:t>、</w:t>
      </w:r>
      <w:r>
        <w:rPr>
          <w:rFonts w:hint="eastAsia" w:cs="Times New Roman"/>
        </w:rPr>
        <w:t>大川</w:t>
      </w:r>
      <w:r>
        <w:rPr>
          <w:rFonts w:cs="Times New Roman"/>
        </w:rPr>
        <w:t>、</w:t>
      </w:r>
      <w:r>
        <w:rPr>
          <w:rFonts w:hint="eastAsia" w:cs="Times New Roman"/>
        </w:rPr>
        <w:t>大东沟</w:t>
      </w:r>
      <w:r>
        <w:rPr>
          <w:rFonts w:cs="Times New Roman"/>
        </w:rPr>
        <w:t>、</w:t>
      </w:r>
      <w:r>
        <w:rPr>
          <w:rFonts w:hint="eastAsia" w:cs="Times New Roman"/>
        </w:rPr>
        <w:t>石虎子</w:t>
      </w:r>
      <w:r>
        <w:rPr>
          <w:rFonts w:cs="Times New Roman"/>
        </w:rPr>
        <w:t>之间的交通联系，把现状乡道进行升级改造，提高到县道级别。</w:t>
      </w:r>
    </w:p>
    <w:p w14:paraId="2EF1CF5E">
      <w:pPr>
        <w:pStyle w:val="4"/>
      </w:pPr>
      <w:r>
        <w:t>乡中心区交通网络优化</w:t>
      </w:r>
    </w:p>
    <w:p w14:paraId="0DAD088B">
      <w:pPr>
        <w:widowControl/>
        <w:adjustRightInd w:val="0"/>
        <w:snapToGrid w:val="0"/>
        <w:ind w:firstLine="640"/>
        <w:rPr>
          <w:rFonts w:cs="Times New Roman"/>
        </w:rPr>
      </w:pPr>
      <w:r>
        <w:rPr>
          <w:rFonts w:cs="Times New Roman"/>
        </w:rPr>
        <w:t>——建设分级城镇道路结构</w:t>
      </w:r>
    </w:p>
    <w:p w14:paraId="422D633C">
      <w:pPr>
        <w:widowControl/>
        <w:adjustRightInd w:val="0"/>
        <w:snapToGrid w:val="0"/>
        <w:ind w:firstLine="640"/>
        <w:rPr>
          <w:rFonts w:cs="Times New Roman"/>
        </w:rPr>
      </w:pPr>
      <w:r>
        <w:rPr>
          <w:rFonts w:hint="eastAsia" w:cs="Times New Roman"/>
        </w:rPr>
        <w:t>目前通灌铁路从镇中心区西部南北向穿过，鹤大高速公路从集镇中部南北向穿过。鹤大线（201国道）从集镇中部南北向穿越，省道S305柞本线东西向经过集镇，集镇中部乡政府南建有公路客运站。</w:t>
      </w:r>
    </w:p>
    <w:p w14:paraId="6244CB1D">
      <w:pPr>
        <w:widowControl/>
        <w:adjustRightInd w:val="0"/>
        <w:snapToGrid w:val="0"/>
        <w:ind w:firstLine="640"/>
        <w:rPr>
          <w:rFonts w:cs="Times New Roman"/>
        </w:rPr>
      </w:pPr>
      <w:r>
        <w:rPr>
          <w:rFonts w:cs="Times New Roman"/>
        </w:rPr>
        <w:t>乡中心区内部整体划分为主干路、次干路、支路三级方格网道路结构。</w:t>
      </w:r>
      <w:r>
        <w:rPr>
          <w:rFonts w:hint="eastAsia" w:cs="Times New Roman"/>
        </w:rPr>
        <w:t>省道S305柞本线</w:t>
      </w:r>
      <w:r>
        <w:rPr>
          <w:rFonts w:cs="Times New Roman"/>
        </w:rPr>
        <w:t>作为主干路，是城镇对外联系的主要通道，以交通功能为主，道路红线</w:t>
      </w:r>
      <w:r>
        <w:rPr>
          <w:rFonts w:hint="eastAsia" w:cs="Times New Roman"/>
        </w:rPr>
        <w:t>8</w:t>
      </w:r>
      <w:r>
        <w:rPr>
          <w:rFonts w:cs="Times New Roman"/>
        </w:rPr>
        <w:t>米；次干路是辅助性</w:t>
      </w:r>
      <w:r>
        <w:rPr>
          <w:rFonts w:hint="eastAsia" w:cs="Times New Roman"/>
        </w:rPr>
        <w:t>通</w:t>
      </w:r>
      <w:r>
        <w:rPr>
          <w:rFonts w:cs="Times New Roman"/>
        </w:rPr>
        <w:t>道和沟通各功能区的重要通道，同时兼有生活功能，道路红线6-8米；支路对道路网起补充作用，以便民的交通功能为主，连接各个必要的公共设施，道路红线5-6米。城镇道路断面均为一块板。</w:t>
      </w:r>
    </w:p>
    <w:p w14:paraId="0430FAF8">
      <w:pPr>
        <w:widowControl/>
        <w:adjustRightInd w:val="0"/>
        <w:snapToGrid w:val="0"/>
        <w:ind w:firstLine="640"/>
        <w:rPr>
          <w:rFonts w:cs="Times New Roman"/>
        </w:rPr>
      </w:pPr>
      <w:r>
        <w:rPr>
          <w:rFonts w:cs="Times New Roman"/>
        </w:rPr>
        <w:t>——构建快慢结合的公交网络</w:t>
      </w:r>
    </w:p>
    <w:p w14:paraId="6618B0FE">
      <w:pPr>
        <w:widowControl/>
        <w:adjustRightInd w:val="0"/>
        <w:snapToGrid w:val="0"/>
        <w:ind w:firstLine="640"/>
        <w:rPr>
          <w:rFonts w:cs="Times New Roman"/>
        </w:rPr>
      </w:pPr>
      <w:r>
        <w:rPr>
          <w:rFonts w:hint="eastAsia" w:cs="Times New Roman"/>
        </w:rPr>
        <w:t>提升客运站设施水平，</w:t>
      </w:r>
      <w:r>
        <w:rPr>
          <w:rFonts w:cs="Times New Roman"/>
        </w:rPr>
        <w:t>优化提升常规公交体系，提升公交服务水平，增加公共交通等绿色交通的分担比例。至2035年，公交300米站点覆盖率不小于70%，500米公交站点覆盖率不小于90%。建设好充电桩等服务新能源汽车的基础设施，加快提升客运清洁化、低碳化水平。</w:t>
      </w:r>
    </w:p>
    <w:p w14:paraId="5C4AE341">
      <w:pPr>
        <w:widowControl/>
        <w:adjustRightInd w:val="0"/>
        <w:snapToGrid w:val="0"/>
        <w:ind w:firstLine="640"/>
        <w:rPr>
          <w:rFonts w:cs="Times New Roman"/>
        </w:rPr>
      </w:pPr>
      <w:r>
        <w:rPr>
          <w:rFonts w:cs="Times New Roman"/>
        </w:rPr>
        <w:t>——完善慢行系统</w:t>
      </w:r>
    </w:p>
    <w:p w14:paraId="3FFD0C6E">
      <w:pPr>
        <w:widowControl/>
        <w:adjustRightInd w:val="0"/>
        <w:snapToGrid w:val="0"/>
        <w:ind w:firstLine="640"/>
        <w:rPr>
          <w:rFonts w:cs="Times New Roman"/>
        </w:rPr>
      </w:pPr>
      <w:r>
        <w:rPr>
          <w:rFonts w:cs="Times New Roman"/>
        </w:rPr>
        <w:t>倡导绿色低碳生活方式，大力发展慢行交通，不断完善慢行交通基础设施，构建连续、便捷、舒适的慢行交通系统。建设水面两侧城镇慢行绿道，建设城镇道路慢行交通网络，规划主干路两侧慢行设施宽度不宜小于3米，次干路两侧慢行设施宽度不宜小于2米。在公共交通发达、人流密集地区划定地面无车区，提供足够的自行车停放空间。不断改善步行和自行车出行环境，发挥步行和骑行在终端距离出行和公共交通接驳中的主体作用。</w:t>
      </w:r>
    </w:p>
    <w:p w14:paraId="69D2AD4D">
      <w:pPr>
        <w:widowControl/>
        <w:adjustRightInd w:val="0"/>
        <w:snapToGrid w:val="0"/>
        <w:ind w:firstLine="640"/>
        <w:rPr>
          <w:rFonts w:cs="Times New Roman"/>
        </w:rPr>
      </w:pPr>
      <w:r>
        <w:rPr>
          <w:rFonts w:cs="Times New Roman"/>
        </w:rPr>
        <w:t>——增加静态交通设施供给</w:t>
      </w:r>
    </w:p>
    <w:p w14:paraId="524F5EE7">
      <w:pPr>
        <w:widowControl/>
        <w:adjustRightInd w:val="0"/>
        <w:snapToGrid w:val="0"/>
        <w:ind w:firstLine="640"/>
        <w:rPr>
          <w:rFonts w:cs="Times New Roman"/>
        </w:rPr>
      </w:pPr>
      <w:r>
        <w:rPr>
          <w:rFonts w:cs="Times New Roman"/>
        </w:rPr>
        <w:t>规划形成以配建停车为主，路外公共停车为辅，路内停车为补充的停车设施供给体系。适当增加学校、医院、办公楼、商业等重点区域的公共停车设施，鼓励利用腾退土地及边角地建设立体停车设施。鼓励停车资源共享共用，提高停车设施的利用效率。积极在乡中心区建设电动车充电站（桩），以顺应新能源汽车大规模推广应用的趋势。</w:t>
      </w:r>
    </w:p>
    <w:p w14:paraId="49F8AE64">
      <w:pPr>
        <w:widowControl/>
        <w:adjustRightInd w:val="0"/>
        <w:snapToGrid w:val="0"/>
        <w:ind w:firstLine="640"/>
        <w:rPr>
          <w:rFonts w:cs="Times New Roman"/>
        </w:rPr>
      </w:pPr>
      <w:r>
        <w:rPr>
          <w:rFonts w:cs="Times New Roman"/>
        </w:rPr>
        <w:t>——建筑退让管理</w:t>
      </w:r>
    </w:p>
    <w:p w14:paraId="64471070">
      <w:pPr>
        <w:widowControl/>
        <w:adjustRightInd w:val="0"/>
        <w:snapToGrid w:val="0"/>
        <w:ind w:firstLine="640"/>
        <w:rPr>
          <w:rFonts w:cs="Times New Roman"/>
          <w:u w:val="single"/>
        </w:rPr>
      </w:pPr>
      <w:r>
        <w:rPr>
          <w:rFonts w:cs="Times New Roman"/>
          <w:u w:val="single"/>
        </w:rPr>
        <w:t>沿道路两侧新建、扩建、改建的建筑物应当按照规定后退道路红线，退让红线距离不得小于5米。</w:t>
      </w:r>
      <w:r>
        <w:rPr>
          <w:rFonts w:hint="eastAsia" w:cs="Times New Roman"/>
          <w:u w:val="single"/>
        </w:rPr>
        <w:t>省道S305柞本线</w:t>
      </w:r>
      <w:r>
        <w:rPr>
          <w:rFonts w:cs="Times New Roman"/>
          <w:u w:val="single"/>
        </w:rPr>
        <w:t>按照《辽宁省公路管理条例》相关要求执行。</w:t>
      </w:r>
    </w:p>
    <w:p w14:paraId="154E77ED">
      <w:pPr>
        <w:pStyle w:val="4"/>
      </w:pPr>
      <w:r>
        <w:t>旅游交通设施规划</w:t>
      </w:r>
    </w:p>
    <w:p w14:paraId="7E5B6D66">
      <w:pPr>
        <w:widowControl/>
        <w:adjustRightInd w:val="0"/>
        <w:snapToGrid w:val="0"/>
        <w:ind w:firstLine="640"/>
        <w:rPr>
          <w:rFonts w:cs="Times New Roman"/>
        </w:rPr>
      </w:pPr>
      <w:r>
        <w:rPr>
          <w:rFonts w:cs="Times New Roman"/>
        </w:rPr>
        <w:t>外部交通衔接优化</w:t>
      </w:r>
      <w:r>
        <w:rPr>
          <w:rFonts w:hint="eastAsia" w:cs="Times New Roman"/>
        </w:rPr>
        <w:t>。</w:t>
      </w:r>
      <w:r>
        <w:rPr>
          <w:rFonts w:cs="Times New Roman"/>
        </w:rPr>
        <w:t>加强与主要客源地城市的交通合作，增开旅游直通车线路，如与沈阳、本溪等城市定期开通旅游专线大巴，根据旅游旺季需求合理调整班次，提高游客的可达性。改善与周边交通枢纽（如桓仁县城的汽车站、火车站等）的换乘衔接。在交通枢纽设置专门的黑沟乡旅游换乘中心，提供清晰的导览标识与便捷的购票服务，实现公路客运与黑沟乡旅游交通的无缝对接。</w:t>
      </w:r>
    </w:p>
    <w:p w14:paraId="1480EC00">
      <w:pPr>
        <w:widowControl/>
        <w:adjustRightInd w:val="0"/>
        <w:snapToGrid w:val="0"/>
        <w:ind w:firstLine="640"/>
        <w:rPr>
          <w:rFonts w:cs="Times New Roman"/>
        </w:rPr>
      </w:pPr>
      <w:r>
        <w:rPr>
          <w:rFonts w:cs="Times New Roman"/>
        </w:rPr>
        <w:t>内部交通网络构建</w:t>
      </w:r>
      <w:r>
        <w:rPr>
          <w:rFonts w:hint="eastAsia" w:cs="Times New Roman"/>
        </w:rPr>
        <w:t>。</w:t>
      </w:r>
      <w:r>
        <w:rPr>
          <w:rFonts w:cs="Times New Roman"/>
        </w:rPr>
        <w:t>拓宽与改造主要旅游道路</w:t>
      </w:r>
      <w:r>
        <w:rPr>
          <w:rFonts w:hint="eastAsia" w:cs="Times New Roman"/>
        </w:rPr>
        <w:t>，</w:t>
      </w:r>
      <w:r>
        <w:rPr>
          <w:rFonts w:cs="Times New Roman"/>
        </w:rPr>
        <w:t>对连接温泉度假区、乡村旅游景点的道路进行拓宽升级，提高道路承载能力，确保双向车道畅通。同时，优化道路线形，提高行车安全性与舒适性。</w:t>
      </w:r>
    </w:p>
    <w:p w14:paraId="30EA7EEA">
      <w:pPr>
        <w:widowControl/>
        <w:adjustRightInd w:val="0"/>
        <w:snapToGrid w:val="0"/>
        <w:ind w:firstLine="640"/>
        <w:rPr>
          <w:rFonts w:cs="Times New Roman"/>
        </w:rPr>
      </w:pPr>
      <w:r>
        <w:rPr>
          <w:rFonts w:cs="Times New Roman"/>
        </w:rPr>
        <w:t>特色交通体验设计</w:t>
      </w:r>
      <w:r>
        <w:rPr>
          <w:rFonts w:hint="eastAsia" w:cs="Times New Roman"/>
        </w:rPr>
        <w:t>。</w:t>
      </w:r>
      <w:r>
        <w:rPr>
          <w:rFonts w:cs="Times New Roman"/>
        </w:rPr>
        <w:t>引入特色交通工具：结合黑沟乡满族文化特色，推出马拉雪橇（冬季）、复古马车等特色交通工具，在特定旅游线路或景区内运营，为游客提供独特的出行体验，同时也成为黑沟乡旅游的一道亮丽风景线。打造景观步道与自行车道：沿着河流、田园等自然风光优美的区域建设景观步道与自行车道，供游客徒步或骑行游览，近距离感受黑沟乡的自然之美与乡村风情。在步道与自行车道沿线设置休息驿站、自行车租赁点等配套设施。</w:t>
      </w:r>
    </w:p>
    <w:p w14:paraId="2F13925A">
      <w:pPr>
        <w:widowControl/>
        <w:adjustRightInd w:val="0"/>
        <w:snapToGrid w:val="0"/>
        <w:ind w:firstLine="640"/>
        <w:rPr>
          <w:rFonts w:cs="Times New Roman"/>
        </w:rPr>
      </w:pPr>
      <w:r>
        <w:rPr>
          <w:rFonts w:cs="Times New Roman"/>
        </w:rPr>
        <w:t>交通配套设施完善</w:t>
      </w:r>
      <w:r>
        <w:rPr>
          <w:rFonts w:hint="eastAsia" w:cs="Times New Roman"/>
        </w:rPr>
        <w:t>。</w:t>
      </w:r>
      <w:r>
        <w:rPr>
          <w:rFonts w:cs="Times New Roman"/>
        </w:rPr>
        <w:t>在旅游景点入口、温泉度假区、乡村旅游接待点等地合理规划建设停车场，根据游客流量预测确定停车场规模，并采用智能化管理系统，如车位引导、电子收费等，提高停车场管理效率。</w:t>
      </w:r>
    </w:p>
    <w:p w14:paraId="1CE25B24">
      <w:pPr>
        <w:widowControl/>
        <w:adjustRightInd w:val="0"/>
        <w:snapToGrid w:val="0"/>
        <w:ind w:firstLine="640"/>
        <w:rPr>
          <w:rFonts w:cs="Times New Roman"/>
        </w:rPr>
      </w:pPr>
      <w:r>
        <w:rPr>
          <w:rFonts w:cs="Times New Roman"/>
        </w:rPr>
        <w:t>交通标识系统完善</w:t>
      </w:r>
      <w:r>
        <w:rPr>
          <w:rFonts w:hint="eastAsia" w:cs="Times New Roman"/>
        </w:rPr>
        <w:t>。</w:t>
      </w:r>
      <w:r>
        <w:rPr>
          <w:rFonts w:cs="Times New Roman"/>
        </w:rPr>
        <w:t>建立完善的旅游交通标识系统，包括道路指示牌、景点介绍牌、交通警示标识等。标识牌设计要融入满族文化元素，采用中、英、韩等多语言标识，满足不同客源地游客的需求。</w:t>
      </w:r>
    </w:p>
    <w:p w14:paraId="32CF42C1">
      <w:pPr>
        <w:pStyle w:val="3"/>
        <w:rPr>
          <w:rFonts w:ascii="Times New Roman" w:hAnsi="Times New Roman" w:cs="Times New Roman"/>
          <w:color w:val="auto"/>
        </w:rPr>
      </w:pPr>
      <w:bookmarkStart w:id="79" w:name="_Toc220921292"/>
      <w:r>
        <w:rPr>
          <w:rFonts w:ascii="Times New Roman" w:hAnsi="Times New Roman" w:cs="Times New Roman"/>
          <w:color w:val="auto"/>
        </w:rPr>
        <w:t>第三节市政基础设施</w:t>
      </w:r>
      <w:bookmarkEnd w:id="79"/>
    </w:p>
    <w:p w14:paraId="5440B550">
      <w:pPr>
        <w:pStyle w:val="4"/>
        <w:numPr>
          <w:ilvl w:val="0"/>
          <w:numId w:val="35"/>
        </w:numPr>
        <w:ind w:left="198" w:firstLine="641"/>
      </w:pPr>
      <w:r>
        <w:t>给水工程规划</w:t>
      </w:r>
    </w:p>
    <w:p w14:paraId="517897AD">
      <w:pPr>
        <w:widowControl/>
        <w:adjustRightInd w:val="0"/>
        <w:snapToGrid w:val="0"/>
        <w:ind w:firstLine="640"/>
        <w:rPr>
          <w:rFonts w:cs="Times New Roman"/>
        </w:rPr>
      </w:pPr>
      <w:r>
        <w:rPr>
          <w:rFonts w:cs="Times New Roman"/>
        </w:rPr>
        <w:t>——全域给水工程规划</w:t>
      </w:r>
    </w:p>
    <w:p w14:paraId="1A5FAAFB">
      <w:pPr>
        <w:widowControl/>
        <w:adjustRightInd w:val="0"/>
        <w:snapToGrid w:val="0"/>
        <w:ind w:firstLine="640"/>
        <w:rPr>
          <w:rFonts w:cs="Times New Roman"/>
        </w:rPr>
      </w:pPr>
      <w:r>
        <w:rPr>
          <w:rFonts w:cs="Times New Roman"/>
        </w:rPr>
        <w:t>规划全域普及自来水，乡中心区供水由</w:t>
      </w:r>
      <w:r>
        <w:rPr>
          <w:rFonts w:hint="eastAsia" w:cs="Times New Roman"/>
        </w:rPr>
        <w:t>乡中心区西北部</w:t>
      </w:r>
      <w:r>
        <w:rPr>
          <w:rFonts w:cs="Times New Roman"/>
        </w:rPr>
        <w:t>集中供水</w:t>
      </w:r>
      <w:r>
        <w:rPr>
          <w:rFonts w:hint="eastAsia" w:cs="Times New Roman"/>
        </w:rPr>
        <w:t>点</w:t>
      </w:r>
      <w:r>
        <w:rPr>
          <w:rFonts w:cs="Times New Roman"/>
        </w:rPr>
        <w:t>供水。乡中心区周边村屯根据各自的情况纳入乡中心区供水系统中。各村应开展农村饮用水安全工程，实现自来水供水全覆盖。自来水管道老化严重的村庄，应对现有给水不畅的输配水管道应进行疏通和更新，以解决跑、冒、滴、漏和二次污染等问题。规划各村逐步淘汰旧的浅水井，增加新的深水井，提高取水量。采用变频供水，管网采用环状网和枝状网相结合的方式，沿各道路铺设，以保证供水安全可靠。</w:t>
      </w:r>
    </w:p>
    <w:p w14:paraId="632F1E92">
      <w:pPr>
        <w:widowControl/>
        <w:adjustRightInd w:val="0"/>
        <w:snapToGrid w:val="0"/>
        <w:ind w:firstLine="640"/>
        <w:rPr>
          <w:rFonts w:cs="Times New Roman"/>
          <w:u w:val="single"/>
        </w:rPr>
      </w:pPr>
      <w:r>
        <w:rPr>
          <w:rFonts w:cs="Times New Roman"/>
          <w:u w:val="single"/>
        </w:rPr>
        <w:t>加强水源保护，水源井周边30米范围内，不得设置渗水厕所、化粪池、垃圾堆和废渣堆之类的构筑物。水源井周围应设置宽度不小于10米的绿化带。</w:t>
      </w:r>
    </w:p>
    <w:p w14:paraId="21B4BA81">
      <w:pPr>
        <w:widowControl/>
        <w:adjustRightInd w:val="0"/>
        <w:snapToGrid w:val="0"/>
        <w:ind w:firstLine="640"/>
        <w:rPr>
          <w:rFonts w:cs="Times New Roman"/>
        </w:rPr>
      </w:pPr>
      <w:r>
        <w:rPr>
          <w:rFonts w:cs="Times New Roman"/>
        </w:rPr>
        <w:t>旅游景区（点）内的生活用水可就近接入城乡供水管网，条件不具备的可采用与地下水相结合的方式，分区增设储水设备，通过输水管网采用分区—分点供水方式供水。严格保护地下水源，杜绝一切对地下水有影响的污染源，禁止一切对地下水水质不利的旅游活动。</w:t>
      </w:r>
    </w:p>
    <w:p w14:paraId="2D63BD2F">
      <w:pPr>
        <w:widowControl/>
        <w:adjustRightInd w:val="0"/>
        <w:snapToGrid w:val="0"/>
        <w:ind w:firstLine="640"/>
        <w:rPr>
          <w:rFonts w:cs="Times New Roman"/>
        </w:rPr>
      </w:pPr>
      <w:r>
        <w:rPr>
          <w:rFonts w:hint="eastAsia" w:cs="Times New Roman"/>
        </w:rPr>
        <w:t>保护温泉资源。制定严格的环保法规，限制温泉资源的过度开采和污染排放，确保温泉资源的可持续利用。加强水质监测，建立温泉水质监测系统，定期监测温泉水的水质情况，及时发现和处理水质污染问题。加强温泉周边的生态保护，恢复和保护温泉周边的植被和生态系统，防止水土流失和环境污染。在保护温泉资源的前提下，科学规划温泉产业布局，优化资源配置，避免盲目扩张和重复建设。发展多元化温泉旅游产品，积极拓展温泉产业链，发展温泉旅游、温泉康养、温泉文化等多元化产业，提高温泉资源的综合利用效益。引入先进技术和管理经验，引进国内外先进的温泉开发技术和管理经验，提高温泉开发的效率和品质，降低能耗和排放，实现温泉资源的绿色开发。</w:t>
      </w:r>
    </w:p>
    <w:p w14:paraId="665D7124">
      <w:pPr>
        <w:widowControl/>
        <w:adjustRightInd w:val="0"/>
        <w:snapToGrid w:val="0"/>
        <w:ind w:firstLine="640"/>
        <w:rPr>
          <w:rFonts w:cs="Times New Roman"/>
        </w:rPr>
      </w:pPr>
      <w:r>
        <w:rPr>
          <w:rFonts w:cs="Times New Roman"/>
        </w:rPr>
        <w:t>——乡中心区给水工程规划</w:t>
      </w:r>
    </w:p>
    <w:p w14:paraId="29CA4D58">
      <w:pPr>
        <w:widowControl/>
        <w:adjustRightInd w:val="0"/>
        <w:snapToGrid w:val="0"/>
        <w:ind w:firstLine="640"/>
        <w:rPr>
          <w:rFonts w:cs="Times New Roman"/>
        </w:rPr>
      </w:pPr>
      <w:bookmarkStart w:id="80" w:name="_Toc381737"/>
      <w:r>
        <w:rPr>
          <w:rFonts w:cs="Times New Roman"/>
        </w:rPr>
        <w:t>（1）用水量预测</w:t>
      </w:r>
    </w:p>
    <w:p w14:paraId="5105E596">
      <w:pPr>
        <w:ind w:firstLine="640"/>
        <w:rPr>
          <w:rFonts w:cs="Times New Roman"/>
        </w:rPr>
      </w:pPr>
      <w:bookmarkStart w:id="81" w:name="_Hlk175230559"/>
      <w:r>
        <w:rPr>
          <w:rFonts w:cs="Times New Roman"/>
        </w:rPr>
        <w:t>规划</w:t>
      </w:r>
      <w:r>
        <w:rPr>
          <w:rFonts w:hint="eastAsia" w:cs="Times New Roman"/>
        </w:rPr>
        <w:t>黑沟</w:t>
      </w:r>
      <w:r>
        <w:rPr>
          <w:rFonts w:cs="Times New Roman"/>
        </w:rPr>
        <w:t>乡居民生活人均用水标准：近期140L/（人·d），远期120L/（人</w:t>
      </w:r>
      <w:bookmarkStart w:id="82" w:name="_Hlk184047170"/>
      <w:r>
        <w:rPr>
          <w:rFonts w:cs="Times New Roman"/>
        </w:rPr>
        <w:t>·</w:t>
      </w:r>
      <w:bookmarkEnd w:id="82"/>
      <w:r>
        <w:rPr>
          <w:rFonts w:cs="Times New Roman"/>
        </w:rPr>
        <w:t>d），公共建筑用水量按居民生活用水量的25%计算。</w:t>
      </w:r>
    </w:p>
    <w:p w14:paraId="6A45834E">
      <w:pPr>
        <w:ind w:firstLine="640"/>
        <w:rPr>
          <w:rFonts w:cs="Times New Roman"/>
        </w:rPr>
      </w:pPr>
      <w:r>
        <w:rPr>
          <w:rFonts w:hint="eastAsia" w:cs="Times New Roman"/>
        </w:rPr>
        <w:t>根据黑沟</w:t>
      </w:r>
      <w:r>
        <w:rPr>
          <w:rFonts w:cs="Times New Roman"/>
        </w:rPr>
        <w:t>乡的现状与发展，考虑可持续发展战略对未来工业单产耗水量的限制，城镇工业用水量定额，近期取160t/（ha·d），远期取150t/（ha·d）。</w:t>
      </w:r>
    </w:p>
    <w:p w14:paraId="07CB430C">
      <w:pPr>
        <w:ind w:firstLine="640"/>
        <w:rPr>
          <w:rFonts w:cs="Times New Roman"/>
        </w:rPr>
      </w:pPr>
      <w:r>
        <w:rPr>
          <w:rFonts w:cs="Times New Roman"/>
        </w:rPr>
        <w:t>市政用水包括道路、绿化的浇洒用水和维修施工用水等，根</w:t>
      </w:r>
      <w:r>
        <w:rPr>
          <w:rFonts w:hint="eastAsia" w:cs="Times New Roman"/>
          <w:lang w:val="en-US" w:eastAsia="zh-CN"/>
        </w:rPr>
        <w:t>据</w:t>
      </w:r>
      <w:r>
        <w:rPr>
          <w:rFonts w:cs="Times New Roman"/>
        </w:rPr>
        <w:t>一般城镇的实际情况，取综合生活用水量的12.5%。</w:t>
      </w:r>
    </w:p>
    <w:p w14:paraId="1BD7D291">
      <w:pPr>
        <w:ind w:firstLine="640"/>
        <w:rPr>
          <w:rFonts w:cs="Times New Roman"/>
        </w:rPr>
      </w:pPr>
      <w:r>
        <w:rPr>
          <w:rFonts w:cs="Times New Roman"/>
        </w:rPr>
        <w:t>近期</w:t>
      </w:r>
      <w:r>
        <w:rPr>
          <w:rFonts w:hint="eastAsia" w:cs="Times New Roman"/>
        </w:rPr>
        <w:t>黑沟</w:t>
      </w:r>
      <w:r>
        <w:rPr>
          <w:rFonts w:cs="Times New Roman"/>
        </w:rPr>
        <w:t>乡的城镇人口规模为1500人，消防用水量应按同一时间内2次火灾次数、一次灭火用水量45L/s计算；远期2000人，消防用水量按同一时间内2次火灾次数、一次灭火用水量55L/s，每次灭火2小时。</w:t>
      </w:r>
    </w:p>
    <w:p w14:paraId="41B5C8C9">
      <w:pPr>
        <w:ind w:firstLine="640"/>
        <w:rPr>
          <w:rFonts w:cs="Times New Roman"/>
        </w:rPr>
      </w:pPr>
      <w:r>
        <w:rPr>
          <w:rFonts w:cs="Times New Roman"/>
        </w:rPr>
        <w:t>未预见用水量，参照一般城镇的管网实际运营情况，取日常城镇用水量的10%。</w:t>
      </w:r>
    </w:p>
    <w:bookmarkEnd w:id="81"/>
    <w:p w14:paraId="75E4A520">
      <w:pPr>
        <w:widowControl/>
        <w:adjustRightInd w:val="0"/>
        <w:snapToGrid w:val="0"/>
        <w:ind w:firstLine="640"/>
        <w:rPr>
          <w:rFonts w:cs="Times New Roman"/>
        </w:rPr>
      </w:pPr>
      <w:r>
        <w:rPr>
          <w:rFonts w:cs="Times New Roman"/>
        </w:rPr>
        <w:t>（2）水源规划</w:t>
      </w:r>
    </w:p>
    <w:p w14:paraId="5F9FC238">
      <w:pPr>
        <w:ind w:firstLine="640"/>
        <w:rPr>
          <w:rFonts w:cs="Times New Roman"/>
        </w:rPr>
      </w:pPr>
      <w:r>
        <w:rPr>
          <w:rFonts w:cs="Times New Roman"/>
        </w:rPr>
        <w:t>规划</w:t>
      </w:r>
      <w:r>
        <w:rPr>
          <w:rFonts w:hint="eastAsia" w:cs="Times New Roman"/>
        </w:rPr>
        <w:t>黑沟</w:t>
      </w:r>
      <w:r>
        <w:rPr>
          <w:rFonts w:cs="Times New Roman"/>
        </w:rPr>
        <w:t>乡</w:t>
      </w:r>
      <w:r>
        <w:rPr>
          <w:rFonts w:hint="eastAsia" w:cs="Times New Roman"/>
        </w:rPr>
        <w:t>乡中心区西北部</w:t>
      </w:r>
      <w:r>
        <w:rPr>
          <w:rFonts w:cs="Times New Roman"/>
        </w:rPr>
        <w:t>取水位置为现状水源点。合理规划地表水饮用水源河流流域，</w:t>
      </w:r>
      <w:bookmarkStart w:id="83" w:name="_Hlk175230610"/>
      <w:r>
        <w:rPr>
          <w:rFonts w:cs="Times New Roman"/>
        </w:rPr>
        <w:t>规划取水点上游1000米范围内和下游100米的范围内，为饮用水源保护区，保护区范围内的河流水质必须达到国家地表水Ⅱ级标准，不得排入工业废水和生活污水。</w:t>
      </w:r>
      <w:bookmarkEnd w:id="83"/>
    </w:p>
    <w:p w14:paraId="0EEAD974">
      <w:pPr>
        <w:ind w:firstLine="640"/>
        <w:rPr>
          <w:rFonts w:cs="Times New Roman"/>
        </w:rPr>
      </w:pPr>
      <w:r>
        <w:rPr>
          <w:rFonts w:cs="Times New Roman"/>
        </w:rPr>
        <w:t>饮用水源保护区的河流沿岸防护堤范围内，不得堆放废渣或设置有害化学品仓库或堆场，沿岸农田不得使用工业废水或生活污水灌溉，不得使用持久性或剧毒农药，并不得从事放牧。</w:t>
      </w:r>
    </w:p>
    <w:p w14:paraId="62A4FB53">
      <w:pPr>
        <w:ind w:firstLine="640"/>
        <w:rPr>
          <w:rFonts w:cs="Times New Roman"/>
        </w:rPr>
      </w:pPr>
      <w:r>
        <w:rPr>
          <w:rFonts w:cs="Times New Roman"/>
        </w:rPr>
        <w:t>加强水源水质调查研究，建立水体污染监测网，加强对饮用水源的控制和保护。水厂周围设置10米防护绿带，一般水厂生产区域或单独设立的泵站、沉淀池和清水池外围不小于30米的范围内，不得设立生活居住区和修建禽畜饲养场、渗水厕所、渗水坑、堆放废渣或铺设污水管道，并不得进行破坏深层土层的活动。</w:t>
      </w:r>
    </w:p>
    <w:p w14:paraId="6E4A843A">
      <w:pPr>
        <w:widowControl/>
        <w:adjustRightInd w:val="0"/>
        <w:snapToGrid w:val="0"/>
        <w:ind w:firstLine="640"/>
        <w:rPr>
          <w:rFonts w:cs="Times New Roman"/>
        </w:rPr>
      </w:pPr>
      <w:r>
        <w:rPr>
          <w:rFonts w:cs="Times New Roman"/>
        </w:rPr>
        <w:t>（3）管网规划</w:t>
      </w:r>
    </w:p>
    <w:p w14:paraId="3BBFA68C">
      <w:pPr>
        <w:ind w:firstLine="640"/>
        <w:rPr>
          <w:rFonts w:cs="Times New Roman"/>
        </w:rPr>
      </w:pPr>
      <w:r>
        <w:rPr>
          <w:rFonts w:cs="Times New Roman"/>
        </w:rPr>
        <w:t>考虑远期发展需求，结合</w:t>
      </w:r>
      <w:r>
        <w:rPr>
          <w:rFonts w:hint="eastAsia" w:cs="Times New Roman"/>
        </w:rPr>
        <w:t>黑沟</w:t>
      </w:r>
      <w:r>
        <w:rPr>
          <w:rFonts w:cs="Times New Roman"/>
        </w:rPr>
        <w:t>乡用地布局模式，市政给水管网需采用单水源统一供水系统，其管网采用环状加枝状的形式，沿主要道路布置环状连通管道，其它道路以枝状向各用地内延伸，向周边供水。全面提高城镇供水系统管理能力和智能化水平，为城镇基础设施提升提供基础设施支撑。</w:t>
      </w:r>
    </w:p>
    <w:p w14:paraId="42651DE7">
      <w:pPr>
        <w:pStyle w:val="4"/>
      </w:pPr>
      <w:r>
        <w:t>排水工程</w:t>
      </w:r>
      <w:bookmarkEnd w:id="80"/>
      <w:r>
        <w:t>规划</w:t>
      </w:r>
    </w:p>
    <w:p w14:paraId="3C3906FA">
      <w:pPr>
        <w:widowControl/>
        <w:adjustRightInd w:val="0"/>
        <w:snapToGrid w:val="0"/>
        <w:ind w:firstLine="640"/>
        <w:rPr>
          <w:rFonts w:cs="Times New Roman"/>
        </w:rPr>
      </w:pPr>
      <w:r>
        <w:rPr>
          <w:rFonts w:cs="Times New Roman"/>
        </w:rPr>
        <w:t>——全域排水工程规划</w:t>
      </w:r>
    </w:p>
    <w:p w14:paraId="72CD7969">
      <w:pPr>
        <w:widowControl/>
        <w:adjustRightInd w:val="0"/>
        <w:snapToGrid w:val="0"/>
        <w:ind w:firstLine="640"/>
        <w:rPr>
          <w:rFonts w:cs="Times New Roman"/>
        </w:rPr>
      </w:pPr>
      <w:r>
        <w:rPr>
          <w:rFonts w:cs="Times New Roman"/>
        </w:rPr>
        <w:t>规划乡中心区采用雨、污分流制的排水体制；其他村根据实际情况采用分流制或截流式合流制。乡中心区污水采用</w:t>
      </w:r>
      <w:r>
        <w:rPr>
          <w:rFonts w:hint="eastAsia" w:cs="Times New Roman"/>
        </w:rPr>
        <w:t>微型</w:t>
      </w:r>
      <w:r>
        <w:rPr>
          <w:rFonts w:cs="Times New Roman"/>
        </w:rPr>
        <w:t>污水处理</w:t>
      </w:r>
      <w:r>
        <w:rPr>
          <w:rFonts w:hint="eastAsia" w:cs="Times New Roman"/>
        </w:rPr>
        <w:t>设施</w:t>
      </w:r>
      <w:r>
        <w:rPr>
          <w:rFonts w:cs="Times New Roman"/>
        </w:rPr>
        <w:t>集中处理，应结合实际情况，将周边范围内农村生活污水集中收集，统一接入邻近市政污水管网，纳入污水处理厂统一处理，提高污水处理设施运行效率。</w:t>
      </w:r>
    </w:p>
    <w:p w14:paraId="4FB7B41E">
      <w:pPr>
        <w:widowControl/>
        <w:adjustRightInd w:val="0"/>
        <w:snapToGrid w:val="0"/>
        <w:ind w:firstLine="640"/>
        <w:rPr>
          <w:rFonts w:cs="Times New Roman"/>
        </w:rPr>
      </w:pPr>
      <w:r>
        <w:rPr>
          <w:rFonts w:cs="Times New Roman"/>
        </w:rPr>
        <w:t>其他各村污水采用地下式小型污水处理设备、人工湿地、生物滤池等不同的处理方式，化粪池或沼气池可作为污水的预处理措施，避免污水直接任意排放，处理后的水灌溉农田或排入水体。</w:t>
      </w:r>
    </w:p>
    <w:p w14:paraId="5585D038">
      <w:pPr>
        <w:widowControl/>
        <w:adjustRightInd w:val="0"/>
        <w:snapToGrid w:val="0"/>
        <w:ind w:firstLine="640"/>
        <w:rPr>
          <w:rFonts w:cs="Times New Roman"/>
        </w:rPr>
      </w:pPr>
      <w:r>
        <w:rPr>
          <w:rFonts w:cs="Times New Roman"/>
        </w:rPr>
        <w:t>乡中心区雨水排放系统均采用沿路敷设枝状管道的方式，管网成树枝状，以重力流为主，就近排放至周边水体。各村庄雨水排放系统采用沿路敷设矩形管渠的方式，根据整个区域的地形、地势划分排水区域，就近排放至周边水体。</w:t>
      </w:r>
    </w:p>
    <w:p w14:paraId="0991CEB6">
      <w:pPr>
        <w:widowControl/>
        <w:adjustRightInd w:val="0"/>
        <w:snapToGrid w:val="0"/>
        <w:ind w:firstLine="640"/>
        <w:rPr>
          <w:rFonts w:cs="Times New Roman"/>
        </w:rPr>
      </w:pPr>
      <w:r>
        <w:rPr>
          <w:rFonts w:hint="eastAsia" w:cs="Times New Roman"/>
        </w:rPr>
        <w:t>温泉景区内污水采用集中式处理，分散乡村文旅</w:t>
      </w:r>
      <w:r>
        <w:rPr>
          <w:rFonts w:cs="Times New Roman"/>
        </w:rPr>
        <w:t>旅游景区污水采用人工生物处理方法，即利用微生物将污水中的有机物分解氧化成稳定的无机物，使污水净化。污水经过处理达标后，排入溪河、林地。</w:t>
      </w:r>
    </w:p>
    <w:p w14:paraId="39B3D1D7">
      <w:pPr>
        <w:widowControl/>
        <w:adjustRightInd w:val="0"/>
        <w:snapToGrid w:val="0"/>
        <w:ind w:firstLine="640"/>
        <w:rPr>
          <w:rFonts w:cs="Times New Roman"/>
        </w:rPr>
      </w:pPr>
      <w:r>
        <w:rPr>
          <w:rFonts w:cs="Times New Roman"/>
        </w:rPr>
        <w:t>依托农村户厕改造、农村人居环境改造、美丽乡村建设等项目，逐步改变原有农村污水无组织排放问题，实现村屯污水的有组织排放和定点处理。</w:t>
      </w:r>
    </w:p>
    <w:p w14:paraId="42860803">
      <w:pPr>
        <w:widowControl/>
        <w:adjustRightInd w:val="0"/>
        <w:snapToGrid w:val="0"/>
        <w:ind w:firstLine="640"/>
        <w:rPr>
          <w:rFonts w:cs="Times New Roman"/>
        </w:rPr>
      </w:pPr>
      <w:r>
        <w:rPr>
          <w:rFonts w:cs="Times New Roman"/>
        </w:rPr>
        <w:t>——乡中心区污水工程规划</w:t>
      </w:r>
    </w:p>
    <w:p w14:paraId="2AEE2BF0">
      <w:pPr>
        <w:widowControl/>
        <w:adjustRightInd w:val="0"/>
        <w:snapToGrid w:val="0"/>
        <w:ind w:firstLine="640"/>
        <w:rPr>
          <w:rFonts w:cs="Times New Roman"/>
        </w:rPr>
      </w:pPr>
      <w:r>
        <w:rPr>
          <w:rFonts w:cs="Times New Roman"/>
        </w:rPr>
        <w:t>规划乡中心区的排水体制采用雨污分流制。新建城镇排水管网全面采用分流制排水体制，全面实行雨污分流，已建城镇合流制管线，逐步转为分流制排水系统。</w:t>
      </w:r>
    </w:p>
    <w:p w14:paraId="0E186FA8">
      <w:pPr>
        <w:widowControl/>
        <w:adjustRightInd w:val="0"/>
        <w:snapToGrid w:val="0"/>
        <w:ind w:firstLine="640"/>
        <w:rPr>
          <w:rFonts w:cs="Times New Roman"/>
        </w:rPr>
      </w:pPr>
      <w:r>
        <w:rPr>
          <w:rFonts w:cs="Times New Roman"/>
        </w:rPr>
        <w:t>规划污水排放系数取0.8。规划在</w:t>
      </w:r>
      <w:r>
        <w:rPr>
          <w:rFonts w:hint="eastAsia" w:cs="Times New Roman"/>
        </w:rPr>
        <w:t>乡中心区西南侧，哈达河东岸设立微型污水处理设施</w:t>
      </w:r>
      <w:r>
        <w:rPr>
          <w:rFonts w:cs="Times New Roman"/>
        </w:rPr>
        <w:t>。</w:t>
      </w:r>
    </w:p>
    <w:p w14:paraId="5A802EDC">
      <w:pPr>
        <w:widowControl/>
        <w:adjustRightInd w:val="0"/>
        <w:snapToGrid w:val="0"/>
        <w:ind w:firstLine="640"/>
        <w:rPr>
          <w:rFonts w:cs="Times New Roman"/>
        </w:rPr>
      </w:pPr>
      <w:r>
        <w:rPr>
          <w:rFonts w:cs="Times New Roman"/>
        </w:rPr>
        <w:t>——乡中心区雨水工程规划</w:t>
      </w:r>
    </w:p>
    <w:p w14:paraId="02929BEC">
      <w:pPr>
        <w:widowControl/>
        <w:adjustRightInd w:val="0"/>
        <w:snapToGrid w:val="0"/>
        <w:ind w:firstLine="640"/>
        <w:rPr>
          <w:rFonts w:cs="Times New Roman"/>
        </w:rPr>
      </w:pPr>
      <w:r>
        <w:rPr>
          <w:rFonts w:cs="Times New Roman"/>
        </w:rPr>
        <w:t>雨水管道的布置为重力流管，结合规划道路布置，管道布置在规划路的西侧和南侧，并根据实际设置雨水排出口。规划布置截洪沟，使山水就近排入河道，截洪沟尽量沿山体等高线布置，以降低工程土方量。采用海绵城市建设理念，通过“渗滞蓄净用排”等海绵技术的应用和快速有力雨水排放系统建设，降低内涝风险，保障乡中心区水体水质。</w:t>
      </w:r>
    </w:p>
    <w:p w14:paraId="4D7452B9">
      <w:pPr>
        <w:widowControl/>
        <w:adjustRightInd w:val="0"/>
        <w:snapToGrid w:val="0"/>
        <w:ind w:firstLine="640"/>
        <w:rPr>
          <w:rFonts w:cs="Times New Roman"/>
        </w:rPr>
      </w:pPr>
      <w:r>
        <w:rPr>
          <w:rFonts w:cs="Times New Roman"/>
        </w:rPr>
        <w:t>基于GIS技术，建立覆盖全域的排水管线管理系统，实现城镇雨污水管道信息的数字化、可视化。</w:t>
      </w:r>
    </w:p>
    <w:p w14:paraId="02966093">
      <w:pPr>
        <w:pStyle w:val="4"/>
      </w:pPr>
      <w:bookmarkStart w:id="84" w:name="OLE_LINK8"/>
      <w:r>
        <w:t>供电工程规划</w:t>
      </w:r>
      <w:bookmarkEnd w:id="84"/>
    </w:p>
    <w:p w14:paraId="5E0397F4">
      <w:pPr>
        <w:widowControl/>
        <w:adjustRightInd w:val="0"/>
        <w:snapToGrid w:val="0"/>
        <w:ind w:firstLine="640"/>
        <w:rPr>
          <w:rFonts w:cs="Times New Roman"/>
        </w:rPr>
      </w:pPr>
      <w:r>
        <w:rPr>
          <w:rFonts w:cs="Times New Roman"/>
        </w:rPr>
        <w:t>——全域供电工程规划</w:t>
      </w:r>
    </w:p>
    <w:p w14:paraId="4AE96075">
      <w:pPr>
        <w:widowControl/>
        <w:adjustRightInd w:val="0"/>
        <w:snapToGrid w:val="0"/>
        <w:ind w:firstLine="640"/>
        <w:rPr>
          <w:rFonts w:cs="Times New Roman"/>
        </w:rPr>
      </w:pPr>
      <w:r>
        <w:rPr>
          <w:rFonts w:cs="Times New Roman"/>
        </w:rPr>
        <w:t>完善全域电网系统，</w:t>
      </w:r>
      <w:r>
        <w:rPr>
          <w:rFonts w:hint="eastAsia" w:cs="Times New Roman"/>
        </w:rPr>
        <w:t>黑沟</w:t>
      </w:r>
      <w:r>
        <w:rPr>
          <w:rFonts w:cs="Times New Roman"/>
        </w:rPr>
        <w:t>乡电力网络布置按照中压和高压两个等级分别布设。按规划路径逐步调整架空配电线路，并应适当增加高度、缩小档距。</w:t>
      </w:r>
    </w:p>
    <w:p w14:paraId="762639CC">
      <w:pPr>
        <w:widowControl/>
        <w:adjustRightInd w:val="0"/>
        <w:snapToGrid w:val="0"/>
        <w:ind w:firstLine="640"/>
        <w:rPr>
          <w:rFonts w:cs="Times New Roman"/>
        </w:rPr>
      </w:pPr>
      <w:r>
        <w:rPr>
          <w:rFonts w:cs="Times New Roman"/>
        </w:rPr>
        <w:t>鼓励发展光伏、风电、生物质能发电等可再生新能源，积极发展智能电网。开展覆盖城乡的智能、高效、绿色变电站建设。推进智能电网应用试点，发展智能用电小区。</w:t>
      </w:r>
    </w:p>
    <w:p w14:paraId="33844A63">
      <w:pPr>
        <w:widowControl/>
        <w:adjustRightInd w:val="0"/>
        <w:snapToGrid w:val="0"/>
        <w:ind w:firstLine="640"/>
        <w:rPr>
          <w:rFonts w:cs="Times New Roman"/>
        </w:rPr>
      </w:pPr>
      <w:r>
        <w:rPr>
          <w:rFonts w:cs="Times New Roman"/>
        </w:rPr>
        <w:t>——乡中心区供电工程规划</w:t>
      </w:r>
    </w:p>
    <w:p w14:paraId="7526746E">
      <w:pPr>
        <w:widowControl/>
        <w:adjustRightInd w:val="0"/>
        <w:snapToGrid w:val="0"/>
        <w:ind w:firstLine="640"/>
        <w:rPr>
          <w:rFonts w:cs="Times New Roman"/>
        </w:rPr>
      </w:pPr>
      <w:r>
        <w:rPr>
          <w:rFonts w:cs="Times New Roman"/>
        </w:rPr>
        <w:t>根据《城市电力规划规范（GB/50293-2014）》，城镇现状用电水平属中等水平，参考东北地区规划指标确定，城镇人均年综合用电取近期（2025年）取1250kW•h，远期（2030年）取2368kW•h。乡中心区的用电仍由现状变电所提供。随着变电所整体负荷的增长，对变电所进行增容。</w:t>
      </w:r>
    </w:p>
    <w:p w14:paraId="5F4D9034">
      <w:pPr>
        <w:widowControl/>
        <w:adjustRightInd w:val="0"/>
        <w:snapToGrid w:val="0"/>
        <w:ind w:firstLine="640"/>
        <w:rPr>
          <w:rFonts w:cs="Times New Roman"/>
        </w:rPr>
      </w:pPr>
      <w:r>
        <w:rPr>
          <w:rFonts w:cs="Times New Roman"/>
        </w:rPr>
        <w:t>按规划路径逐步调整架空配电线路，并应适当增加高度、缩小档距，以提高导线对地距离。在经济发展条件下，应逐步拆除电力杆路，埋设地下电力电缆，达到乡中心区内主干道路电力线路无杆化。</w:t>
      </w:r>
    </w:p>
    <w:p w14:paraId="3DA1F8A0">
      <w:pPr>
        <w:widowControl/>
        <w:adjustRightInd w:val="0"/>
        <w:snapToGrid w:val="0"/>
        <w:ind w:firstLine="640"/>
        <w:rPr>
          <w:rFonts w:cs="Times New Roman"/>
        </w:rPr>
      </w:pPr>
      <w:r>
        <w:rPr>
          <w:rFonts w:cs="Times New Roman"/>
        </w:rPr>
        <w:t>为了保障对旅游区供电的连续性，增设应急供电系统（可设置独立的发电机组），应急供电系统避免与正常电源并列使用。为不影响旅游区景观，旅游区供电、电信等市政管线尽量采取管道形式埋地敷设。需要建设的变压器等电力设施布置在安全隐蔽地段。旅游区内的照明设施，要充分考虑景观特色，配置相应的艺术造景灯饰。</w:t>
      </w:r>
    </w:p>
    <w:p w14:paraId="09CBF4E2">
      <w:pPr>
        <w:pStyle w:val="4"/>
      </w:pPr>
      <w:bookmarkStart w:id="85" w:name="_Toc381734"/>
      <w:bookmarkStart w:id="86" w:name="_Toc381733"/>
      <w:r>
        <w:t>通信工程规划</w:t>
      </w:r>
    </w:p>
    <w:p w14:paraId="707E4503">
      <w:pPr>
        <w:ind w:firstLine="640"/>
        <w:rPr>
          <w:rFonts w:cs="Times New Roman"/>
        </w:rPr>
      </w:pPr>
      <w:r>
        <w:rPr>
          <w:rFonts w:cs="Times New Roman"/>
        </w:rPr>
        <w:t>——推进通信基础设施建设落实</w:t>
      </w:r>
    </w:p>
    <w:p w14:paraId="372A65CC">
      <w:pPr>
        <w:ind w:firstLine="640"/>
        <w:rPr>
          <w:rFonts w:cs="Times New Roman"/>
        </w:rPr>
      </w:pPr>
      <w:r>
        <w:rPr>
          <w:rFonts w:cs="Times New Roman"/>
        </w:rPr>
        <w:t>充分发挥规划引领作用，推动5G、千兆光纤等“双千兆”网络基础设施、机房及管线、电力等配套设施建设，5G基站站址、机房及通信管线等设施位置和配建要求在国土空间控制性详细规划中予以明确，将其纳入国土空间规划“一张图”实施监督信息系统，并列入土地出让的规划条件。</w:t>
      </w:r>
    </w:p>
    <w:p w14:paraId="7090178D">
      <w:pPr>
        <w:ind w:firstLine="640"/>
        <w:rPr>
          <w:rFonts w:cs="Times New Roman"/>
        </w:rPr>
      </w:pPr>
      <w:r>
        <w:rPr>
          <w:rFonts w:cs="Times New Roman"/>
        </w:rPr>
        <w:t>——镇域通信工程规划</w:t>
      </w:r>
    </w:p>
    <w:p w14:paraId="62E47142">
      <w:pPr>
        <w:ind w:firstLine="640"/>
        <w:rPr>
          <w:rFonts w:cs="Times New Roman"/>
        </w:rPr>
      </w:pPr>
      <w:bookmarkStart w:id="87" w:name="_Hlk184056130"/>
      <w:r>
        <w:rPr>
          <w:rFonts w:cs="Times New Roman"/>
        </w:rPr>
        <w:t>大力发展移动通讯并逐步建立移动通讯光缆和基站系统，进一步加强和完善全域移动通信设备基站，减小通信盲区。改善农村信息条件，加快光纤到村，促进农村地区信息化。乡中心区保留现状电信支局及邮政支局，中心村设置邮政代办网点，开展综合服务业务，加快邮政储蓄业务全域覆盖。</w:t>
      </w:r>
    </w:p>
    <w:p w14:paraId="70D9E6B0">
      <w:pPr>
        <w:ind w:firstLine="640"/>
        <w:rPr>
          <w:rFonts w:cs="Times New Roman"/>
        </w:rPr>
      </w:pPr>
      <w:r>
        <w:rPr>
          <w:rFonts w:cs="Times New Roman"/>
        </w:rPr>
        <w:t>规划通信线路沿主要道路采用架空敷设，规划考虑广播、有线电视、电话、光纤，村邮政等通信设施。</w:t>
      </w:r>
    </w:p>
    <w:p w14:paraId="7273D57C">
      <w:pPr>
        <w:ind w:firstLine="640"/>
        <w:rPr>
          <w:rFonts w:cs="Times New Roman"/>
        </w:rPr>
      </w:pPr>
      <w:r>
        <w:rPr>
          <w:rFonts w:cs="Times New Roman"/>
        </w:rPr>
        <w:t>——乡中心区通信工程规划</w:t>
      </w:r>
    </w:p>
    <w:p w14:paraId="60D1F772">
      <w:pPr>
        <w:ind w:firstLine="640"/>
        <w:rPr>
          <w:rFonts w:cs="Times New Roman"/>
        </w:rPr>
      </w:pPr>
      <w:r>
        <w:rPr>
          <w:rFonts w:cs="Times New Roman"/>
        </w:rPr>
        <w:t>乡中心区内新建道路上的光（电）缆宜采用地下敷设方式，按照快速路及主干路16-24孔、次干路8-16孔、支路4-12孔的标准新建通信管道，干线管道按照6-8孔进行建设；离开乡中心区后，农村采用架空敷设。现状道路上的通信线路保持现状，在道路改（扩）建时优先按既有敷设方式迁改。</w:t>
      </w:r>
    </w:p>
    <w:p w14:paraId="720EC4ED">
      <w:pPr>
        <w:ind w:firstLine="640"/>
        <w:rPr>
          <w:rFonts w:cs="Times New Roman"/>
        </w:rPr>
      </w:pPr>
      <w:r>
        <w:rPr>
          <w:rFonts w:cs="Times New Roman"/>
        </w:rPr>
        <w:t>保留铁塔公司与通信运营商现有移动通信基站，综合考虑蜂窝接入容量和覆盖的要求，结合移动话务模型及4G及5G技术应用，4G乡中心区基站覆盖半径按400-500米设置，4G农村基站覆盖半径按800-1000米设置；5G乡中心区基站覆盖半径按200-500米设置，5G农村基站覆盖半径按500-1000米设置。充分利用既有基站共址建设，随着移动通信的发展，新建基站站址优先结合公共建筑顶层空间与公园绿地等公用空间设置。新建工业园区、居民小区以及各类公共建筑，规划时对通信基站进行配建规划。基站机柜优先结合建筑空间设施，无可依托建筑时，基站机柜应小型化，美观化设置。在城镇发展区内，5G站址应充分利用公共设施资源，优先与建筑物、灯杆等结合建设；在其他区域采用多种灵活建设方式开展基站建设，如结合有条件的路灯杆、道路指示牌或建设落地塔（杆）等。保留现状有线电视网络，并使之逐步光缆化。</w:t>
      </w:r>
    </w:p>
    <w:bookmarkEnd w:id="87"/>
    <w:p w14:paraId="3BA5A33F">
      <w:pPr>
        <w:pStyle w:val="4"/>
      </w:pPr>
      <w:r>
        <w:t>燃气工程</w:t>
      </w:r>
      <w:bookmarkEnd w:id="85"/>
      <w:r>
        <w:t>规划</w:t>
      </w:r>
    </w:p>
    <w:p w14:paraId="5C747822">
      <w:pPr>
        <w:widowControl/>
        <w:adjustRightInd w:val="0"/>
        <w:snapToGrid w:val="0"/>
        <w:ind w:firstLine="640"/>
        <w:rPr>
          <w:rFonts w:cs="Times New Roman"/>
        </w:rPr>
      </w:pPr>
      <w:r>
        <w:rPr>
          <w:rFonts w:cs="Times New Roman"/>
        </w:rPr>
        <w:t>规划乡中心区供气气源选择以罐装液化气为主，以电能为辅助能源；各村仍继续采用燃烧罐装液化气为主，以电能为辅助能源。远期开展气化乡村工程，</w:t>
      </w:r>
      <w:r>
        <w:rPr>
          <w:rFonts w:hint="eastAsia" w:cs="Times New Roman"/>
        </w:rPr>
        <w:t>气源为液化石油气，</w:t>
      </w:r>
      <w:r>
        <w:rPr>
          <w:rFonts w:cs="Times New Roman"/>
        </w:rPr>
        <w:t>逐步实现城镇燃气管网铺设和通气工作，逐步替代煤、柴等污染能源。同时，考虑与其他形式的清洁能源相结合，如太阳能、风能、沼气等，建设节约型社会，提高能源的使用效率。</w:t>
      </w:r>
    </w:p>
    <w:p w14:paraId="7B319ECB">
      <w:pPr>
        <w:pStyle w:val="4"/>
      </w:pPr>
      <w:r>
        <w:t>供热工程</w:t>
      </w:r>
      <w:bookmarkEnd w:id="86"/>
      <w:r>
        <w:t>规划</w:t>
      </w:r>
    </w:p>
    <w:p w14:paraId="39A5C7E9">
      <w:pPr>
        <w:widowControl/>
        <w:adjustRightInd w:val="0"/>
        <w:snapToGrid w:val="0"/>
        <w:ind w:firstLine="640"/>
        <w:rPr>
          <w:rFonts w:cs="Times New Roman"/>
        </w:rPr>
      </w:pPr>
      <w:r>
        <w:rPr>
          <w:rFonts w:cs="Times New Roman"/>
        </w:rPr>
        <w:t>规划在乡中心区建设一处集中供热站，同时建议采用清洁能源辅助供暖。规划集中供热普及率为100%。供热管网布置以枝状管网为主，中压主干管尽量避免敷设在主干路上，同时尽量避免穿越公路、其他大型建筑物，必须穿越时要有一定的防护措施。</w:t>
      </w:r>
    </w:p>
    <w:p w14:paraId="27F2FA5B">
      <w:pPr>
        <w:widowControl/>
        <w:adjustRightInd w:val="0"/>
        <w:snapToGrid w:val="0"/>
        <w:ind w:firstLine="640"/>
        <w:rPr>
          <w:rFonts w:cs="Times New Roman"/>
        </w:rPr>
      </w:pPr>
      <w:r>
        <w:rPr>
          <w:rFonts w:cs="Times New Roman"/>
        </w:rPr>
        <w:t>其余各村近期以分散供热为主，远期实现燃气供热。</w:t>
      </w:r>
    </w:p>
    <w:p w14:paraId="2F7B3E31">
      <w:pPr>
        <w:pStyle w:val="4"/>
      </w:pPr>
      <w:bookmarkStart w:id="88" w:name="_Toc381738"/>
      <w:r>
        <w:t>环卫</w:t>
      </w:r>
      <w:bookmarkEnd w:id="88"/>
      <w:r>
        <w:t>工程规划</w:t>
      </w:r>
    </w:p>
    <w:p w14:paraId="260D9C11">
      <w:pPr>
        <w:ind w:firstLine="640"/>
        <w:rPr>
          <w:rFonts w:cs="Times New Roman"/>
        </w:rPr>
      </w:pPr>
      <w:r>
        <w:rPr>
          <w:rFonts w:cs="Times New Roman"/>
        </w:rPr>
        <w:t>规划</w:t>
      </w:r>
      <w:r>
        <w:rPr>
          <w:rFonts w:hint="eastAsia" w:cs="Times New Roman"/>
        </w:rPr>
        <w:t>黑沟</w:t>
      </w:r>
      <w:r>
        <w:rPr>
          <w:rFonts w:cs="Times New Roman"/>
        </w:rPr>
        <w:t>乡采用“户分类、村收集、乡运转、</w:t>
      </w:r>
      <w:r>
        <w:rPr>
          <w:rFonts w:hint="eastAsia" w:cs="Times New Roman"/>
        </w:rPr>
        <w:t>县</w:t>
      </w:r>
      <w:r>
        <w:rPr>
          <w:rFonts w:cs="Times New Roman"/>
        </w:rPr>
        <w:t>处理”的模式，实现环境卫生城乡一体化布局。桓仁县城生活垃圾卫生填埋场位于雅河乡垛道沟，设计日处理生活垃圾150吨，设计年限15年，设计库容120万立方米。</w:t>
      </w:r>
      <w:r>
        <w:rPr>
          <w:rFonts w:hint="eastAsia" w:cs="Times New Roman"/>
        </w:rPr>
        <w:t>黑沟</w:t>
      </w:r>
      <w:r>
        <w:rPr>
          <w:rFonts w:cs="Times New Roman"/>
        </w:rPr>
        <w:t>乡的生活垃圾统一运至县城生活垃圾卫生填埋场进行卫生填埋处理。</w:t>
      </w:r>
    </w:p>
    <w:p w14:paraId="73290FD7">
      <w:pPr>
        <w:ind w:firstLine="640"/>
        <w:rPr>
          <w:rFonts w:cs="Times New Roman"/>
        </w:rPr>
      </w:pPr>
      <w:bookmarkStart w:id="89" w:name="_Hlk184561027"/>
      <w:r>
        <w:rPr>
          <w:rFonts w:cs="Times New Roman"/>
        </w:rPr>
        <w:t>有毒有害垃圾实行定期或预约收运，根据危险废物类别交由有相应危废经营许可资质的单位进行无害化处置。危险废物焚烧处理设施应满足《危险废物焚烧污染控制标准》（GB18484-2020）及修改单要求，危险废物安全处置率100%。</w:t>
      </w:r>
    </w:p>
    <w:p w14:paraId="095198E1">
      <w:pPr>
        <w:ind w:firstLine="640"/>
        <w:rPr>
          <w:rFonts w:cs="Times New Roman"/>
        </w:rPr>
      </w:pPr>
      <w:r>
        <w:rPr>
          <w:rFonts w:cs="Times New Roman"/>
        </w:rPr>
        <w:t>全方位打造“智慧环卫”，实现日常办公“网络化”，机械作业“信息化”，保洁质量“透明化”，应急迎检“快捷化”，信息功能“共享化”。</w:t>
      </w:r>
    </w:p>
    <w:bookmarkEnd w:id="89"/>
    <w:p w14:paraId="1A62A743">
      <w:pPr>
        <w:pStyle w:val="3"/>
        <w:rPr>
          <w:rFonts w:ascii="Times New Roman" w:hAnsi="Times New Roman" w:cs="Times New Roman"/>
          <w:color w:val="auto"/>
        </w:rPr>
      </w:pPr>
      <w:bookmarkStart w:id="90" w:name="_Toc220921293"/>
      <w:r>
        <w:rPr>
          <w:rFonts w:ascii="Times New Roman" w:hAnsi="Times New Roman" w:cs="Times New Roman"/>
          <w:color w:val="auto"/>
        </w:rPr>
        <w:t>第四节防灾减灾设施</w:t>
      </w:r>
      <w:bookmarkEnd w:id="90"/>
    </w:p>
    <w:p w14:paraId="55B77FAB">
      <w:pPr>
        <w:pStyle w:val="4"/>
        <w:numPr>
          <w:ilvl w:val="0"/>
          <w:numId w:val="36"/>
        </w:numPr>
        <w:ind w:left="198" w:firstLine="641"/>
      </w:pPr>
      <w:r>
        <w:t>建设现代化综合防灾减灾体系</w:t>
      </w:r>
    </w:p>
    <w:p w14:paraId="7BA9A426">
      <w:pPr>
        <w:ind w:firstLine="640"/>
        <w:rPr>
          <w:rFonts w:cs="Times New Roman"/>
        </w:rPr>
      </w:pPr>
      <w:r>
        <w:rPr>
          <w:rFonts w:cs="Times New Roman"/>
        </w:rPr>
        <w:t>积极融入桓仁县中心城区综合防灾减灾体系，提升应对重大公共突发事件能力和水平，加强组织领导机构建设，统一组织、协调、指挥</w:t>
      </w:r>
      <w:r>
        <w:rPr>
          <w:rFonts w:hint="eastAsia" w:cs="Times New Roman"/>
        </w:rPr>
        <w:t>全乡</w:t>
      </w:r>
      <w:r>
        <w:rPr>
          <w:rFonts w:cs="Times New Roman"/>
        </w:rPr>
        <w:t>防灾减灾工作。健全城乡生命线工程系统，统筹生态网络、防灾网络和生命线系统、开敞空间系统、防灾系统。推进“平灾结合、平急两用”公共基础设施建设，“平时”用作旅游、康养、休闲等，“急时”可转换为应急场所，满足应急避难、临时安置、物资保障等需求。完善综合防灾减灾规划和应急预案，保障应急物资储备与供应，全面提高救灾专业队伍的减灾救援能力。</w:t>
      </w:r>
    </w:p>
    <w:p w14:paraId="360B4EA0">
      <w:pPr>
        <w:ind w:firstLine="640"/>
        <w:rPr>
          <w:rFonts w:cs="Times New Roman"/>
        </w:rPr>
      </w:pPr>
      <w:r>
        <w:rPr>
          <w:rFonts w:cs="Times New Roman"/>
        </w:rPr>
        <w:t>提升生命线廊道的综合抗灾能力。基本构建以水、电、气、热、交通等为重点，覆盖全域范围的城镇生命线安全工程主框架，并接入辽宁省城市生命线安全工程监测网，实现生命线安全工程全域覆盖，显著提升城镇安全风险管控能力。</w:t>
      </w:r>
    </w:p>
    <w:p w14:paraId="6AD41DAC">
      <w:pPr>
        <w:pStyle w:val="4"/>
      </w:pPr>
      <w:r>
        <w:t>应急避难场所</w:t>
      </w:r>
    </w:p>
    <w:p w14:paraId="66834F9C">
      <w:pPr>
        <w:ind w:firstLine="640"/>
        <w:rPr>
          <w:rFonts w:cs="Times New Roman"/>
        </w:rPr>
      </w:pPr>
      <w:r>
        <w:rPr>
          <w:rFonts w:cs="Times New Roman"/>
        </w:rPr>
        <w:t>充分考虑当地易发多发灾害事故，以及人口分布、土地资源、经济条件等实际情况，规范应急避难场所类型划分，选择适宜级别和类型的应急避难场所进行规划建设，设置满足避难需求的必要功能区，实行分级分类配置设施设备和物资。2025年底前，全域初步形成乡镇级、村（社区）级应急避难场所布局体系，乡村应急避难场所覆盖范围进一步扩大。2035年底前，实现满足城乡人口避难需求的应急避难场所全覆盖。应急避难场所建设要达到国家《防灾避难场所设计规范》等有关规范、标准要求。2035年，</w:t>
      </w:r>
      <w:r>
        <w:rPr>
          <w:rFonts w:cs="Times New Roman"/>
          <w:u w:val="single"/>
        </w:rPr>
        <w:t>乡中心区人均应急避难场所面积不低于1.5平方米。</w:t>
      </w:r>
      <w:r>
        <w:rPr>
          <w:rFonts w:cs="Times New Roman"/>
        </w:rPr>
        <w:t>按照国家相关标准要求提升避难场所建设水平，提高容灾避险能力，80%以上的应急避难场所配齐配全设备设施，整体提升容灾避险水平。</w:t>
      </w:r>
    </w:p>
    <w:p w14:paraId="569204E3">
      <w:pPr>
        <w:pStyle w:val="4"/>
      </w:pPr>
      <w:r>
        <w:t>防洪规划</w:t>
      </w:r>
    </w:p>
    <w:p w14:paraId="3AD263EA">
      <w:pPr>
        <w:widowControl/>
        <w:adjustRightInd w:val="0"/>
        <w:snapToGrid w:val="0"/>
        <w:ind w:firstLine="640"/>
        <w:rPr>
          <w:rFonts w:cs="Times New Roman"/>
        </w:rPr>
      </w:pPr>
      <w:bookmarkStart w:id="91" w:name="_Hlk131263270"/>
      <w:r>
        <w:rPr>
          <w:rFonts w:cs="Times New Roman"/>
        </w:rPr>
        <w:t>贯彻“全面规划、综合治理、防治结合、以防为主”的方针，高标准建设防洪系统。</w:t>
      </w:r>
      <w:r>
        <w:rPr>
          <w:rFonts w:cs="Times New Roman"/>
          <w:u w:val="single"/>
        </w:rPr>
        <w:t>浑江按照50年一遇防洪标准设防，其他河流防洪标准不低于10年一遇，治理山洪沟防洪标准为10年一遇。</w:t>
      </w:r>
      <w:r>
        <w:rPr>
          <w:rFonts w:cs="Times New Roman"/>
        </w:rPr>
        <w:t>加强堤防建设，建立安全的防洪排涝体系。</w:t>
      </w:r>
    </w:p>
    <w:bookmarkEnd w:id="91"/>
    <w:p w14:paraId="344FCD9E">
      <w:pPr>
        <w:widowControl/>
        <w:adjustRightInd w:val="0"/>
        <w:snapToGrid w:val="0"/>
        <w:ind w:firstLine="640"/>
        <w:rPr>
          <w:rFonts w:cs="Times New Roman"/>
        </w:rPr>
      </w:pPr>
      <w:bookmarkStart w:id="92" w:name="_Hlk131263279"/>
      <w:r>
        <w:rPr>
          <w:rFonts w:cs="Times New Roman"/>
        </w:rPr>
        <w:t>河道整治与改善城镇环境相结合，通过河道整治，使河道畅通，改善水质和生活环境。综合运用挡、排、疏等手段，建立和完善城镇防洪工程体系。做好地势低洼地段的排涝工作，采用垫高地面和设置排涝泵站等措施，提高防洪能力。建立综合防灾体系，做好防洪预案并加强气象和水情预报，最大限度地减少洪涝灾害带来的损失。</w:t>
      </w:r>
    </w:p>
    <w:p w14:paraId="748FF66B">
      <w:pPr>
        <w:pStyle w:val="4"/>
      </w:pPr>
      <w:r>
        <w:t>消防规划</w:t>
      </w:r>
    </w:p>
    <w:bookmarkEnd w:id="92"/>
    <w:p w14:paraId="51ED66C6">
      <w:pPr>
        <w:widowControl/>
        <w:adjustRightInd w:val="0"/>
        <w:snapToGrid w:val="0"/>
        <w:ind w:firstLine="640"/>
        <w:rPr>
          <w:rFonts w:cs="Times New Roman"/>
        </w:rPr>
      </w:pPr>
      <w:r>
        <w:rPr>
          <w:rFonts w:cs="Times New Roman"/>
        </w:rPr>
        <w:t>贯彻“预防为主，防消结合”的消防工作方针，推进消防站建设和市政消防水源建设，合理划分消防责任区。</w:t>
      </w:r>
      <w:r>
        <w:rPr>
          <w:rFonts w:cs="Times New Roman"/>
          <w:u w:val="single"/>
        </w:rPr>
        <w:t>规划</w:t>
      </w:r>
      <w:r>
        <w:rPr>
          <w:rFonts w:hint="eastAsia" w:cs="Times New Roman"/>
          <w:u w:val="single"/>
        </w:rPr>
        <w:t>黑沟乡以黑沟乡二级普通消防站为中心，村庄微型消防站为补充的消防救援体系。</w:t>
      </w:r>
      <w:r>
        <w:rPr>
          <w:rFonts w:cs="Times New Roman"/>
        </w:rPr>
        <w:t>保持相应的人员和车辆的配备，服务于整个镇域及周边地区，同时兼顾森林防火。消防给水系统与城镇给水系统一致，</w:t>
      </w:r>
      <w:r>
        <w:rPr>
          <w:rFonts w:hint="eastAsia" w:cs="Times New Roman"/>
        </w:rPr>
        <w:t>以河流、湖泊等天然水源作为补充，特殊情况应建消防水池，</w:t>
      </w:r>
      <w:r>
        <w:rPr>
          <w:rFonts w:cs="Times New Roman"/>
        </w:rPr>
        <w:t>沿路供水管线不超过120米设一处消火栓。在工业区、大型公共建筑和供水低压区内设置消防水池，以保证消防用水所需流量。</w:t>
      </w:r>
    </w:p>
    <w:p w14:paraId="1B8C962B">
      <w:pPr>
        <w:widowControl/>
        <w:adjustRightInd w:val="0"/>
        <w:snapToGrid w:val="0"/>
        <w:ind w:firstLine="640"/>
        <w:rPr>
          <w:rFonts w:cs="Times New Roman"/>
        </w:rPr>
      </w:pPr>
      <w:r>
        <w:rPr>
          <w:rFonts w:cs="Times New Roman"/>
        </w:rPr>
        <w:t>强化消防通信设施建设。消防通信消防站应与桓仁县消防指挥中心建立可靠的有线通信、无线通信联系；消防无线通信系统应按专用通信网设置，并能与其它通信网连接，设置无线通讯基地台，保证线路、通信信号畅通。</w:t>
      </w:r>
    </w:p>
    <w:p w14:paraId="7B69BA19">
      <w:pPr>
        <w:widowControl/>
        <w:adjustRightInd w:val="0"/>
        <w:snapToGrid w:val="0"/>
        <w:ind w:firstLine="640"/>
        <w:rPr>
          <w:rFonts w:cs="Times New Roman"/>
        </w:rPr>
      </w:pPr>
      <w:r>
        <w:rPr>
          <w:rFonts w:cs="Times New Roman"/>
        </w:rPr>
        <w:t>消防给水与市政给水为共用系统，加强镇内给水管网系统的建设和改造。在给水主干管和主要道路的绿岛或人行步道附近设置消防水鹤，其放水管对应的路面应有雨水（口）井，消防水鹤间距不应超过1000米。</w:t>
      </w:r>
    </w:p>
    <w:p w14:paraId="2215400E">
      <w:pPr>
        <w:widowControl/>
        <w:adjustRightInd w:val="0"/>
        <w:snapToGrid w:val="0"/>
        <w:ind w:firstLine="640"/>
        <w:rPr>
          <w:rFonts w:cs="Times New Roman"/>
          <w:u w:val="single"/>
        </w:rPr>
      </w:pPr>
      <w:bookmarkStart w:id="93" w:name="_Hlk184058495"/>
      <w:r>
        <w:rPr>
          <w:rFonts w:cs="Times New Roman"/>
          <w:u w:val="single"/>
        </w:rPr>
        <w:t>加强消防通道建设。居住区道路宽度不应小于</w:t>
      </w:r>
      <w:r>
        <w:rPr>
          <w:rFonts w:hint="eastAsia" w:cs="Times New Roman"/>
          <w:u w:val="single"/>
        </w:rPr>
        <w:t>4</w:t>
      </w:r>
      <w:r>
        <w:rPr>
          <w:rFonts w:cs="Times New Roman"/>
          <w:u w:val="single"/>
        </w:rPr>
        <w:t>米，道路转弯半径不应小于12米，净高不低于4.0米，消防通道间距应小于160米。</w:t>
      </w:r>
      <w:bookmarkEnd w:id="93"/>
      <w:r>
        <w:rPr>
          <w:rFonts w:cs="Times New Roman"/>
          <w:u w:val="single"/>
        </w:rPr>
        <w:t>城镇道路设置消火栓，消火栓间距不大于120米。</w:t>
      </w:r>
    </w:p>
    <w:p w14:paraId="24470D03">
      <w:pPr>
        <w:pStyle w:val="4"/>
      </w:pPr>
      <w:r>
        <w:t>森林防火</w:t>
      </w:r>
    </w:p>
    <w:p w14:paraId="54CB0135">
      <w:pPr>
        <w:widowControl/>
        <w:adjustRightInd w:val="0"/>
        <w:snapToGrid w:val="0"/>
        <w:ind w:firstLine="640"/>
        <w:rPr>
          <w:rFonts w:cs="Times New Roman"/>
        </w:rPr>
      </w:pPr>
      <w:r>
        <w:rPr>
          <w:rFonts w:cs="Times New Roman"/>
        </w:rPr>
        <w:t>全面提高森林火灾防控能力，对森林区实行消防防火分区，加强生物防火林带的建设、维护，完善和优化防火设施布置、植物配置。加强预警监测系统、森林防火通信和信息指挥系统建设，建立森林消防应急联动机制，完善森林消防设施和森林专业消防救援队伍建设，最大限度地减少森林火灾发生和灾害损失。</w:t>
      </w:r>
    </w:p>
    <w:p w14:paraId="0AFA3549">
      <w:pPr>
        <w:pStyle w:val="4"/>
      </w:pPr>
      <w:r>
        <w:t>抗震减灾</w:t>
      </w:r>
    </w:p>
    <w:p w14:paraId="3BDADBA1">
      <w:pPr>
        <w:widowControl/>
        <w:adjustRightInd w:val="0"/>
        <w:snapToGrid w:val="0"/>
        <w:ind w:firstLine="640"/>
        <w:rPr>
          <w:rFonts w:cs="Times New Roman"/>
        </w:rPr>
      </w:pPr>
      <w:r>
        <w:rPr>
          <w:rFonts w:cs="Times New Roman"/>
        </w:rPr>
        <w:t>根据《中国地震动参数区划图（GB18306—2015）》，</w:t>
      </w:r>
      <w:r>
        <w:rPr>
          <w:rFonts w:hint="eastAsia" w:cs="Times New Roman"/>
          <w:u w:val="single"/>
        </w:rPr>
        <w:t>黑沟</w:t>
      </w:r>
      <w:r>
        <w:rPr>
          <w:rFonts w:cs="Times New Roman"/>
          <w:u w:val="single"/>
        </w:rPr>
        <w:t>乡执行7度设防。对有特殊要求的建筑物和构筑物应执行抗震规范。</w:t>
      </w:r>
      <w:r>
        <w:rPr>
          <w:rFonts w:hint="eastAsia" w:cs="Times New Roman"/>
        </w:rPr>
        <w:t>黑沟</w:t>
      </w:r>
      <w:r>
        <w:rPr>
          <w:rFonts w:cs="Times New Roman"/>
        </w:rPr>
        <w:t>乡地质结构复杂，因此在</w:t>
      </w:r>
      <w:r>
        <w:rPr>
          <w:rFonts w:hint="eastAsia" w:cs="Times New Roman"/>
        </w:rPr>
        <w:t>黑沟</w:t>
      </w:r>
      <w:r>
        <w:rPr>
          <w:rFonts w:cs="Times New Roman"/>
        </w:rPr>
        <w:t>乡域内的重大建设工程和可能发生严重次生灾害的建设工程必须进行地震安全性评价，并根据安评结果，确定抗震设防要求，进行抗震设防。</w:t>
      </w:r>
    </w:p>
    <w:p w14:paraId="56288C79">
      <w:pPr>
        <w:widowControl/>
        <w:adjustRightInd w:val="0"/>
        <w:snapToGrid w:val="0"/>
        <w:ind w:firstLine="640"/>
        <w:rPr>
          <w:rFonts w:cs="Times New Roman"/>
        </w:rPr>
      </w:pPr>
      <w:r>
        <w:rPr>
          <w:rFonts w:cs="Times New Roman"/>
        </w:rPr>
        <w:t>各类房屋建筑及其附属设施和城市市政设施等建设工程设计及施工必须执行国家抗震设计规范。</w:t>
      </w:r>
    </w:p>
    <w:p w14:paraId="6CA1E7C1">
      <w:pPr>
        <w:pStyle w:val="4"/>
      </w:pPr>
      <w:r>
        <w:t>人防规划</w:t>
      </w:r>
    </w:p>
    <w:p w14:paraId="1A44C33D">
      <w:pPr>
        <w:ind w:firstLine="640"/>
        <w:rPr>
          <w:rFonts w:cs="Times New Roman"/>
        </w:rPr>
      </w:pPr>
      <w:r>
        <w:rPr>
          <w:rFonts w:cs="Times New Roman"/>
        </w:rPr>
        <w:t>按照以疏散为主、掩蔽为辅的原则，人防工事由掩蔽工事、指挥系统、给水系统、警报通信系统、供电系统、医疗救护系统、人防仓库、工程抢救系统等组成，分别按照《人民防空条例》的规定建设，一般按五级以上工事标准修建。</w:t>
      </w:r>
    </w:p>
    <w:p w14:paraId="5B02B2D5">
      <w:pPr>
        <w:ind w:firstLine="640"/>
        <w:rPr>
          <w:rFonts w:cs="Times New Roman"/>
        </w:rPr>
      </w:pPr>
      <w:r>
        <w:rPr>
          <w:rFonts w:cs="Times New Roman"/>
        </w:rPr>
        <w:t>乡中心区应建设有线、无线、统控、自控相结合的防空警报网络。乡中心区重点地区必须按照规划要求建设人防工程，在人流集散的车站、大型商场、旅馆、医院、学校、政府机关等处修建一定规模的平战结合的掩蔽工事；车站、桥梁、铁路、对外公路及重要生命线工程要作为重点防护目标，设置专门的工程抢修系统。</w:t>
      </w:r>
    </w:p>
    <w:p w14:paraId="11936DA6">
      <w:pPr>
        <w:pStyle w:val="4"/>
      </w:pPr>
      <w:r>
        <w:t>地质灾害防治</w:t>
      </w:r>
    </w:p>
    <w:p w14:paraId="5FE22BBB">
      <w:pPr>
        <w:widowControl/>
        <w:adjustRightInd w:val="0"/>
        <w:snapToGrid w:val="0"/>
        <w:ind w:firstLine="640"/>
        <w:rPr>
          <w:rFonts w:cs="Times New Roman"/>
        </w:rPr>
      </w:pPr>
      <w:r>
        <w:rPr>
          <w:rFonts w:cs="Times New Roman"/>
        </w:rPr>
        <w:t>提升地质灾害防治能力。增强地质灾害调查研究深度，开展地质灾害风险普查与调查。整合社会资源，配备必要的交通、通讯和专业设备，形成协调联动、反应迅速、组织有力、救援有效的地质灾害应急救援队伍。组建地质灾害应急调查小分队，协助处理突发地质灾害事件，指导和制定应急处置方案。建设信息网络平台，提高处理突发性地质灾害的能力。强化宣传培训与应急演练。健全以村干部和骨干群众为主体的群测群防员队伍，组织群测群防员培训。加强预警信息发布手段建设，确保及时发现险情、及时发出预警。</w:t>
      </w:r>
    </w:p>
    <w:p w14:paraId="02B48825">
      <w:pPr>
        <w:pStyle w:val="4"/>
      </w:pPr>
      <w:bookmarkStart w:id="94" w:name="_Hlk131266021"/>
      <w:r>
        <w:t>气象灾害防御</w:t>
      </w:r>
    </w:p>
    <w:p w14:paraId="62D7936F">
      <w:pPr>
        <w:widowControl/>
        <w:adjustRightInd w:val="0"/>
        <w:snapToGrid w:val="0"/>
        <w:ind w:firstLine="640"/>
        <w:rPr>
          <w:rFonts w:cs="Times New Roman"/>
        </w:rPr>
      </w:pPr>
      <w:r>
        <w:rPr>
          <w:rFonts w:cs="Times New Roman"/>
        </w:rPr>
        <w:t>完善气象灾害防灾减灾体系，加强重大气象灾害风险区划和评估，尤其做好暴雨、台风、暴雪、大雾、大风、强对流天气等灾害防御。加强气象灾害预警信息传播设施建设，向公众传播气象灾害预警信息。</w:t>
      </w:r>
    </w:p>
    <w:p w14:paraId="033FF8AD">
      <w:pPr>
        <w:widowControl/>
        <w:adjustRightInd w:val="0"/>
        <w:snapToGrid w:val="0"/>
        <w:ind w:firstLine="640"/>
        <w:rPr>
          <w:rFonts w:cs="Times New Roman"/>
        </w:rPr>
      </w:pPr>
      <w:r>
        <w:rPr>
          <w:rFonts w:cs="Times New Roman"/>
          <w:lang w:bidi="ar"/>
        </w:rPr>
        <w:t>加强气象设施和气象探测环境保护，</w:t>
      </w:r>
      <w:r>
        <w:rPr>
          <w:rFonts w:cs="Times New Roman"/>
          <w:u w:val="single"/>
          <w:lang w:bidi="ar"/>
        </w:rPr>
        <w:t>保障高空气象观测站、天气雷达站、气象卫星地面站、区域气象观测站和单独设立的气象探测设施探测环境的保护，应当严格执行国家规定的保护范围和要求</w:t>
      </w:r>
      <w:r>
        <w:rPr>
          <w:rFonts w:cs="Times New Roman"/>
          <w:lang w:bidi="ar"/>
        </w:rPr>
        <w:t>。</w:t>
      </w:r>
    </w:p>
    <w:bookmarkEnd w:id="94"/>
    <w:p w14:paraId="4833A5D1">
      <w:pPr>
        <w:pStyle w:val="2"/>
        <w:spacing w:before="312" w:after="312"/>
        <w:rPr>
          <w:rFonts w:ascii="Times New Roman" w:hAnsi="Times New Roman" w:cs="Times New Roman"/>
          <w:color w:val="auto"/>
        </w:rPr>
      </w:pPr>
      <w:bookmarkStart w:id="95" w:name="_Toc220921294"/>
      <w:r>
        <w:rPr>
          <w:rFonts w:ascii="Times New Roman" w:hAnsi="Times New Roman" w:cs="Times New Roman"/>
          <w:color w:val="auto"/>
        </w:rPr>
        <w:t>第</w:t>
      </w:r>
      <w:r>
        <w:rPr>
          <w:rFonts w:hint="eastAsia" w:ascii="Times New Roman" w:hAnsi="Times New Roman" w:cs="Times New Roman"/>
          <w:color w:val="auto"/>
        </w:rPr>
        <w:t>十</w:t>
      </w:r>
      <w:r>
        <w:rPr>
          <w:rFonts w:ascii="Times New Roman" w:hAnsi="Times New Roman" w:cs="Times New Roman"/>
          <w:color w:val="auto"/>
        </w:rPr>
        <w:t>章规划传导与近期建设</w:t>
      </w:r>
      <w:bookmarkEnd w:id="95"/>
    </w:p>
    <w:p w14:paraId="006D19C6">
      <w:pPr>
        <w:pStyle w:val="3"/>
        <w:rPr>
          <w:rFonts w:ascii="Times New Roman" w:hAnsi="Times New Roman" w:cs="Times New Roman"/>
          <w:color w:val="auto"/>
        </w:rPr>
      </w:pPr>
      <w:bookmarkStart w:id="96" w:name="_Toc175064695"/>
      <w:bookmarkStart w:id="97" w:name="_Toc220921295"/>
      <w:r>
        <w:rPr>
          <w:rFonts w:ascii="Times New Roman" w:hAnsi="Times New Roman" w:cs="Times New Roman"/>
          <w:color w:val="auto"/>
        </w:rPr>
        <w:t>第一节加强党的领导</w:t>
      </w:r>
      <w:bookmarkEnd w:id="96"/>
      <w:bookmarkEnd w:id="97"/>
    </w:p>
    <w:p w14:paraId="7482790C">
      <w:pPr>
        <w:pStyle w:val="4"/>
        <w:numPr>
          <w:ilvl w:val="0"/>
          <w:numId w:val="37"/>
        </w:numPr>
        <w:ind w:left="198" w:firstLine="641"/>
        <w:rPr>
          <w:rFonts w:eastAsia="楷体"/>
        </w:rPr>
      </w:pPr>
      <w:r>
        <w:t>强化党对国土空间规划的全面领导</w:t>
      </w:r>
    </w:p>
    <w:p w14:paraId="4C6AC370">
      <w:pPr>
        <w:widowControl/>
        <w:adjustRightInd w:val="0"/>
        <w:snapToGrid w:val="0"/>
        <w:ind w:firstLine="640"/>
        <w:rPr>
          <w:rFonts w:cs="Times New Roman"/>
        </w:rPr>
      </w:pPr>
      <w:r>
        <w:rPr>
          <w:rFonts w:cs="Times New Roman"/>
          <w:lang w:bidi="ar"/>
        </w:rPr>
        <w:t>深入学习贯彻习近平新时代中国特色社会主义思想，深刻领悟“两个确立”的决定性意义，增强“</w:t>
      </w:r>
      <w:bookmarkStart w:id="98" w:name="OLE_LINK9"/>
      <w:r>
        <w:rPr>
          <w:rFonts w:cs="Times New Roman"/>
          <w:lang w:bidi="ar"/>
        </w:rPr>
        <w:t>四个意识</w:t>
      </w:r>
      <w:bookmarkEnd w:id="98"/>
      <w:r>
        <w:rPr>
          <w:rFonts w:cs="Times New Roman"/>
          <w:lang w:bidi="ar"/>
        </w:rPr>
        <w:t>”、坚定“四个自信”、做到“两个维护”，不断提高政治判断力、政治领悟力、政治执行力，充分发挥党总揽全局、协调各方的领导核心作用，把党的领导贯彻到国土空间规划编制实施全过程各领域各环节。</w:t>
      </w:r>
    </w:p>
    <w:p w14:paraId="36D86B4B">
      <w:pPr>
        <w:pStyle w:val="4"/>
      </w:pPr>
      <w:r>
        <w:t>落实地方党委和政府国土空间规划管理主体责任</w:t>
      </w:r>
    </w:p>
    <w:p w14:paraId="2798DA4A">
      <w:pPr>
        <w:widowControl/>
        <w:adjustRightInd w:val="0"/>
        <w:snapToGrid w:val="0"/>
        <w:ind w:firstLine="640"/>
        <w:rPr>
          <w:rFonts w:cs="Times New Roman"/>
        </w:rPr>
      </w:pPr>
      <w:r>
        <w:rPr>
          <w:rFonts w:cs="Times New Roman"/>
          <w:lang w:bidi="ar"/>
        </w:rPr>
        <w:t>坚持“多规合一”，不在国土空间规划体系之外另设其他空间规划。强化规划严肃性，规划一经批准，任何部门和个人不得随意修改、违规变更。规划实施中的重大事项或重大调整，应及时按程序向上级党委政府请示报告。</w:t>
      </w:r>
    </w:p>
    <w:p w14:paraId="2DFB0BA5">
      <w:pPr>
        <w:pStyle w:val="4"/>
      </w:pPr>
      <w:r>
        <w:t>加强部门协同联动</w:t>
      </w:r>
    </w:p>
    <w:p w14:paraId="12FA8CB7">
      <w:pPr>
        <w:widowControl/>
        <w:adjustRightInd w:val="0"/>
        <w:snapToGrid w:val="0"/>
        <w:ind w:firstLine="640"/>
        <w:rPr>
          <w:rFonts w:cs="Times New Roman"/>
        </w:rPr>
      </w:pPr>
      <w:r>
        <w:rPr>
          <w:rFonts w:cs="Times New Roman"/>
          <w:lang w:bidi="ar"/>
        </w:rPr>
        <w:t>加强部门协同，进一步完善国土空间规划编制实施管理的配套措施，对镇国土空间规划编制实施管理重大问题进行统筹协调和决策，确保规划各项目标任务落地实施。</w:t>
      </w:r>
    </w:p>
    <w:p w14:paraId="30F4FECE">
      <w:pPr>
        <w:pStyle w:val="3"/>
        <w:rPr>
          <w:rFonts w:ascii="Times New Roman" w:hAnsi="Times New Roman" w:cs="Times New Roman"/>
          <w:color w:val="auto"/>
        </w:rPr>
      </w:pPr>
      <w:bookmarkStart w:id="99" w:name="_Toc220921296"/>
      <w:r>
        <w:rPr>
          <w:rFonts w:ascii="Times New Roman" w:hAnsi="Times New Roman" w:cs="Times New Roman"/>
          <w:color w:val="auto"/>
        </w:rPr>
        <w:t>第二节详细规划传导</w:t>
      </w:r>
      <w:bookmarkEnd w:id="99"/>
    </w:p>
    <w:p w14:paraId="41DFF2C3">
      <w:pPr>
        <w:pStyle w:val="4"/>
        <w:numPr>
          <w:ilvl w:val="0"/>
          <w:numId w:val="38"/>
        </w:numPr>
        <w:ind w:left="198" w:firstLine="641"/>
      </w:pPr>
      <w:r>
        <w:t>完善规划传导体系</w:t>
      </w:r>
    </w:p>
    <w:p w14:paraId="4770F915">
      <w:pPr>
        <w:widowControl/>
        <w:adjustRightInd w:val="0"/>
        <w:snapToGrid w:val="0"/>
        <w:ind w:firstLine="640"/>
        <w:rPr>
          <w:rFonts w:cs="Times New Roman"/>
        </w:rPr>
      </w:pPr>
      <w:r>
        <w:rPr>
          <w:rFonts w:cs="Times New Roman"/>
          <w:lang w:bidi="ar"/>
        </w:rPr>
        <w:t>严格落实桓仁县确定的各项指标任务，在严守并落实上位规划下达、确定的耕地保有量、永久基本农田保护面积、生态保护红线面积以及历史文化保护线、洪涝风险防控线、矿产资源控制线等相关管控约束规定的基础上，同时衔接桓仁县国土空间规划中确定关于</w:t>
      </w:r>
      <w:r>
        <w:rPr>
          <w:rFonts w:hint="eastAsia" w:cs="Times New Roman"/>
          <w:lang w:bidi="ar"/>
        </w:rPr>
        <w:t>黑沟</w:t>
      </w:r>
      <w:r>
        <w:rPr>
          <w:rFonts w:cs="Times New Roman"/>
          <w:lang w:bidi="ar"/>
        </w:rPr>
        <w:t>乡的空间发展格局、战略目标、城镇定位与发展方向、重大综合交通布局、重要公共服务与基础设施安排、规划分区深化细化、要素配置等内容导向，统筹安排各类用地结构和空间布局，确保县、乡镇级规划双向衔接。相关专项规划要在总体规划的约束下编制，详细规划要遵循总体规划，不得违背总体规划强制性内容。</w:t>
      </w:r>
    </w:p>
    <w:p w14:paraId="54107717">
      <w:pPr>
        <w:pStyle w:val="4"/>
      </w:pPr>
      <w:r>
        <w:t>详细规划传导</w:t>
      </w:r>
    </w:p>
    <w:p w14:paraId="16B58CBE">
      <w:pPr>
        <w:widowControl/>
        <w:adjustRightInd w:val="0"/>
        <w:snapToGrid w:val="0"/>
        <w:ind w:firstLine="640"/>
        <w:rPr>
          <w:rFonts w:cs="Times New Roman"/>
          <w:lang w:bidi="ar"/>
        </w:rPr>
      </w:pPr>
      <w:r>
        <w:rPr>
          <w:rFonts w:cs="Times New Roman"/>
          <w:lang w:bidi="ar"/>
        </w:rPr>
        <w:t>落实上位规划划分的城乡详细规划单元，构建面向实施的详细规划编制体系，在城镇开发边界内通过“城镇单元”传导，编制详细规划，外围乡村地区通过“乡村单元”传导，编制村庄规划。结合详细规划单元划定，对既有详细规划编制情况进行评估，根据评估结果及时开展详细规划的新编和修编工作。</w:t>
      </w:r>
    </w:p>
    <w:p w14:paraId="4DE51144">
      <w:pPr>
        <w:pStyle w:val="4"/>
      </w:pPr>
      <w:r>
        <w:t>城镇单元划分</w:t>
      </w:r>
    </w:p>
    <w:p w14:paraId="67D4390A">
      <w:pPr>
        <w:widowControl/>
        <w:adjustRightInd w:val="0"/>
        <w:snapToGrid w:val="0"/>
        <w:ind w:firstLine="640"/>
        <w:rPr>
          <w:rFonts w:cs="Times New Roman"/>
          <w:lang w:bidi="ar"/>
        </w:rPr>
      </w:pPr>
      <w:r>
        <w:rPr>
          <w:rFonts w:cs="Times New Roman"/>
          <w:lang w:bidi="ar"/>
        </w:rPr>
        <w:t>划分原则：单元边界划分以主导功能同一性、三大设施（公共服务设施、市政设施和安全设施）合理布局、分区完整性为原则，以特殊主导功能、铁路、城镇主干路、河流绿地、社区等为依据，做到乡中心区用地范围全覆盖。单元界限以行政区、社区等行政界线作为参照，结合自然界限、铁路、主要道路，以及乡镇功能与空间结构确定。</w:t>
      </w:r>
    </w:p>
    <w:p w14:paraId="539D1E95">
      <w:pPr>
        <w:widowControl/>
        <w:adjustRightInd w:val="0"/>
        <w:snapToGrid w:val="0"/>
        <w:ind w:firstLine="640"/>
        <w:rPr>
          <w:rFonts w:cs="Times New Roman"/>
          <w:lang w:bidi="ar"/>
        </w:rPr>
      </w:pPr>
      <w:r>
        <w:rPr>
          <w:rFonts w:cs="Times New Roman"/>
          <w:lang w:bidi="ar"/>
        </w:rPr>
        <w:t>单元编码：单元码采用行政区英文字母缩写+阿拉伯数字排序的形式，如</w:t>
      </w:r>
      <w:r>
        <w:rPr>
          <w:rFonts w:hint="eastAsia" w:cs="Times New Roman"/>
          <w:lang w:bidi="ar"/>
        </w:rPr>
        <w:t>XYCZDY</w:t>
      </w:r>
      <w:r>
        <w:rPr>
          <w:rFonts w:cs="Times New Roman"/>
          <w:lang w:bidi="ar"/>
        </w:rPr>
        <w:t>-01，即</w:t>
      </w:r>
      <w:r>
        <w:rPr>
          <w:rFonts w:hint="eastAsia" w:cs="Times New Roman"/>
          <w:lang w:bidi="ar"/>
        </w:rPr>
        <w:t>黑沟</w:t>
      </w:r>
      <w:r>
        <w:rPr>
          <w:rFonts w:cs="Times New Roman"/>
          <w:lang w:bidi="ar"/>
        </w:rPr>
        <w:t>乡1号城镇单元。</w:t>
      </w:r>
    </w:p>
    <w:p w14:paraId="4DAB0DD3">
      <w:pPr>
        <w:widowControl/>
        <w:adjustRightInd w:val="0"/>
        <w:snapToGrid w:val="0"/>
        <w:ind w:firstLine="640"/>
        <w:rPr>
          <w:rFonts w:cs="Times New Roman"/>
          <w:lang w:bidi="ar"/>
        </w:rPr>
      </w:pPr>
      <w:r>
        <w:rPr>
          <w:rFonts w:cs="Times New Roman"/>
          <w:lang w:bidi="ar"/>
        </w:rPr>
        <w:t>单元划分：</w:t>
      </w:r>
      <w:r>
        <w:rPr>
          <w:rFonts w:hint="eastAsia" w:cs="Times New Roman"/>
          <w:lang w:bidi="ar"/>
        </w:rPr>
        <w:t>黑沟</w:t>
      </w:r>
      <w:r>
        <w:rPr>
          <w:rFonts w:cs="Times New Roman"/>
          <w:lang w:bidi="ar"/>
        </w:rPr>
        <w:t>乡中心区共划分为1个城镇单元，单元规模不受硬性限制，为一般控制单元。</w:t>
      </w:r>
    </w:p>
    <w:p w14:paraId="363E2D5F">
      <w:pPr>
        <w:pStyle w:val="4"/>
      </w:pPr>
      <w:r>
        <w:t>乡村单元划分</w:t>
      </w:r>
    </w:p>
    <w:p w14:paraId="0A5F6790">
      <w:pPr>
        <w:ind w:firstLine="640"/>
        <w:rPr>
          <w:rFonts w:cs="Times New Roman"/>
        </w:rPr>
      </w:pPr>
      <w:r>
        <w:rPr>
          <w:rFonts w:cs="Times New Roman"/>
        </w:rPr>
        <w:t>划分原则：强化战略布局指引，突出指标管控。通过耕地保有量、建设用地规模等约束性指标，强化对资源总量、结构效率、空间管控底线的控制。</w:t>
      </w:r>
    </w:p>
    <w:p w14:paraId="0914AED2">
      <w:pPr>
        <w:ind w:firstLine="640"/>
        <w:rPr>
          <w:rFonts w:cs="Times New Roman"/>
        </w:rPr>
      </w:pPr>
      <w:r>
        <w:rPr>
          <w:rFonts w:cs="Times New Roman"/>
        </w:rPr>
        <w:t>单元编码：采用行政区英文字母缩写+阿拉伯数字排序的形式，如</w:t>
      </w:r>
      <w:r>
        <w:rPr>
          <w:rFonts w:hint="eastAsia" w:cs="Times New Roman"/>
        </w:rPr>
        <w:t>XYXCDY</w:t>
      </w:r>
      <w:r>
        <w:rPr>
          <w:rFonts w:cs="Times New Roman"/>
        </w:rPr>
        <w:t>-01，即</w:t>
      </w:r>
      <w:r>
        <w:rPr>
          <w:rFonts w:hint="eastAsia" w:cs="Times New Roman"/>
          <w:lang w:bidi="ar"/>
        </w:rPr>
        <w:t>黑沟</w:t>
      </w:r>
      <w:r>
        <w:rPr>
          <w:rFonts w:cs="Times New Roman"/>
          <w:lang w:bidi="ar"/>
        </w:rPr>
        <w:t>乡</w:t>
      </w:r>
      <w:r>
        <w:rPr>
          <w:rFonts w:cs="Times New Roman"/>
        </w:rPr>
        <w:t>1号乡村单元。</w:t>
      </w:r>
    </w:p>
    <w:p w14:paraId="798367E8">
      <w:pPr>
        <w:widowControl/>
        <w:adjustRightInd w:val="0"/>
        <w:snapToGrid w:val="0"/>
        <w:ind w:firstLine="640"/>
        <w:rPr>
          <w:rFonts w:cs="Times New Roman"/>
          <w:lang w:bidi="ar"/>
        </w:rPr>
      </w:pPr>
      <w:r>
        <w:rPr>
          <w:rFonts w:cs="Times New Roman"/>
        </w:rPr>
        <w:t>单元划分：</w:t>
      </w:r>
      <w:r>
        <w:rPr>
          <w:rFonts w:hint="eastAsia" w:cs="Times New Roman"/>
          <w:lang w:bidi="ar"/>
        </w:rPr>
        <w:t>黑沟</w:t>
      </w:r>
      <w:r>
        <w:rPr>
          <w:rFonts w:cs="Times New Roman"/>
          <w:lang w:bidi="ar"/>
        </w:rPr>
        <w:t>乡</w:t>
      </w:r>
      <w:r>
        <w:rPr>
          <w:rFonts w:cs="Times New Roman"/>
        </w:rPr>
        <w:t>镇域共划分为</w:t>
      </w:r>
      <w:r>
        <w:rPr>
          <w:rFonts w:hint="eastAsia" w:cs="Times New Roman"/>
        </w:rPr>
        <w:t>6</w:t>
      </w:r>
      <w:r>
        <w:rPr>
          <w:rFonts w:cs="Times New Roman"/>
        </w:rPr>
        <w:t>个乡村单元</w:t>
      </w:r>
      <w:r>
        <w:rPr>
          <w:rFonts w:cs="Times New Roman"/>
          <w:lang w:bidi="ar"/>
        </w:rPr>
        <w:t>。</w:t>
      </w:r>
    </w:p>
    <w:p w14:paraId="41362345">
      <w:pPr>
        <w:pStyle w:val="4"/>
        <w:rPr>
          <w:lang w:bidi="ar"/>
        </w:rPr>
      </w:pPr>
      <w:r>
        <w:t>特殊单元划分</w:t>
      </w:r>
    </w:p>
    <w:p w14:paraId="54F3EECC">
      <w:pPr>
        <w:widowControl/>
        <w:adjustRightInd w:val="0"/>
        <w:snapToGrid w:val="0"/>
        <w:ind w:firstLine="640"/>
        <w:rPr>
          <w:rFonts w:cs="Times New Roman"/>
        </w:rPr>
      </w:pPr>
      <w:r>
        <w:rPr>
          <w:rFonts w:hint="eastAsia" w:cs="Times New Roman"/>
          <w:lang w:bidi="ar"/>
        </w:rPr>
        <w:t>黑沟</w:t>
      </w:r>
      <w:r>
        <w:rPr>
          <w:rFonts w:cs="Times New Roman"/>
          <w:lang w:bidi="ar"/>
        </w:rPr>
        <w:t>乡域内涉及特殊单元</w:t>
      </w:r>
      <w:r>
        <w:rPr>
          <w:rFonts w:hint="eastAsia" w:cs="Times New Roman"/>
          <w:lang w:bidi="ar"/>
        </w:rPr>
        <w:t>2</w:t>
      </w:r>
      <w:r>
        <w:rPr>
          <w:rFonts w:cs="Times New Roman"/>
          <w:lang w:bidi="ar"/>
        </w:rPr>
        <w:t>处，为</w:t>
      </w:r>
      <w:r>
        <w:rPr>
          <w:rFonts w:hint="eastAsia" w:cs="Times New Roman"/>
          <w:lang w:bidi="ar"/>
        </w:rPr>
        <w:t>风景名胜区及自然保护地特殊单元</w:t>
      </w:r>
      <w:r>
        <w:rPr>
          <w:rFonts w:cs="Times New Roman"/>
          <w:lang w:bidi="ar"/>
        </w:rPr>
        <w:t>。衔接相关专项规划，明确对特殊管理对象的管控要求。</w:t>
      </w:r>
    </w:p>
    <w:p w14:paraId="2D1CF50E">
      <w:pPr>
        <w:pStyle w:val="3"/>
        <w:rPr>
          <w:rFonts w:ascii="Times New Roman" w:hAnsi="Times New Roman" w:cs="Times New Roman"/>
          <w:color w:val="auto"/>
        </w:rPr>
      </w:pPr>
      <w:bookmarkStart w:id="100" w:name="_Toc220921297"/>
      <w:r>
        <w:rPr>
          <w:rFonts w:ascii="Times New Roman" w:hAnsi="Times New Roman" w:cs="Times New Roman"/>
          <w:color w:val="auto"/>
        </w:rPr>
        <w:t>第三节近期建设</w:t>
      </w:r>
      <w:bookmarkEnd w:id="100"/>
    </w:p>
    <w:p w14:paraId="4AF1F7F9">
      <w:pPr>
        <w:pStyle w:val="4"/>
        <w:numPr>
          <w:ilvl w:val="0"/>
          <w:numId w:val="39"/>
        </w:numPr>
        <w:ind w:left="198" w:firstLine="442"/>
      </w:pPr>
      <w:r>
        <w:t>近期重点行动计划</w:t>
      </w:r>
    </w:p>
    <w:p w14:paraId="3FC2D5C9">
      <w:pPr>
        <w:adjustRightInd w:val="0"/>
        <w:snapToGrid w:val="0"/>
        <w:ind w:firstLine="640"/>
        <w:rPr>
          <w:rFonts w:cs="Times New Roman"/>
          <w:szCs w:val="32"/>
          <w:lang w:bidi="ar"/>
        </w:rPr>
      </w:pPr>
      <w:r>
        <w:rPr>
          <w:rFonts w:cs="Times New Roman"/>
          <w:szCs w:val="32"/>
          <w:lang w:bidi="ar"/>
        </w:rPr>
        <w:t>以国土空间规划为引领，坚持“生态优先、绿色发展、功能完善、特色鲜明”的原则，推动乡中心区乡村建设高质量发展。通过城镇更新与建设、优化空间布局、完善基础设施、提升公共服务、强化产业支撑等措施，打造宜居宜业宜游的生态旅游小城镇。</w:t>
      </w:r>
    </w:p>
    <w:p w14:paraId="3090610E">
      <w:pPr>
        <w:adjustRightInd w:val="0"/>
        <w:snapToGrid w:val="0"/>
        <w:ind w:firstLine="640"/>
        <w:rPr>
          <w:rFonts w:cs="Times New Roman"/>
          <w:szCs w:val="32"/>
          <w:lang w:bidi="ar"/>
        </w:rPr>
      </w:pPr>
      <w:r>
        <w:rPr>
          <w:rFonts w:cs="Times New Roman"/>
          <w:szCs w:val="32"/>
          <w:lang w:bidi="ar"/>
        </w:rPr>
        <w:t>——</w:t>
      </w:r>
      <w:r>
        <w:rPr>
          <w:rFonts w:hint="eastAsia" w:cs="Times New Roman"/>
          <w:szCs w:val="32"/>
          <w:lang w:bidi="ar"/>
        </w:rPr>
        <w:t>持续提升基础设施水平</w:t>
      </w:r>
    </w:p>
    <w:p w14:paraId="2DE8122E">
      <w:pPr>
        <w:adjustRightInd w:val="0"/>
        <w:snapToGrid w:val="0"/>
        <w:ind w:firstLine="640"/>
        <w:rPr>
          <w:rFonts w:cs="Times New Roman"/>
          <w:szCs w:val="32"/>
          <w:lang w:bidi="ar"/>
        </w:rPr>
      </w:pPr>
      <w:r>
        <w:rPr>
          <w:rFonts w:hint="eastAsia" w:cs="Times New Roman"/>
          <w:szCs w:val="32"/>
          <w:lang w:bidi="ar"/>
        </w:rPr>
        <w:t>提升现状乡域内道路交通水平。拓宽改造现有乡道、村道，提高道路等级与通行能力。继续实施黑沟乡美丽乡村基础设施建设项目，完善供水、供电、通信网络等基础设施，提高居民生活质量。积极促进</w:t>
      </w:r>
      <w:bookmarkStart w:id="101" w:name="OLE_LINK11"/>
      <w:r>
        <w:rPr>
          <w:rFonts w:hint="eastAsia" w:cs="Times New Roman"/>
          <w:szCs w:val="32"/>
          <w:lang w:bidi="ar"/>
        </w:rPr>
        <w:t>温泉</w:t>
      </w:r>
      <w:bookmarkEnd w:id="101"/>
      <w:r>
        <w:rPr>
          <w:rFonts w:hint="eastAsia" w:cs="Times New Roman"/>
          <w:szCs w:val="32"/>
          <w:lang w:bidi="ar"/>
        </w:rPr>
        <w:t>产业开发，新建连接温泉景区与外部交通干线的旅游专线公路，完善道路标识系统。完善水电设施，对现有供水设施进行升级改造，保障居民与游客用水安全；优化电网布局，提高供电稳定性，推进新能源电力设施建设，如太阳能路灯等；持续完善通信设施，加强通信基站建设，实现全乡5G网络覆盖，提升信息化水平，为智慧乡村建设奠定基础。</w:t>
      </w:r>
    </w:p>
    <w:p w14:paraId="3B0E3C1D">
      <w:pPr>
        <w:adjustRightInd w:val="0"/>
        <w:snapToGrid w:val="0"/>
        <w:ind w:firstLine="640"/>
        <w:rPr>
          <w:rFonts w:cs="Times New Roman"/>
          <w:szCs w:val="32"/>
          <w:lang w:bidi="ar"/>
        </w:rPr>
      </w:pPr>
      <w:r>
        <w:rPr>
          <w:rFonts w:cs="Times New Roman"/>
          <w:szCs w:val="32"/>
          <w:lang w:bidi="ar"/>
        </w:rPr>
        <w:t>——</w:t>
      </w:r>
      <w:r>
        <w:rPr>
          <w:rFonts w:hint="eastAsia" w:cs="Times New Roman"/>
          <w:szCs w:val="32"/>
          <w:lang w:bidi="ar"/>
        </w:rPr>
        <w:t>进一步完善公共服务设施</w:t>
      </w:r>
    </w:p>
    <w:p w14:paraId="2C24F05D">
      <w:pPr>
        <w:adjustRightInd w:val="0"/>
        <w:snapToGrid w:val="0"/>
        <w:ind w:firstLine="640"/>
        <w:rPr>
          <w:rFonts w:cs="Times New Roman"/>
          <w:szCs w:val="32"/>
          <w:lang w:bidi="ar"/>
        </w:rPr>
      </w:pPr>
      <w:r>
        <w:rPr>
          <w:rFonts w:hint="eastAsia" w:cs="Times New Roman"/>
          <w:szCs w:val="32"/>
          <w:lang w:bidi="ar"/>
        </w:rPr>
        <w:t>改善乡中心学校办学条件，扩建教学楼、完善教学设备，提高师资水平，保障适龄儿童就近接受优质教育。升级乡卫生院，增设科室与床位，配备先进医疗设备，加强乡村医生培训，提高医疗服务能力，实现小病不出乡。建设乡文化活动中心，包括图书馆、文化馆、体育馆等功能，丰富居民精神文化生活，举办各类文化体育活动。</w:t>
      </w:r>
    </w:p>
    <w:p w14:paraId="2025F2BC">
      <w:pPr>
        <w:adjustRightInd w:val="0"/>
        <w:snapToGrid w:val="0"/>
        <w:ind w:firstLine="640"/>
        <w:rPr>
          <w:rFonts w:cs="Times New Roman"/>
          <w:szCs w:val="32"/>
          <w:lang w:bidi="ar"/>
        </w:rPr>
      </w:pPr>
      <w:r>
        <w:rPr>
          <w:rFonts w:cs="Times New Roman"/>
          <w:szCs w:val="32"/>
          <w:lang w:bidi="ar"/>
        </w:rPr>
        <w:t>——</w:t>
      </w:r>
      <w:r>
        <w:rPr>
          <w:rFonts w:hint="eastAsia" w:cs="Times New Roman"/>
          <w:szCs w:val="32"/>
          <w:lang w:bidi="ar"/>
        </w:rPr>
        <w:t>乡中心区</w:t>
      </w:r>
      <w:r>
        <w:rPr>
          <w:rFonts w:cs="Times New Roman"/>
          <w:szCs w:val="32"/>
          <w:lang w:bidi="ar"/>
        </w:rPr>
        <w:t>更新与建设</w:t>
      </w:r>
    </w:p>
    <w:p w14:paraId="6ADDCCB1">
      <w:pPr>
        <w:adjustRightInd w:val="0"/>
        <w:snapToGrid w:val="0"/>
        <w:ind w:firstLine="640"/>
        <w:rPr>
          <w:rFonts w:cs="Times New Roman"/>
          <w:szCs w:val="32"/>
          <w:lang w:bidi="ar"/>
        </w:rPr>
      </w:pPr>
      <w:r>
        <w:rPr>
          <w:rFonts w:cs="Times New Roman"/>
          <w:szCs w:val="32"/>
          <w:lang w:bidi="ar"/>
        </w:rPr>
        <w:t>对乡中心区老旧建筑进行改造与更新，塑造具有</w:t>
      </w:r>
      <w:r>
        <w:rPr>
          <w:rFonts w:hint="eastAsia" w:cs="Times New Roman"/>
          <w:szCs w:val="32"/>
          <w:lang w:bidi="ar"/>
        </w:rPr>
        <w:t>地方</w:t>
      </w:r>
      <w:r>
        <w:rPr>
          <w:rFonts w:cs="Times New Roman"/>
          <w:szCs w:val="32"/>
          <w:lang w:bidi="ar"/>
        </w:rPr>
        <w:t>文化特色的建筑风貌。整治农村居民点环境卫生，加强生态环境保护与修复，建设美丽乡村。通过乡中心区的更新带动商业活力提升，发展乡村旅游、特色农产品加工业等产业，增加居民收入，实现乡村经济可持续增长。</w:t>
      </w:r>
    </w:p>
    <w:p w14:paraId="5A029D8E">
      <w:pPr>
        <w:adjustRightInd w:val="0"/>
        <w:snapToGrid w:val="0"/>
        <w:ind w:firstLine="640"/>
        <w:rPr>
          <w:rFonts w:cs="Times New Roman"/>
          <w:szCs w:val="32"/>
          <w:lang w:bidi="ar"/>
        </w:rPr>
      </w:pPr>
      <w:r>
        <w:rPr>
          <w:rFonts w:cs="Times New Roman"/>
          <w:szCs w:val="32"/>
          <w:lang w:bidi="ar"/>
        </w:rPr>
        <w:t>——防灾减灾基础设施建设</w:t>
      </w:r>
    </w:p>
    <w:p w14:paraId="31634926">
      <w:pPr>
        <w:adjustRightInd w:val="0"/>
        <w:snapToGrid w:val="0"/>
        <w:ind w:firstLine="640"/>
        <w:rPr>
          <w:rFonts w:cs="Times New Roman"/>
          <w:szCs w:val="32"/>
          <w:lang w:bidi="ar"/>
        </w:rPr>
      </w:pPr>
      <w:r>
        <w:rPr>
          <w:rFonts w:cs="Times New Roman"/>
          <w:szCs w:val="32"/>
          <w:lang w:bidi="ar"/>
        </w:rPr>
        <w:t>提升城乡工程设防能力，以防范化解重大安全风险为主题，加快补齐短板不足，全面提高防灾减灾救灾现代化水平，切实保障人民群众生命财产安全。构筑水利防灾减灾体系，积极推进防汛抗旱水利提升工程建设，继续实施大中小河流治理工程。实现水利监测预警系统与水文、气象共享。加强公共消防基础设施建设，提升消防科技水平。完善生态旅游安全保障体系，加强灾害事故重大风险防范和涉旅突发事件应对，完善旅游应急救援机制。</w:t>
      </w:r>
    </w:p>
    <w:p w14:paraId="48F9F43F">
      <w:pPr>
        <w:adjustRightInd w:val="0"/>
        <w:snapToGrid w:val="0"/>
        <w:ind w:firstLine="640"/>
        <w:rPr>
          <w:rFonts w:cs="Times New Roman"/>
          <w:szCs w:val="32"/>
          <w:lang w:bidi="ar"/>
        </w:rPr>
      </w:pPr>
      <w:r>
        <w:rPr>
          <w:rFonts w:cs="Times New Roman"/>
          <w:szCs w:val="32"/>
          <w:lang w:bidi="ar"/>
        </w:rPr>
        <w:t>——国土综合整治和生态修复</w:t>
      </w:r>
    </w:p>
    <w:p w14:paraId="381BECA1">
      <w:pPr>
        <w:adjustRightInd w:val="0"/>
        <w:snapToGrid w:val="0"/>
        <w:ind w:firstLine="640"/>
        <w:rPr>
          <w:rFonts w:cs="Times New Roman"/>
          <w:szCs w:val="32"/>
          <w:lang w:bidi="ar"/>
        </w:rPr>
      </w:pPr>
      <w:r>
        <w:rPr>
          <w:rFonts w:cs="Times New Roman"/>
          <w:szCs w:val="32"/>
          <w:lang w:bidi="ar"/>
        </w:rPr>
        <w:t>结合发展现状，近期主要安排高标准农田建设、农村生态环境修复、森林生态修复、水土流失生态修复、土壤污染生态修复、水环境和水生态修复、湿地生态修复、矿山生态修复。</w:t>
      </w:r>
      <w:r>
        <w:rPr>
          <w:rFonts w:hint="eastAsia" w:cs="Times New Roman"/>
          <w:szCs w:val="32"/>
          <w:lang w:bidi="ar"/>
        </w:rPr>
        <w:t>推进生态修复和环境治理项目，保护黑沟乡的自然生态资源，实现绿色发展。在生态保护红线范围内，严禁一切开发建设活动，加强森林资源监测与防火防虫工作。对退化林地进行植树造林、封山育林等修复措施，恢复森林生态功能。沿河流两岸建设生态缓冲带，治理水土流失，改善河流水质，保护水生生物多样性。</w:t>
      </w:r>
      <w:r>
        <w:rPr>
          <w:rFonts w:cs="Times New Roman"/>
          <w:szCs w:val="32"/>
          <w:lang w:bidi="ar"/>
        </w:rPr>
        <w:t>至2025年，</w:t>
      </w:r>
      <w:r>
        <w:rPr>
          <w:rFonts w:hint="eastAsia" w:cs="Times New Roman"/>
          <w:szCs w:val="32"/>
          <w:lang w:bidi="ar"/>
        </w:rPr>
        <w:t>黑沟</w:t>
      </w:r>
      <w:r>
        <w:rPr>
          <w:rFonts w:cs="Times New Roman"/>
          <w:szCs w:val="32"/>
          <w:lang w:bidi="ar"/>
        </w:rPr>
        <w:t>乡耕地质量进一步提升，农村建设用地逐步集约，生态环境质量不断优化，山水林田湖草沙得到系统治理，人与自然和谐共生。</w:t>
      </w:r>
    </w:p>
    <w:p w14:paraId="2251AADE">
      <w:pPr>
        <w:adjustRightInd w:val="0"/>
        <w:snapToGrid w:val="0"/>
        <w:ind w:firstLine="640"/>
        <w:rPr>
          <w:rFonts w:cs="Times New Roman"/>
          <w:szCs w:val="32"/>
          <w:lang w:bidi="ar"/>
        </w:rPr>
      </w:pPr>
      <w:r>
        <w:rPr>
          <w:rFonts w:cs="Times New Roman"/>
          <w:szCs w:val="32"/>
          <w:lang w:bidi="ar"/>
        </w:rPr>
        <w:t>——</w:t>
      </w:r>
      <w:r>
        <w:rPr>
          <w:rFonts w:hint="eastAsia" w:cs="Times New Roman"/>
          <w:szCs w:val="32"/>
          <w:lang w:bidi="ar"/>
        </w:rPr>
        <w:t>优化产业结构布局</w:t>
      </w:r>
    </w:p>
    <w:p w14:paraId="3214B9FA">
      <w:pPr>
        <w:adjustRightInd w:val="0"/>
        <w:snapToGrid w:val="0"/>
        <w:ind w:firstLine="640"/>
        <w:rPr>
          <w:rFonts w:cs="Times New Roman"/>
          <w:szCs w:val="32"/>
          <w:lang w:bidi="ar"/>
        </w:rPr>
      </w:pPr>
      <w:r>
        <w:rPr>
          <w:rFonts w:hint="eastAsia" w:cs="Times New Roman"/>
          <w:szCs w:val="32"/>
          <w:lang w:bidi="ar"/>
        </w:rPr>
        <w:t>推动农业现代化，依托大川渔业培育中心项目，发展特色水产养殖，提升渔业附加值；同时，推进黑沟乡六道沟农业文旅产业园区建设，促进农业与文化旅游的深度融合。促进工业转型升级，加快桓仁琦璘矿业有限责任公司滑石矿及柞树岭滑石矿项目的开发，利用资源优势发展矿产品深加工，提升产业链价值；继续推进桓仁黑沟木材深加工建设项目，推动林业经济向高质量方向发展。发展服务业，依托大川温泉资源，开发温泉民宿和温泉旅居小镇项目，打造温泉旅游品牌；同时，鼓励和支持乡村电商、乡村旅游等现代服务业发展，拓宽农民增收渠道。</w:t>
      </w:r>
    </w:p>
    <w:p w14:paraId="602F6F8E">
      <w:pPr>
        <w:pStyle w:val="4"/>
      </w:pPr>
      <w:r>
        <w:t>近期重点项目空间保障</w:t>
      </w:r>
    </w:p>
    <w:p w14:paraId="16D77C38">
      <w:pPr>
        <w:widowControl/>
        <w:adjustRightInd w:val="0"/>
        <w:snapToGrid w:val="0"/>
        <w:ind w:firstLine="640"/>
        <w:rPr>
          <w:rFonts w:cs="Times New Roman"/>
          <w:lang w:bidi="ar"/>
        </w:rPr>
      </w:pPr>
      <w:r>
        <w:rPr>
          <w:rFonts w:cs="Times New Roman"/>
          <w:lang w:bidi="ar"/>
        </w:rPr>
        <w:t>落实国民经济社会发展规划项目建设安排，与各部门年度工作计划和项目安排相衔接，综合各部门和地区发展诉求，建立规划重点项目清单。按照“项目跟着规划走，要素跟着项目走”原则，优先保障重大项目用地供给，保障国家级、省级、市县级重大工程项目落地实施。</w:t>
      </w:r>
    </w:p>
    <w:p w14:paraId="31C56A23">
      <w:pPr>
        <w:widowControl/>
        <w:adjustRightInd w:val="0"/>
        <w:snapToGrid w:val="0"/>
        <w:ind w:firstLine="640"/>
        <w:rPr>
          <w:rFonts w:cs="Times New Roman"/>
          <w:lang w:bidi="ar"/>
        </w:rPr>
      </w:pP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832"/>
        <w:gridCol w:w="7025"/>
      </w:tblGrid>
      <w:tr w14:paraId="5A04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3" w:type="pct"/>
            <w:noWrap/>
            <w:vAlign w:val="center"/>
          </w:tcPr>
          <w:p w14:paraId="72B78F87">
            <w:pPr>
              <w:spacing w:line="240" w:lineRule="auto"/>
              <w:ind w:firstLine="0" w:firstLineChars="0"/>
              <w:jc w:val="center"/>
              <w:rPr>
                <w:rFonts w:cs="Times New Roman"/>
                <w:b/>
                <w:bCs/>
                <w:kern w:val="0"/>
                <w:sz w:val="21"/>
                <w:szCs w:val="21"/>
              </w:rPr>
            </w:pPr>
            <w:r>
              <w:rPr>
                <w:rFonts w:hint="eastAsia" w:cs="Times New Roman"/>
                <w:b/>
                <w:bCs/>
                <w:kern w:val="0"/>
                <w:sz w:val="21"/>
                <w:szCs w:val="21"/>
              </w:rPr>
              <w:t>项目大类</w:t>
            </w:r>
          </w:p>
        </w:tc>
        <w:tc>
          <w:tcPr>
            <w:tcW w:w="488" w:type="pct"/>
            <w:noWrap/>
            <w:vAlign w:val="center"/>
          </w:tcPr>
          <w:p w14:paraId="070A2F13">
            <w:pPr>
              <w:spacing w:line="240" w:lineRule="auto"/>
              <w:ind w:firstLine="0" w:firstLineChars="0"/>
              <w:jc w:val="center"/>
              <w:rPr>
                <w:rFonts w:cs="Times New Roman"/>
                <w:b/>
                <w:bCs/>
                <w:kern w:val="0"/>
                <w:sz w:val="21"/>
                <w:szCs w:val="21"/>
              </w:rPr>
            </w:pPr>
            <w:r>
              <w:rPr>
                <w:rFonts w:hint="eastAsia" w:cs="Times New Roman"/>
                <w:b/>
                <w:bCs/>
                <w:kern w:val="0"/>
                <w:sz w:val="21"/>
                <w:szCs w:val="21"/>
              </w:rPr>
              <w:t>项目中类</w:t>
            </w:r>
          </w:p>
        </w:tc>
        <w:tc>
          <w:tcPr>
            <w:tcW w:w="4117" w:type="pct"/>
            <w:noWrap/>
            <w:vAlign w:val="center"/>
          </w:tcPr>
          <w:p w14:paraId="2CBC974A">
            <w:pPr>
              <w:spacing w:line="240" w:lineRule="auto"/>
              <w:ind w:firstLine="0" w:firstLineChars="0"/>
              <w:jc w:val="center"/>
              <w:rPr>
                <w:rFonts w:cs="Times New Roman"/>
                <w:b/>
                <w:bCs/>
                <w:kern w:val="0"/>
                <w:sz w:val="21"/>
                <w:szCs w:val="21"/>
              </w:rPr>
            </w:pPr>
            <w:r>
              <w:rPr>
                <w:rFonts w:cs="Times New Roman"/>
                <w:b/>
                <w:bCs/>
                <w:kern w:val="0"/>
                <w:sz w:val="21"/>
                <w:szCs w:val="20"/>
                <w:lang w:bidi="zh-CN"/>
              </w:rPr>
              <w:t>项目名称</w:t>
            </w:r>
          </w:p>
        </w:tc>
      </w:tr>
      <w:tr w14:paraId="36D09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3" w:type="pct"/>
            <w:noWrap/>
            <w:vAlign w:val="center"/>
          </w:tcPr>
          <w:p w14:paraId="0042A0D9">
            <w:pPr>
              <w:spacing w:line="240" w:lineRule="auto"/>
              <w:ind w:firstLine="0" w:firstLineChars="0"/>
              <w:jc w:val="center"/>
              <w:rPr>
                <w:rFonts w:cs="Times New Roman"/>
                <w:kern w:val="0"/>
                <w:sz w:val="21"/>
                <w:szCs w:val="21"/>
              </w:rPr>
            </w:pPr>
            <w:r>
              <w:rPr>
                <w:rFonts w:hint="eastAsia" w:cs="Times New Roman"/>
                <w:kern w:val="0"/>
                <w:sz w:val="21"/>
                <w:szCs w:val="21"/>
              </w:rPr>
              <w:t>交通</w:t>
            </w:r>
          </w:p>
        </w:tc>
        <w:tc>
          <w:tcPr>
            <w:tcW w:w="488" w:type="pct"/>
            <w:noWrap/>
            <w:vAlign w:val="center"/>
          </w:tcPr>
          <w:p w14:paraId="17214A99">
            <w:pPr>
              <w:spacing w:line="240" w:lineRule="auto"/>
              <w:ind w:firstLine="0" w:firstLineChars="0"/>
              <w:jc w:val="center"/>
              <w:rPr>
                <w:rFonts w:cs="Times New Roman"/>
                <w:kern w:val="0"/>
                <w:sz w:val="21"/>
                <w:szCs w:val="21"/>
              </w:rPr>
            </w:pPr>
            <w:r>
              <w:rPr>
                <w:rFonts w:hint="eastAsia" w:cs="Times New Roman"/>
                <w:kern w:val="0"/>
                <w:sz w:val="21"/>
                <w:szCs w:val="21"/>
              </w:rPr>
              <w:t>公路</w:t>
            </w:r>
          </w:p>
        </w:tc>
        <w:tc>
          <w:tcPr>
            <w:tcW w:w="4117" w:type="pct"/>
            <w:noWrap/>
            <w:vAlign w:val="center"/>
          </w:tcPr>
          <w:p w14:paraId="73379809">
            <w:pPr>
              <w:spacing w:line="240" w:lineRule="auto"/>
              <w:ind w:firstLine="0" w:firstLineChars="0"/>
              <w:jc w:val="center"/>
              <w:rPr>
                <w:rFonts w:cs="Times New Roman"/>
                <w:kern w:val="0"/>
                <w:sz w:val="21"/>
                <w:szCs w:val="21"/>
              </w:rPr>
            </w:pPr>
            <w:r>
              <w:rPr>
                <w:rFonts w:hint="eastAsia" w:cs="Times New Roman"/>
                <w:kern w:val="0"/>
                <w:sz w:val="21"/>
                <w:szCs w:val="21"/>
              </w:rPr>
              <w:t>通化至丹东高速铁路客运专线、省道S305柞本线长春沟至黑沟升级改建工程、省道S305柞本线黑沟至二户来段升级改造工程、农村公路维修改造工程</w:t>
            </w:r>
          </w:p>
        </w:tc>
      </w:tr>
      <w:tr w14:paraId="3A28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3" w:type="pct"/>
            <w:noWrap/>
            <w:vAlign w:val="center"/>
          </w:tcPr>
          <w:p w14:paraId="7A888754">
            <w:pPr>
              <w:spacing w:line="240" w:lineRule="auto"/>
              <w:ind w:firstLine="0" w:firstLineChars="0"/>
              <w:jc w:val="center"/>
              <w:rPr>
                <w:rFonts w:cs="Times New Roman"/>
                <w:kern w:val="0"/>
                <w:sz w:val="21"/>
                <w:szCs w:val="21"/>
              </w:rPr>
            </w:pPr>
            <w:r>
              <w:rPr>
                <w:rFonts w:hint="eastAsia" w:cs="Times New Roman"/>
                <w:kern w:val="0"/>
                <w:sz w:val="21"/>
                <w:szCs w:val="21"/>
              </w:rPr>
              <w:t>能源</w:t>
            </w:r>
          </w:p>
        </w:tc>
        <w:tc>
          <w:tcPr>
            <w:tcW w:w="488" w:type="pct"/>
            <w:noWrap/>
            <w:vAlign w:val="center"/>
          </w:tcPr>
          <w:p w14:paraId="62BCA40A">
            <w:pPr>
              <w:spacing w:line="240" w:lineRule="auto"/>
              <w:ind w:firstLine="0" w:firstLineChars="0"/>
              <w:jc w:val="center"/>
              <w:rPr>
                <w:rFonts w:cs="Times New Roman"/>
                <w:kern w:val="0"/>
                <w:sz w:val="21"/>
                <w:szCs w:val="21"/>
              </w:rPr>
            </w:pPr>
            <w:r>
              <w:rPr>
                <w:rFonts w:hint="eastAsia" w:cs="Times New Roman"/>
                <w:kern w:val="0"/>
                <w:sz w:val="21"/>
                <w:szCs w:val="21"/>
              </w:rPr>
              <w:t>电力</w:t>
            </w:r>
          </w:p>
        </w:tc>
        <w:tc>
          <w:tcPr>
            <w:tcW w:w="4117" w:type="pct"/>
            <w:noWrap/>
            <w:vAlign w:val="center"/>
          </w:tcPr>
          <w:p w14:paraId="79EDFDA7">
            <w:pPr>
              <w:spacing w:line="240" w:lineRule="auto"/>
              <w:ind w:firstLine="0" w:firstLineChars="0"/>
              <w:jc w:val="center"/>
              <w:rPr>
                <w:rFonts w:cs="Times New Roman"/>
                <w:kern w:val="0"/>
                <w:sz w:val="21"/>
                <w:szCs w:val="21"/>
              </w:rPr>
            </w:pPr>
            <w:r>
              <w:rPr>
                <w:rFonts w:hint="eastAsia" w:cs="Times New Roman"/>
                <w:kern w:val="0"/>
                <w:sz w:val="21"/>
                <w:szCs w:val="21"/>
              </w:rPr>
              <w:t>本溪黑沟220千伏输变电工程项目、本溪桓仁220千伏变电站出现整理66千伏线路工程、本溪华来-双岭-北山66kV线路工程</w:t>
            </w:r>
          </w:p>
        </w:tc>
      </w:tr>
      <w:tr w14:paraId="3724B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393" w:type="pct"/>
            <w:vAlign w:val="center"/>
          </w:tcPr>
          <w:p w14:paraId="4FA6AE69">
            <w:pPr>
              <w:spacing w:line="240" w:lineRule="auto"/>
              <w:ind w:firstLine="0" w:firstLineChars="0"/>
              <w:jc w:val="center"/>
              <w:rPr>
                <w:rFonts w:cs="Times New Roman"/>
                <w:kern w:val="0"/>
                <w:sz w:val="21"/>
                <w:szCs w:val="21"/>
              </w:rPr>
            </w:pPr>
            <w:r>
              <w:rPr>
                <w:rFonts w:hint="eastAsia" w:cs="Times New Roman"/>
                <w:kern w:val="0"/>
                <w:sz w:val="21"/>
                <w:szCs w:val="21"/>
              </w:rPr>
              <w:t>水利</w:t>
            </w:r>
          </w:p>
        </w:tc>
        <w:tc>
          <w:tcPr>
            <w:tcW w:w="488" w:type="pct"/>
            <w:vAlign w:val="center"/>
          </w:tcPr>
          <w:p w14:paraId="487DD281">
            <w:pPr>
              <w:spacing w:line="240" w:lineRule="auto"/>
              <w:ind w:firstLine="0" w:firstLineChars="0"/>
              <w:jc w:val="center"/>
              <w:rPr>
                <w:rFonts w:cs="Times New Roman"/>
                <w:kern w:val="0"/>
                <w:sz w:val="21"/>
                <w:szCs w:val="21"/>
              </w:rPr>
            </w:pPr>
            <w:r>
              <w:rPr>
                <w:rFonts w:hint="eastAsia" w:cs="Times New Roman"/>
                <w:kern w:val="0"/>
                <w:sz w:val="21"/>
                <w:szCs w:val="21"/>
              </w:rPr>
              <w:t>河道治理</w:t>
            </w:r>
          </w:p>
        </w:tc>
        <w:tc>
          <w:tcPr>
            <w:tcW w:w="4117" w:type="pct"/>
            <w:noWrap/>
            <w:vAlign w:val="center"/>
          </w:tcPr>
          <w:p w14:paraId="1E0168F8">
            <w:pPr>
              <w:spacing w:line="240" w:lineRule="auto"/>
              <w:ind w:firstLine="0" w:firstLineChars="0"/>
              <w:jc w:val="center"/>
              <w:rPr>
                <w:rFonts w:cs="Times New Roman"/>
                <w:kern w:val="0"/>
                <w:sz w:val="21"/>
                <w:szCs w:val="21"/>
              </w:rPr>
            </w:pPr>
            <w:r>
              <w:rPr>
                <w:rFonts w:hint="eastAsia" w:cs="Times New Roman"/>
                <w:kern w:val="0"/>
                <w:sz w:val="21"/>
                <w:szCs w:val="21"/>
              </w:rPr>
              <w:t>哈达河黑沟段治理工程</w:t>
            </w:r>
          </w:p>
        </w:tc>
      </w:tr>
      <w:tr w14:paraId="13D2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3" w:type="pct"/>
            <w:noWrap/>
            <w:vAlign w:val="center"/>
          </w:tcPr>
          <w:p w14:paraId="17A2592A">
            <w:pPr>
              <w:spacing w:line="240" w:lineRule="auto"/>
              <w:ind w:firstLine="0" w:firstLineChars="0"/>
              <w:jc w:val="center"/>
              <w:rPr>
                <w:rFonts w:cs="Times New Roman"/>
                <w:kern w:val="0"/>
                <w:sz w:val="21"/>
                <w:szCs w:val="21"/>
              </w:rPr>
            </w:pPr>
            <w:r>
              <w:rPr>
                <w:rFonts w:hint="eastAsia" w:cs="Times New Roman"/>
                <w:kern w:val="0"/>
                <w:sz w:val="21"/>
                <w:szCs w:val="21"/>
              </w:rPr>
              <w:t>矿山</w:t>
            </w:r>
          </w:p>
        </w:tc>
        <w:tc>
          <w:tcPr>
            <w:tcW w:w="488" w:type="pct"/>
            <w:noWrap/>
            <w:vAlign w:val="center"/>
          </w:tcPr>
          <w:p w14:paraId="4A436C89">
            <w:pPr>
              <w:spacing w:line="240" w:lineRule="auto"/>
              <w:ind w:firstLine="0" w:firstLineChars="0"/>
              <w:jc w:val="center"/>
              <w:rPr>
                <w:rFonts w:cs="Times New Roman"/>
                <w:kern w:val="0"/>
                <w:sz w:val="21"/>
                <w:szCs w:val="21"/>
              </w:rPr>
            </w:pPr>
            <w:r>
              <w:rPr>
                <w:rFonts w:hint="eastAsia" w:cs="Times New Roman"/>
                <w:kern w:val="0"/>
                <w:sz w:val="21"/>
                <w:szCs w:val="21"/>
              </w:rPr>
              <w:t>工矿</w:t>
            </w:r>
          </w:p>
        </w:tc>
        <w:tc>
          <w:tcPr>
            <w:tcW w:w="4117" w:type="pct"/>
            <w:noWrap/>
            <w:vAlign w:val="center"/>
          </w:tcPr>
          <w:p w14:paraId="17A79A2A">
            <w:pPr>
              <w:spacing w:line="240" w:lineRule="auto"/>
              <w:ind w:firstLine="0" w:firstLineChars="0"/>
              <w:jc w:val="center"/>
              <w:rPr>
                <w:rFonts w:cs="Times New Roman"/>
                <w:kern w:val="0"/>
                <w:sz w:val="21"/>
                <w:szCs w:val="21"/>
              </w:rPr>
            </w:pPr>
            <w:r>
              <w:rPr>
                <w:rFonts w:hint="eastAsia" w:cs="Times New Roman"/>
                <w:kern w:val="0"/>
                <w:sz w:val="21"/>
                <w:szCs w:val="21"/>
              </w:rPr>
              <w:t>黑沟柞树岭滑石矿建设项目、黑沟乡-古城镇生产矿山生态修复治理以及历史遗留废弃矿山生态修复治理工程、石虎子村琦</w:t>
            </w:r>
            <w:r>
              <w:rPr>
                <w:rFonts w:hint="eastAsia" w:ascii="仿宋" w:hAnsi="仿宋" w:eastAsia="仿宋" w:cs="仿宋"/>
                <w:kern w:val="0"/>
                <w:sz w:val="21"/>
                <w:szCs w:val="21"/>
              </w:rPr>
              <w:t>璘</w:t>
            </w:r>
            <w:r>
              <w:rPr>
                <w:rFonts w:hint="eastAsia" w:cs="Times New Roman"/>
                <w:kern w:val="0"/>
                <w:sz w:val="21"/>
                <w:szCs w:val="21"/>
              </w:rPr>
              <w:t>矿业滑石矿建设项目、本溪市鑫宏祥矿业有限责任公司柞树岭滑石矿建设项目</w:t>
            </w:r>
          </w:p>
        </w:tc>
      </w:tr>
      <w:tr w14:paraId="14F52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3" w:type="pct"/>
            <w:noWrap/>
            <w:vAlign w:val="center"/>
          </w:tcPr>
          <w:p w14:paraId="7A887162">
            <w:pPr>
              <w:spacing w:line="240" w:lineRule="auto"/>
              <w:ind w:firstLine="0" w:firstLineChars="0"/>
              <w:jc w:val="center"/>
              <w:rPr>
                <w:rFonts w:cs="Times New Roman"/>
                <w:kern w:val="0"/>
                <w:sz w:val="21"/>
                <w:szCs w:val="21"/>
              </w:rPr>
            </w:pPr>
            <w:r>
              <w:rPr>
                <w:rFonts w:hint="eastAsia" w:cs="Times New Roman"/>
                <w:kern w:val="0"/>
                <w:sz w:val="21"/>
                <w:szCs w:val="21"/>
              </w:rPr>
              <w:t>公共服务</w:t>
            </w:r>
          </w:p>
        </w:tc>
        <w:tc>
          <w:tcPr>
            <w:tcW w:w="488" w:type="pct"/>
            <w:noWrap/>
            <w:vAlign w:val="center"/>
          </w:tcPr>
          <w:p w14:paraId="5F72C651">
            <w:pPr>
              <w:spacing w:line="240" w:lineRule="auto"/>
              <w:ind w:firstLine="0" w:firstLineChars="0"/>
              <w:jc w:val="center"/>
              <w:rPr>
                <w:rFonts w:cs="Times New Roman"/>
                <w:kern w:val="0"/>
                <w:sz w:val="21"/>
                <w:szCs w:val="21"/>
              </w:rPr>
            </w:pPr>
            <w:r>
              <w:rPr>
                <w:rFonts w:hint="eastAsia" w:cs="Times New Roman"/>
                <w:kern w:val="0"/>
                <w:sz w:val="21"/>
                <w:szCs w:val="21"/>
              </w:rPr>
              <w:t>乡村振兴</w:t>
            </w:r>
          </w:p>
        </w:tc>
        <w:tc>
          <w:tcPr>
            <w:tcW w:w="4117" w:type="pct"/>
            <w:noWrap/>
            <w:vAlign w:val="center"/>
          </w:tcPr>
          <w:p w14:paraId="512F0C3C">
            <w:pPr>
              <w:spacing w:line="240" w:lineRule="auto"/>
              <w:ind w:firstLine="0" w:firstLineChars="0"/>
              <w:jc w:val="center"/>
              <w:rPr>
                <w:rFonts w:cs="Times New Roman"/>
                <w:kern w:val="0"/>
                <w:sz w:val="21"/>
                <w:szCs w:val="21"/>
              </w:rPr>
            </w:pPr>
            <w:r>
              <w:rPr>
                <w:rFonts w:hint="eastAsia" w:cs="Times New Roman"/>
                <w:kern w:val="0"/>
                <w:sz w:val="21"/>
                <w:szCs w:val="21"/>
              </w:rPr>
              <w:t>石虎子村北路粪污处理发酵罐建设项目、黑沟村养老服务中心项目、大东沟社区老年活动中心建设项目、大东沟社区老年康养中心建设项目</w:t>
            </w:r>
          </w:p>
        </w:tc>
      </w:tr>
      <w:tr w14:paraId="168CB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3" w:type="pct"/>
            <w:vMerge w:val="restart"/>
            <w:noWrap/>
            <w:vAlign w:val="center"/>
          </w:tcPr>
          <w:p w14:paraId="1C1E7929">
            <w:pPr>
              <w:spacing w:line="240" w:lineRule="auto"/>
              <w:ind w:firstLine="0" w:firstLineChars="0"/>
              <w:jc w:val="center"/>
              <w:rPr>
                <w:rFonts w:cs="Times New Roman"/>
                <w:kern w:val="0"/>
                <w:sz w:val="21"/>
                <w:szCs w:val="21"/>
              </w:rPr>
            </w:pPr>
            <w:r>
              <w:rPr>
                <w:rFonts w:hint="eastAsia" w:cs="Times New Roman"/>
                <w:kern w:val="0"/>
                <w:sz w:val="21"/>
                <w:szCs w:val="21"/>
              </w:rPr>
              <w:t>产业</w:t>
            </w:r>
          </w:p>
        </w:tc>
        <w:tc>
          <w:tcPr>
            <w:tcW w:w="488" w:type="pct"/>
            <w:noWrap/>
            <w:vAlign w:val="center"/>
          </w:tcPr>
          <w:p w14:paraId="581ACD25">
            <w:pPr>
              <w:spacing w:line="240" w:lineRule="auto"/>
              <w:ind w:firstLine="0" w:firstLineChars="0"/>
              <w:jc w:val="center"/>
              <w:rPr>
                <w:rFonts w:cs="Times New Roman"/>
                <w:kern w:val="0"/>
                <w:sz w:val="21"/>
                <w:szCs w:val="21"/>
              </w:rPr>
            </w:pPr>
            <w:r>
              <w:rPr>
                <w:rFonts w:hint="eastAsia" w:cs="Times New Roman"/>
                <w:kern w:val="0"/>
                <w:sz w:val="21"/>
                <w:szCs w:val="21"/>
              </w:rPr>
              <w:t>农业</w:t>
            </w:r>
          </w:p>
        </w:tc>
        <w:tc>
          <w:tcPr>
            <w:tcW w:w="4117" w:type="pct"/>
            <w:noWrap/>
            <w:vAlign w:val="center"/>
          </w:tcPr>
          <w:p w14:paraId="173CE793">
            <w:pPr>
              <w:spacing w:line="240" w:lineRule="auto"/>
              <w:ind w:firstLine="0" w:firstLineChars="0"/>
              <w:jc w:val="center"/>
              <w:rPr>
                <w:rFonts w:cs="Times New Roman"/>
                <w:kern w:val="0"/>
                <w:sz w:val="21"/>
                <w:szCs w:val="21"/>
              </w:rPr>
            </w:pPr>
            <w:r>
              <w:rPr>
                <w:rFonts w:hint="eastAsia" w:cs="Times New Roman"/>
                <w:kern w:val="0"/>
                <w:sz w:val="21"/>
                <w:szCs w:val="21"/>
              </w:rPr>
              <w:t>石虎子村蛋鸡养殖场改扩建项目、石虎子蔬菜种植基地项目、石虎子村环保蛋鸡养殖场扩建项目、石虎子村种苗基地建设项目、石虎子养殖基地建设项目、六道沟村高标准灵芝产业园项目、黑沟村设施农业项目、黑沟村农贸市场项目、大东沟社区中药材种植基地项目、桓仁高句丽王都酒业葡萄酒及饮料生产加工项目</w:t>
            </w:r>
          </w:p>
        </w:tc>
      </w:tr>
      <w:tr w14:paraId="026B0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3" w:type="pct"/>
            <w:vMerge w:val="continue"/>
            <w:noWrap/>
            <w:vAlign w:val="center"/>
          </w:tcPr>
          <w:p w14:paraId="2E8D85D9">
            <w:pPr>
              <w:spacing w:line="240" w:lineRule="auto"/>
              <w:ind w:firstLine="0" w:firstLineChars="0"/>
              <w:jc w:val="center"/>
              <w:rPr>
                <w:rFonts w:cs="Times New Roman"/>
                <w:kern w:val="0"/>
                <w:sz w:val="21"/>
                <w:szCs w:val="21"/>
              </w:rPr>
            </w:pPr>
          </w:p>
        </w:tc>
        <w:tc>
          <w:tcPr>
            <w:tcW w:w="488" w:type="pct"/>
            <w:noWrap/>
            <w:vAlign w:val="center"/>
          </w:tcPr>
          <w:p w14:paraId="0654AC27">
            <w:pPr>
              <w:spacing w:line="240" w:lineRule="auto"/>
              <w:ind w:firstLine="0" w:firstLineChars="0"/>
              <w:jc w:val="center"/>
              <w:rPr>
                <w:rFonts w:cs="Times New Roman"/>
                <w:kern w:val="0"/>
                <w:sz w:val="21"/>
                <w:szCs w:val="21"/>
              </w:rPr>
            </w:pPr>
            <w:r>
              <w:rPr>
                <w:rFonts w:hint="eastAsia" w:cs="Times New Roman"/>
                <w:kern w:val="0"/>
                <w:sz w:val="21"/>
                <w:szCs w:val="21"/>
              </w:rPr>
              <w:t>产业</w:t>
            </w:r>
          </w:p>
        </w:tc>
        <w:tc>
          <w:tcPr>
            <w:tcW w:w="4117" w:type="pct"/>
            <w:noWrap/>
            <w:vAlign w:val="center"/>
          </w:tcPr>
          <w:p w14:paraId="795D113B">
            <w:pPr>
              <w:spacing w:line="240" w:lineRule="auto"/>
              <w:ind w:firstLine="0" w:firstLineChars="0"/>
              <w:jc w:val="center"/>
              <w:rPr>
                <w:rFonts w:cs="Times New Roman"/>
                <w:kern w:val="0"/>
                <w:sz w:val="21"/>
                <w:szCs w:val="21"/>
              </w:rPr>
            </w:pPr>
            <w:r>
              <w:rPr>
                <w:rFonts w:hint="eastAsia" w:cs="Times New Roman"/>
                <w:kern w:val="0"/>
                <w:sz w:val="21"/>
                <w:szCs w:val="21"/>
              </w:rPr>
              <w:t>黑沟村人参加工厂项目、黑沟村物流中心及附属设施项目、大东沟饮品厂改扩建项目</w:t>
            </w:r>
          </w:p>
        </w:tc>
      </w:tr>
      <w:tr w14:paraId="5E6BC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393" w:type="pct"/>
            <w:vMerge w:val="continue"/>
            <w:noWrap/>
            <w:vAlign w:val="center"/>
          </w:tcPr>
          <w:p w14:paraId="5ED45094">
            <w:pPr>
              <w:spacing w:line="240" w:lineRule="auto"/>
              <w:ind w:firstLine="0" w:firstLineChars="0"/>
              <w:jc w:val="center"/>
              <w:rPr>
                <w:rFonts w:cs="Times New Roman"/>
                <w:kern w:val="0"/>
                <w:sz w:val="21"/>
                <w:szCs w:val="21"/>
              </w:rPr>
            </w:pPr>
          </w:p>
        </w:tc>
        <w:tc>
          <w:tcPr>
            <w:tcW w:w="488" w:type="pct"/>
            <w:noWrap/>
            <w:vAlign w:val="center"/>
          </w:tcPr>
          <w:p w14:paraId="12242386">
            <w:pPr>
              <w:spacing w:line="240" w:lineRule="auto"/>
              <w:ind w:firstLine="0" w:firstLineChars="0"/>
              <w:jc w:val="center"/>
              <w:rPr>
                <w:rFonts w:cs="Times New Roman"/>
                <w:kern w:val="0"/>
                <w:sz w:val="21"/>
                <w:szCs w:val="21"/>
              </w:rPr>
            </w:pPr>
            <w:r>
              <w:rPr>
                <w:rFonts w:hint="eastAsia" w:cs="Times New Roman"/>
                <w:kern w:val="0"/>
                <w:sz w:val="21"/>
                <w:szCs w:val="21"/>
              </w:rPr>
              <w:t>旅游</w:t>
            </w:r>
          </w:p>
        </w:tc>
        <w:tc>
          <w:tcPr>
            <w:tcW w:w="4117" w:type="pct"/>
            <w:noWrap/>
            <w:vAlign w:val="center"/>
          </w:tcPr>
          <w:p w14:paraId="0F73896D">
            <w:pPr>
              <w:spacing w:line="240" w:lineRule="auto"/>
              <w:ind w:firstLine="0" w:firstLineChars="0"/>
              <w:jc w:val="center"/>
              <w:rPr>
                <w:rFonts w:cs="Times New Roman"/>
                <w:kern w:val="0"/>
                <w:sz w:val="21"/>
                <w:szCs w:val="21"/>
              </w:rPr>
            </w:pPr>
            <w:r>
              <w:rPr>
                <w:rFonts w:hint="eastAsia" w:cs="Times New Roman"/>
                <w:kern w:val="0"/>
                <w:sz w:val="21"/>
                <w:szCs w:val="21"/>
              </w:rPr>
              <w:t>大川村温泉民宿、滑雪、旅游项目，六道沟村农业文旅产业园区项目、黑沟村特色民宿项目</w:t>
            </w:r>
          </w:p>
        </w:tc>
      </w:tr>
    </w:tbl>
    <w:p w14:paraId="072B666C">
      <w:pPr>
        <w:widowControl/>
        <w:adjustRightInd w:val="0"/>
        <w:snapToGrid w:val="0"/>
        <w:ind w:firstLine="640"/>
        <w:rPr>
          <w:rFonts w:hint="eastAsia" w:cs="Times New Roman"/>
          <w:lang w:bidi="ar"/>
        </w:rPr>
      </w:pPr>
    </w:p>
    <w:p w14:paraId="63C53DD1">
      <w:pPr>
        <w:pStyle w:val="3"/>
        <w:rPr>
          <w:rFonts w:ascii="Times New Roman" w:hAnsi="Times New Roman" w:cs="Times New Roman"/>
          <w:color w:val="auto"/>
        </w:rPr>
      </w:pPr>
      <w:bookmarkStart w:id="102" w:name="_Toc175064698"/>
      <w:bookmarkStart w:id="103" w:name="_Toc220921298"/>
      <w:r>
        <w:rPr>
          <w:rFonts w:ascii="Times New Roman" w:hAnsi="Times New Roman" w:cs="Times New Roman"/>
          <w:color w:val="auto"/>
        </w:rPr>
        <w:t>第四节“一张图”建设与实施监督</w:t>
      </w:r>
      <w:bookmarkEnd w:id="102"/>
      <w:bookmarkEnd w:id="103"/>
    </w:p>
    <w:p w14:paraId="20E17416">
      <w:pPr>
        <w:pStyle w:val="4"/>
        <w:numPr>
          <w:ilvl w:val="0"/>
          <w:numId w:val="40"/>
        </w:numPr>
        <w:ind w:left="198" w:firstLine="641"/>
      </w:pPr>
      <w:r>
        <w:t>纳入国土空间规划“一张图”信息平台</w:t>
      </w:r>
    </w:p>
    <w:p w14:paraId="042F3ED2">
      <w:pPr>
        <w:adjustRightInd w:val="0"/>
        <w:snapToGrid w:val="0"/>
        <w:ind w:firstLine="640"/>
        <w:rPr>
          <w:rFonts w:cs="Times New Roman"/>
          <w:szCs w:val="32"/>
        </w:rPr>
      </w:pPr>
      <w:r>
        <w:rPr>
          <w:rFonts w:cs="Times New Roman"/>
          <w:szCs w:val="32"/>
          <w:lang w:bidi="ar"/>
        </w:rPr>
        <w:t>建立“一张图”数据平台工作机制，将国土空间基础数据、规划成果、管控边界、审批信息等动态更新入库，为国土空间规划编制、审批、修改、体检评估和实施监督全周期管理提供信息化技术</w:t>
      </w:r>
      <w:r>
        <w:rPr>
          <w:rFonts w:hint="eastAsia" w:cs="Times New Roman"/>
          <w:szCs w:val="32"/>
          <w:lang w:val="en-US" w:eastAsia="zh-CN" w:bidi="ar"/>
        </w:rPr>
        <w:t>支</w:t>
      </w:r>
      <w:r>
        <w:rPr>
          <w:rFonts w:cs="Times New Roman"/>
          <w:szCs w:val="32"/>
          <w:lang w:bidi="ar"/>
        </w:rPr>
        <w:t>持，也为统一国土空间用途管制、实施建设项目规划许可、强化规划实施监督提供依据。</w:t>
      </w:r>
    </w:p>
    <w:p w14:paraId="2389B510">
      <w:pPr>
        <w:pStyle w:val="4"/>
      </w:pPr>
      <w:r>
        <w:t>完善社会监督机制</w:t>
      </w:r>
    </w:p>
    <w:p w14:paraId="74F3F82F">
      <w:pPr>
        <w:ind w:firstLine="640"/>
        <w:rPr>
          <w:rFonts w:cs="Times New Roman"/>
        </w:rPr>
      </w:pPr>
      <w:r>
        <w:rPr>
          <w:rFonts w:cs="Times New Roman"/>
          <w:szCs w:val="32"/>
          <w:lang w:bidi="ar"/>
        </w:rPr>
        <w:t>坚持开门编规划，建立全流程、多渠道的公众参与和社会协同机制，调动公众和专家参与到规划编制—实施—监督—评估的全过程。创新广泛、多样的公众参与形式，发挥传统纸媒和微信公众号等自媒体的作用，开展问卷调查、调研座谈、主题沙龙、规划展览等公众参与活动，为规划编制、实施、监督提供广泛公众基础，营造全社会积极主动实施和监督规划的良好氛围。</w:t>
      </w:r>
    </w:p>
    <w:p w14:paraId="2DB19B5B">
      <w:pPr>
        <w:spacing w:line="560" w:lineRule="exact"/>
        <w:ind w:firstLine="0" w:firstLineChars="0"/>
        <w:rPr>
          <w:rFonts w:cs="Times New Roman"/>
          <w:szCs w:val="36"/>
        </w:rPr>
      </w:pPr>
    </w:p>
    <w:sectPr>
      <w:footerReference r:id="rId18" w:type="default"/>
      <w:pgSz w:w="11906" w:h="16838"/>
      <w:pgMar w:top="1440" w:right="1797" w:bottom="1440" w:left="1797"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556C2">
    <w:pPr>
      <w:pStyle w:val="9"/>
      <w:ind w:firstLine="360"/>
      <w:jc w:val="center"/>
      <w:rPr>
        <w:rFonts w:hint="eastAsia"/>
      </w:rPr>
    </w:pPr>
  </w:p>
  <w:p w14:paraId="753E1E2D">
    <w:pPr>
      <w:pStyle w:val="9"/>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6E597">
    <w:pPr>
      <w:pStyle w:val="9"/>
      <w:ind w:firstLine="3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607EC">
    <w:pPr>
      <w:pStyle w:val="9"/>
      <w:ind w:firstLine="3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1F420">
    <w:pPr>
      <w:pStyle w:val="9"/>
      <w:ind w:firstLine="360"/>
      <w:jc w:val="center"/>
      <w:rPr>
        <w:rFonts w:hint="eastAsia"/>
      </w:rPr>
    </w:pPr>
  </w:p>
  <w:p w14:paraId="3DEF6424">
    <w:pPr>
      <w:pStyle w:val="9"/>
      <w:ind w:firstLine="0" w:firstLineChars="0"/>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C2C42">
    <w:pPr>
      <w:pStyle w:val="9"/>
      <w:ind w:firstLine="3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49A936">
    <w:pPr>
      <w:pStyle w:val="9"/>
      <w:ind w:firstLine="360"/>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79768989"/>
    </w:sdtPr>
    <w:sdtContent>
      <w:p w14:paraId="4B901BDA">
        <w:pPr>
          <w:pStyle w:val="9"/>
          <w:ind w:firstLine="360"/>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728965CA">
    <w:pPr>
      <w:pStyle w:val="9"/>
      <w:ind w:firstLine="0" w:firstLineChars="0"/>
      <w:rPr>
        <w:rFonts w:hint="eastAsia"/>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99351B">
    <w:pPr>
      <w:pStyle w:val="9"/>
      <w:ind w:firstLine="360" w:firstLineChars="0"/>
      <w:jc w:val="center"/>
      <w:rPr>
        <w:rFonts w:hint="eastAsia"/>
      </w:rPr>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7F005">
    <w:pPr>
      <w:pStyle w:val="10"/>
      <w:pBdr>
        <w:bottom w:val="none" w:color="auto" w:sz="0" w:space="0"/>
      </w:pBdr>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5D812">
    <w:pPr>
      <w:pStyle w:val="10"/>
      <w:pBdr>
        <w:bottom w:val="none" w:color="auto" w:sz="0" w:space="0"/>
      </w:pBdr>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19130">
    <w:pPr>
      <w:pStyle w:val="10"/>
      <w:ind w:firstLine="3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9D9C7E">
    <w:pPr>
      <w:pStyle w:val="10"/>
      <w:pBdr>
        <w:bottom w:val="none" w:color="auto" w:sz="0" w:space="0"/>
      </w:pBdr>
      <w:ind w:firstLine="360"/>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6B156">
    <w:pPr>
      <w:pStyle w:val="10"/>
      <w:pBdr>
        <w:bottom w:val="none" w:color="auto" w:sz="0" w:space="0"/>
      </w:pBdr>
      <w:ind w:firstLine="360"/>
      <w:rPr>
        <w:rFonts w:hint="eastAsi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65763">
    <w:pPr>
      <w:pStyle w:val="10"/>
      <w:ind w:firstLine="360"/>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743FE2"/>
    <w:multiLevelType w:val="singleLevel"/>
    <w:tmpl w:val="CB743FE2"/>
    <w:lvl w:ilvl="0" w:tentative="0">
      <w:start w:val="1"/>
      <w:numFmt w:val="decimal"/>
      <w:pStyle w:val="6"/>
      <w:suff w:val="space"/>
      <w:lvlText w:val="专栏%1"/>
      <w:lvlJc w:val="left"/>
      <w:pPr>
        <w:tabs>
          <w:tab w:val="left" w:pos="5530"/>
        </w:tabs>
      </w:pPr>
      <w:rPr>
        <w:rFonts w:hint="default" w:ascii="黑体" w:hAnsi="黑体" w:eastAsia="黑体" w:cs="仿宋"/>
        <w:b w:val="0"/>
        <w:bCs/>
        <w:color w:val="auto"/>
        <w:sz w:val="30"/>
        <w:szCs w:val="24"/>
      </w:rPr>
    </w:lvl>
  </w:abstractNum>
  <w:abstractNum w:abstractNumId="1">
    <w:nsid w:val="5D374EE7"/>
    <w:multiLevelType w:val="multilevel"/>
    <w:tmpl w:val="5D374EE7"/>
    <w:lvl w:ilvl="0" w:tentative="0">
      <w:start w:val="1"/>
      <w:numFmt w:val="japaneseCounting"/>
      <w:lvlText w:val="第%1节"/>
      <w:lvlJc w:val="left"/>
      <w:pPr>
        <w:ind w:left="440" w:hanging="44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7376576F"/>
    <w:multiLevelType w:val="multilevel"/>
    <w:tmpl w:val="7376576F"/>
    <w:lvl w:ilvl="0" w:tentative="0">
      <w:start w:val="1"/>
      <w:numFmt w:val="chineseCountingThousand"/>
      <w:pStyle w:val="4"/>
      <w:lvlText w:val="(%1)"/>
      <w:lvlJc w:val="left"/>
      <w:pPr>
        <w:ind w:left="640" w:hanging="440"/>
      </w:pPr>
    </w:lvl>
    <w:lvl w:ilvl="1" w:tentative="0">
      <w:start w:val="1"/>
      <w:numFmt w:val="lowerLetter"/>
      <w:lvlText w:val="%2)"/>
      <w:lvlJc w:val="left"/>
      <w:pPr>
        <w:ind w:left="1080" w:hanging="440"/>
      </w:pPr>
    </w:lvl>
    <w:lvl w:ilvl="2" w:tentative="0">
      <w:start w:val="1"/>
      <w:numFmt w:val="lowerRoman"/>
      <w:lvlText w:val="%3."/>
      <w:lvlJc w:val="right"/>
      <w:pPr>
        <w:ind w:left="1520" w:hanging="440"/>
      </w:pPr>
    </w:lvl>
    <w:lvl w:ilvl="3" w:tentative="0">
      <w:start w:val="1"/>
      <w:numFmt w:val="decimal"/>
      <w:lvlText w:val="%4."/>
      <w:lvlJc w:val="left"/>
      <w:pPr>
        <w:ind w:left="1960" w:hanging="440"/>
      </w:pPr>
    </w:lvl>
    <w:lvl w:ilvl="4" w:tentative="0">
      <w:start w:val="1"/>
      <w:numFmt w:val="lowerLetter"/>
      <w:lvlText w:val="%5)"/>
      <w:lvlJc w:val="left"/>
      <w:pPr>
        <w:ind w:left="2400" w:hanging="440"/>
      </w:pPr>
    </w:lvl>
    <w:lvl w:ilvl="5" w:tentative="0">
      <w:start w:val="1"/>
      <w:numFmt w:val="lowerRoman"/>
      <w:lvlText w:val="%6."/>
      <w:lvlJc w:val="right"/>
      <w:pPr>
        <w:ind w:left="2840" w:hanging="440"/>
      </w:pPr>
    </w:lvl>
    <w:lvl w:ilvl="6" w:tentative="0">
      <w:start w:val="1"/>
      <w:numFmt w:val="decimal"/>
      <w:lvlText w:val="%7."/>
      <w:lvlJc w:val="left"/>
      <w:pPr>
        <w:ind w:left="3280" w:hanging="440"/>
      </w:pPr>
    </w:lvl>
    <w:lvl w:ilvl="7" w:tentative="0">
      <w:start w:val="1"/>
      <w:numFmt w:val="lowerLetter"/>
      <w:lvlText w:val="%8)"/>
      <w:lvlJc w:val="left"/>
      <w:pPr>
        <w:ind w:left="3720" w:hanging="440"/>
      </w:pPr>
    </w:lvl>
    <w:lvl w:ilvl="8" w:tentative="0">
      <w:start w:val="1"/>
      <w:numFmt w:val="lowerRoman"/>
      <w:lvlText w:val="%9."/>
      <w:lvlJc w:val="right"/>
      <w:pPr>
        <w:ind w:left="4160" w:hanging="440"/>
      </w:pPr>
    </w:lvl>
  </w:abstractNum>
  <w:num w:numId="1">
    <w:abstractNumId w:val="2"/>
  </w:num>
  <w:num w:numId="2">
    <w:abstractNumId w:val="0"/>
  </w:num>
  <w:num w:numId="3">
    <w:abstractNumId w:val="1"/>
  </w:num>
  <w:num w:numId="4">
    <w:abstractNumId w:val="2"/>
    <w:lvlOverride w:ilvl="0">
      <w:startOverride w:val="1"/>
    </w:lvlOverride>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2"/>
    <w:lvlOverride w:ilvl="0">
      <w:startOverride w:val="1"/>
    </w:lvlOverride>
  </w:num>
  <w:num w:numId="23">
    <w:abstractNumId w:val="2"/>
    <w:lvlOverride w:ilvl="0">
      <w:startOverride w:val="1"/>
    </w:lvlOverride>
  </w:num>
  <w:num w:numId="24">
    <w:abstractNumId w:val="2"/>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
    <w:lvlOverride w:ilvl="0">
      <w:startOverride w:val="1"/>
    </w:lvlOverride>
  </w:num>
  <w:num w:numId="28">
    <w:abstractNumId w:val="2"/>
    <w:lvlOverride w:ilvl="0">
      <w:startOverride w:val="1"/>
    </w:lvlOverride>
  </w:num>
  <w:num w:numId="29">
    <w:abstractNumId w:val="2"/>
    <w:lvlOverride w:ilvl="0">
      <w:startOverride w:val="1"/>
    </w:lvlOverride>
  </w:num>
  <w:num w:numId="30">
    <w:abstractNumId w:val="2"/>
    <w:lvlOverride w:ilvl="0">
      <w:startOverride w:val="1"/>
    </w:lvlOverride>
  </w:num>
  <w:num w:numId="31">
    <w:abstractNumId w:val="2"/>
    <w:lvlOverride w:ilvl="0">
      <w:startOverride w:val="1"/>
    </w:lvlOverride>
  </w:num>
  <w:num w:numId="32">
    <w:abstractNumId w:val="2"/>
    <w:lvlOverride w:ilvl="0">
      <w:startOverride w:val="1"/>
    </w:lvlOverride>
  </w:num>
  <w:num w:numId="33">
    <w:abstractNumId w:val="2"/>
    <w:lvlOverride w:ilvl="0">
      <w:startOverride w:val="1"/>
    </w:lvlOverride>
  </w:num>
  <w:num w:numId="34">
    <w:abstractNumId w:val="2"/>
    <w:lvlOverride w:ilvl="0">
      <w:startOverride w:val="1"/>
    </w:lvlOverride>
  </w:num>
  <w:num w:numId="35">
    <w:abstractNumId w:val="2"/>
    <w:lvlOverride w:ilvl="0">
      <w:startOverride w:val="1"/>
    </w:lvlOverride>
  </w:num>
  <w:num w:numId="36">
    <w:abstractNumId w:val="2"/>
    <w:lvlOverride w:ilvl="0">
      <w:startOverride w:val="1"/>
    </w:lvlOverride>
  </w:num>
  <w:num w:numId="37">
    <w:abstractNumId w:val="2"/>
    <w:lvlOverride w:ilvl="0">
      <w:startOverride w:val="1"/>
    </w:lvlOverride>
  </w:num>
  <w:num w:numId="38">
    <w:abstractNumId w:val="2"/>
    <w:lvlOverride w:ilvl="0">
      <w:startOverride w:val="1"/>
    </w:lvlOverride>
  </w:num>
  <w:num w:numId="39">
    <w:abstractNumId w:val="2"/>
    <w:lvlOverride w:ilvl="0">
      <w:startOverride w:val="1"/>
    </w:lvlOverride>
  </w:num>
  <w:num w:numId="40">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IwNmIzNGQ1YTUyN2E5N2U5ODUzMzU3MDg5NjdjZjAifQ=="/>
  </w:docVars>
  <w:rsids>
    <w:rsidRoot w:val="001C0E5E"/>
    <w:rsid w:val="00001FC3"/>
    <w:rsid w:val="00022B12"/>
    <w:rsid w:val="00022F7A"/>
    <w:rsid w:val="00025FCC"/>
    <w:rsid w:val="00031192"/>
    <w:rsid w:val="00031970"/>
    <w:rsid w:val="00037E7C"/>
    <w:rsid w:val="00041058"/>
    <w:rsid w:val="00055D9A"/>
    <w:rsid w:val="00057CC3"/>
    <w:rsid w:val="00057CCD"/>
    <w:rsid w:val="00070A1C"/>
    <w:rsid w:val="000749E3"/>
    <w:rsid w:val="00082AB3"/>
    <w:rsid w:val="000924E1"/>
    <w:rsid w:val="00096FA1"/>
    <w:rsid w:val="000A5615"/>
    <w:rsid w:val="000B3590"/>
    <w:rsid w:val="000B69A8"/>
    <w:rsid w:val="000C0F2A"/>
    <w:rsid w:val="000C17B9"/>
    <w:rsid w:val="000C2F2E"/>
    <w:rsid w:val="000C5F2D"/>
    <w:rsid w:val="000C686C"/>
    <w:rsid w:val="000C6E55"/>
    <w:rsid w:val="000D181B"/>
    <w:rsid w:val="000D5B51"/>
    <w:rsid w:val="000D6C45"/>
    <w:rsid w:val="000E2F5F"/>
    <w:rsid w:val="000E338F"/>
    <w:rsid w:val="000F332C"/>
    <w:rsid w:val="000F4949"/>
    <w:rsid w:val="000F5FAB"/>
    <w:rsid w:val="001012F1"/>
    <w:rsid w:val="00102517"/>
    <w:rsid w:val="00103A83"/>
    <w:rsid w:val="0010482B"/>
    <w:rsid w:val="00111C52"/>
    <w:rsid w:val="00117ADC"/>
    <w:rsid w:val="00117B4A"/>
    <w:rsid w:val="00122868"/>
    <w:rsid w:val="00135583"/>
    <w:rsid w:val="00142A9B"/>
    <w:rsid w:val="00143DC8"/>
    <w:rsid w:val="00145F64"/>
    <w:rsid w:val="00147A69"/>
    <w:rsid w:val="00153C89"/>
    <w:rsid w:val="00155787"/>
    <w:rsid w:val="00157ECA"/>
    <w:rsid w:val="001601D2"/>
    <w:rsid w:val="00171CD5"/>
    <w:rsid w:val="00184DB4"/>
    <w:rsid w:val="00187EFC"/>
    <w:rsid w:val="0019192C"/>
    <w:rsid w:val="001B1B42"/>
    <w:rsid w:val="001B2481"/>
    <w:rsid w:val="001C0E5E"/>
    <w:rsid w:val="001E2866"/>
    <w:rsid w:val="001E663B"/>
    <w:rsid w:val="001F0F9C"/>
    <w:rsid w:val="00205D04"/>
    <w:rsid w:val="00207115"/>
    <w:rsid w:val="002073DA"/>
    <w:rsid w:val="0021192B"/>
    <w:rsid w:val="00211C35"/>
    <w:rsid w:val="00214CF0"/>
    <w:rsid w:val="00227375"/>
    <w:rsid w:val="002306DA"/>
    <w:rsid w:val="00230D0D"/>
    <w:rsid w:val="0023608B"/>
    <w:rsid w:val="00245EDB"/>
    <w:rsid w:val="00263A07"/>
    <w:rsid w:val="00270BB9"/>
    <w:rsid w:val="00271F11"/>
    <w:rsid w:val="00285EA1"/>
    <w:rsid w:val="0029630B"/>
    <w:rsid w:val="002A1A0A"/>
    <w:rsid w:val="002A4982"/>
    <w:rsid w:val="002A68DD"/>
    <w:rsid w:val="002C0A61"/>
    <w:rsid w:val="002C0A99"/>
    <w:rsid w:val="002D077A"/>
    <w:rsid w:val="002D10A9"/>
    <w:rsid w:val="002D37C3"/>
    <w:rsid w:val="002E21F4"/>
    <w:rsid w:val="002E3568"/>
    <w:rsid w:val="002F3FF7"/>
    <w:rsid w:val="002F54E3"/>
    <w:rsid w:val="00301B7B"/>
    <w:rsid w:val="00307AD5"/>
    <w:rsid w:val="003126C0"/>
    <w:rsid w:val="00316E30"/>
    <w:rsid w:val="00333E3F"/>
    <w:rsid w:val="00334414"/>
    <w:rsid w:val="00341E9C"/>
    <w:rsid w:val="0035199A"/>
    <w:rsid w:val="0035298B"/>
    <w:rsid w:val="003542BF"/>
    <w:rsid w:val="00357373"/>
    <w:rsid w:val="00360776"/>
    <w:rsid w:val="00363255"/>
    <w:rsid w:val="00372006"/>
    <w:rsid w:val="00374DFB"/>
    <w:rsid w:val="00380EFB"/>
    <w:rsid w:val="00384FD2"/>
    <w:rsid w:val="003907A1"/>
    <w:rsid w:val="0039272E"/>
    <w:rsid w:val="00396B02"/>
    <w:rsid w:val="003A4B38"/>
    <w:rsid w:val="003A578B"/>
    <w:rsid w:val="003A6260"/>
    <w:rsid w:val="003A6A51"/>
    <w:rsid w:val="003B00D8"/>
    <w:rsid w:val="003B1397"/>
    <w:rsid w:val="003B1764"/>
    <w:rsid w:val="003B1A90"/>
    <w:rsid w:val="003B2DDC"/>
    <w:rsid w:val="003B35C9"/>
    <w:rsid w:val="003B70AF"/>
    <w:rsid w:val="003C4D3B"/>
    <w:rsid w:val="003D17A8"/>
    <w:rsid w:val="003D2E3D"/>
    <w:rsid w:val="003D4A2D"/>
    <w:rsid w:val="003E0CEB"/>
    <w:rsid w:val="003E1DA7"/>
    <w:rsid w:val="003F1444"/>
    <w:rsid w:val="00403B8C"/>
    <w:rsid w:val="00410049"/>
    <w:rsid w:val="004110B5"/>
    <w:rsid w:val="00411307"/>
    <w:rsid w:val="00411D48"/>
    <w:rsid w:val="00412AE9"/>
    <w:rsid w:val="004211F2"/>
    <w:rsid w:val="00423C5E"/>
    <w:rsid w:val="00425136"/>
    <w:rsid w:val="004321CB"/>
    <w:rsid w:val="00433F61"/>
    <w:rsid w:val="00437141"/>
    <w:rsid w:val="004403F8"/>
    <w:rsid w:val="00451BCA"/>
    <w:rsid w:val="00456128"/>
    <w:rsid w:val="00460D1C"/>
    <w:rsid w:val="00461935"/>
    <w:rsid w:val="004650C1"/>
    <w:rsid w:val="004709B3"/>
    <w:rsid w:val="004730C2"/>
    <w:rsid w:val="00474EF0"/>
    <w:rsid w:val="004751C2"/>
    <w:rsid w:val="004810EC"/>
    <w:rsid w:val="00493CBF"/>
    <w:rsid w:val="004A3B61"/>
    <w:rsid w:val="004B79CE"/>
    <w:rsid w:val="004C61AB"/>
    <w:rsid w:val="004D4842"/>
    <w:rsid w:val="004D5C7F"/>
    <w:rsid w:val="004D67FC"/>
    <w:rsid w:val="004F0534"/>
    <w:rsid w:val="004F353A"/>
    <w:rsid w:val="004F3F1A"/>
    <w:rsid w:val="004F7815"/>
    <w:rsid w:val="00505CC8"/>
    <w:rsid w:val="00505E74"/>
    <w:rsid w:val="00512035"/>
    <w:rsid w:val="005220A9"/>
    <w:rsid w:val="005247BB"/>
    <w:rsid w:val="0053516F"/>
    <w:rsid w:val="00535375"/>
    <w:rsid w:val="0054002C"/>
    <w:rsid w:val="00543D64"/>
    <w:rsid w:val="0054494A"/>
    <w:rsid w:val="005506FD"/>
    <w:rsid w:val="00560FDC"/>
    <w:rsid w:val="00571EE5"/>
    <w:rsid w:val="0057287C"/>
    <w:rsid w:val="005747AD"/>
    <w:rsid w:val="00576997"/>
    <w:rsid w:val="005805B1"/>
    <w:rsid w:val="005838BD"/>
    <w:rsid w:val="00584BBA"/>
    <w:rsid w:val="005938A1"/>
    <w:rsid w:val="00594494"/>
    <w:rsid w:val="00594B28"/>
    <w:rsid w:val="005A24DD"/>
    <w:rsid w:val="005B0714"/>
    <w:rsid w:val="005C62FF"/>
    <w:rsid w:val="005C6CDE"/>
    <w:rsid w:val="005C7A48"/>
    <w:rsid w:val="005D71F5"/>
    <w:rsid w:val="005E137D"/>
    <w:rsid w:val="005E4E62"/>
    <w:rsid w:val="005E7F23"/>
    <w:rsid w:val="005F09C4"/>
    <w:rsid w:val="005F2AB6"/>
    <w:rsid w:val="005F44A1"/>
    <w:rsid w:val="005F6CE7"/>
    <w:rsid w:val="0060036A"/>
    <w:rsid w:val="006022F7"/>
    <w:rsid w:val="00605C51"/>
    <w:rsid w:val="006068C8"/>
    <w:rsid w:val="00607D00"/>
    <w:rsid w:val="006102A7"/>
    <w:rsid w:val="00620199"/>
    <w:rsid w:val="00620546"/>
    <w:rsid w:val="006212DE"/>
    <w:rsid w:val="006221D1"/>
    <w:rsid w:val="00622F52"/>
    <w:rsid w:val="00624DDC"/>
    <w:rsid w:val="00634140"/>
    <w:rsid w:val="00640245"/>
    <w:rsid w:val="00640A6A"/>
    <w:rsid w:val="00643405"/>
    <w:rsid w:val="0064419B"/>
    <w:rsid w:val="00651C39"/>
    <w:rsid w:val="00654270"/>
    <w:rsid w:val="00666654"/>
    <w:rsid w:val="006748B5"/>
    <w:rsid w:val="00680438"/>
    <w:rsid w:val="00692084"/>
    <w:rsid w:val="00692FA7"/>
    <w:rsid w:val="00695434"/>
    <w:rsid w:val="00696139"/>
    <w:rsid w:val="00697FAC"/>
    <w:rsid w:val="006A7613"/>
    <w:rsid w:val="006B00E8"/>
    <w:rsid w:val="006B1932"/>
    <w:rsid w:val="006B322A"/>
    <w:rsid w:val="006B3A07"/>
    <w:rsid w:val="006B4B5C"/>
    <w:rsid w:val="006B6C91"/>
    <w:rsid w:val="006B77D9"/>
    <w:rsid w:val="006C4275"/>
    <w:rsid w:val="006D7F1A"/>
    <w:rsid w:val="006E38B1"/>
    <w:rsid w:val="006E3BEC"/>
    <w:rsid w:val="006E7845"/>
    <w:rsid w:val="006F2A5A"/>
    <w:rsid w:val="006F79B9"/>
    <w:rsid w:val="00710C67"/>
    <w:rsid w:val="00710E27"/>
    <w:rsid w:val="007171A0"/>
    <w:rsid w:val="00723F44"/>
    <w:rsid w:val="0072475B"/>
    <w:rsid w:val="00727415"/>
    <w:rsid w:val="00735CCE"/>
    <w:rsid w:val="00741935"/>
    <w:rsid w:val="007457D3"/>
    <w:rsid w:val="00746E28"/>
    <w:rsid w:val="0075357E"/>
    <w:rsid w:val="00755E3E"/>
    <w:rsid w:val="00757DFD"/>
    <w:rsid w:val="00761A9A"/>
    <w:rsid w:val="00764819"/>
    <w:rsid w:val="00772D48"/>
    <w:rsid w:val="0077422B"/>
    <w:rsid w:val="00775F40"/>
    <w:rsid w:val="0079019D"/>
    <w:rsid w:val="00792659"/>
    <w:rsid w:val="00796C1B"/>
    <w:rsid w:val="007973A5"/>
    <w:rsid w:val="007A5463"/>
    <w:rsid w:val="007A649E"/>
    <w:rsid w:val="007B128C"/>
    <w:rsid w:val="007B56AA"/>
    <w:rsid w:val="007B7EB6"/>
    <w:rsid w:val="007C3FD3"/>
    <w:rsid w:val="007C5AF9"/>
    <w:rsid w:val="007D1014"/>
    <w:rsid w:val="007D6F13"/>
    <w:rsid w:val="007F5054"/>
    <w:rsid w:val="008008C0"/>
    <w:rsid w:val="008011CC"/>
    <w:rsid w:val="00801E86"/>
    <w:rsid w:val="008107D5"/>
    <w:rsid w:val="00811484"/>
    <w:rsid w:val="00816868"/>
    <w:rsid w:val="008265F6"/>
    <w:rsid w:val="00832200"/>
    <w:rsid w:val="00832E39"/>
    <w:rsid w:val="008334FA"/>
    <w:rsid w:val="00842EB3"/>
    <w:rsid w:val="00856FF7"/>
    <w:rsid w:val="00870077"/>
    <w:rsid w:val="008768BD"/>
    <w:rsid w:val="00880B0F"/>
    <w:rsid w:val="00882CA8"/>
    <w:rsid w:val="008910F6"/>
    <w:rsid w:val="008A1876"/>
    <w:rsid w:val="008B3FE0"/>
    <w:rsid w:val="008B431C"/>
    <w:rsid w:val="008C41CD"/>
    <w:rsid w:val="008C4476"/>
    <w:rsid w:val="008C5EE2"/>
    <w:rsid w:val="008D4B1D"/>
    <w:rsid w:val="008D6BB4"/>
    <w:rsid w:val="008E17C9"/>
    <w:rsid w:val="008E20B4"/>
    <w:rsid w:val="008E2E4E"/>
    <w:rsid w:val="008E4685"/>
    <w:rsid w:val="008F151D"/>
    <w:rsid w:val="0090055B"/>
    <w:rsid w:val="00904171"/>
    <w:rsid w:val="009054BA"/>
    <w:rsid w:val="00906C1F"/>
    <w:rsid w:val="00906EF1"/>
    <w:rsid w:val="009154C2"/>
    <w:rsid w:val="0091770E"/>
    <w:rsid w:val="00924C10"/>
    <w:rsid w:val="009264C4"/>
    <w:rsid w:val="00936C1B"/>
    <w:rsid w:val="0094170C"/>
    <w:rsid w:val="009426AA"/>
    <w:rsid w:val="0094336D"/>
    <w:rsid w:val="00950B3D"/>
    <w:rsid w:val="00955F01"/>
    <w:rsid w:val="00963142"/>
    <w:rsid w:val="009653BC"/>
    <w:rsid w:val="00966DA5"/>
    <w:rsid w:val="0097205F"/>
    <w:rsid w:val="00981250"/>
    <w:rsid w:val="0098333F"/>
    <w:rsid w:val="00985D45"/>
    <w:rsid w:val="0099034B"/>
    <w:rsid w:val="009A0D95"/>
    <w:rsid w:val="009B15CE"/>
    <w:rsid w:val="009B2CE0"/>
    <w:rsid w:val="009C13BF"/>
    <w:rsid w:val="009C2417"/>
    <w:rsid w:val="009C2DF6"/>
    <w:rsid w:val="009C684F"/>
    <w:rsid w:val="009D5F1B"/>
    <w:rsid w:val="009E141E"/>
    <w:rsid w:val="009E3332"/>
    <w:rsid w:val="009E420B"/>
    <w:rsid w:val="009F03E9"/>
    <w:rsid w:val="009F55BF"/>
    <w:rsid w:val="009F5D6E"/>
    <w:rsid w:val="00A0068B"/>
    <w:rsid w:val="00A01FD2"/>
    <w:rsid w:val="00A02BD0"/>
    <w:rsid w:val="00A04C5A"/>
    <w:rsid w:val="00A12BCA"/>
    <w:rsid w:val="00A147DD"/>
    <w:rsid w:val="00A36F3D"/>
    <w:rsid w:val="00A43459"/>
    <w:rsid w:val="00A43698"/>
    <w:rsid w:val="00A54DC0"/>
    <w:rsid w:val="00A72CAD"/>
    <w:rsid w:val="00A74F2D"/>
    <w:rsid w:val="00A873AE"/>
    <w:rsid w:val="00A90D92"/>
    <w:rsid w:val="00A93684"/>
    <w:rsid w:val="00A9406F"/>
    <w:rsid w:val="00A97E8E"/>
    <w:rsid w:val="00AA1CB3"/>
    <w:rsid w:val="00AA26F3"/>
    <w:rsid w:val="00AA3BB1"/>
    <w:rsid w:val="00AA44B2"/>
    <w:rsid w:val="00AB1AEF"/>
    <w:rsid w:val="00AB373D"/>
    <w:rsid w:val="00AB4626"/>
    <w:rsid w:val="00AB4B3C"/>
    <w:rsid w:val="00AB5BA7"/>
    <w:rsid w:val="00AD1B48"/>
    <w:rsid w:val="00AD6E6C"/>
    <w:rsid w:val="00AE3205"/>
    <w:rsid w:val="00AF6F8D"/>
    <w:rsid w:val="00B01059"/>
    <w:rsid w:val="00B04B2E"/>
    <w:rsid w:val="00B26D30"/>
    <w:rsid w:val="00B308F6"/>
    <w:rsid w:val="00B3177A"/>
    <w:rsid w:val="00B358EB"/>
    <w:rsid w:val="00B3645E"/>
    <w:rsid w:val="00B4021C"/>
    <w:rsid w:val="00B43645"/>
    <w:rsid w:val="00B45B0C"/>
    <w:rsid w:val="00B47975"/>
    <w:rsid w:val="00B50C60"/>
    <w:rsid w:val="00B51E97"/>
    <w:rsid w:val="00B65C27"/>
    <w:rsid w:val="00B71211"/>
    <w:rsid w:val="00B75BF0"/>
    <w:rsid w:val="00B76925"/>
    <w:rsid w:val="00B845F5"/>
    <w:rsid w:val="00B84EC5"/>
    <w:rsid w:val="00B900DD"/>
    <w:rsid w:val="00B9355B"/>
    <w:rsid w:val="00B93D2E"/>
    <w:rsid w:val="00BA1E28"/>
    <w:rsid w:val="00BA6E2E"/>
    <w:rsid w:val="00BB1287"/>
    <w:rsid w:val="00BB4D6A"/>
    <w:rsid w:val="00BB74ED"/>
    <w:rsid w:val="00BC2AC2"/>
    <w:rsid w:val="00BD10AD"/>
    <w:rsid w:val="00BF4097"/>
    <w:rsid w:val="00BF72B5"/>
    <w:rsid w:val="00C031CE"/>
    <w:rsid w:val="00C04498"/>
    <w:rsid w:val="00C04ACB"/>
    <w:rsid w:val="00C04F14"/>
    <w:rsid w:val="00C0593B"/>
    <w:rsid w:val="00C16C2B"/>
    <w:rsid w:val="00C16D8F"/>
    <w:rsid w:val="00C17A89"/>
    <w:rsid w:val="00C2089C"/>
    <w:rsid w:val="00C20EE0"/>
    <w:rsid w:val="00C22E93"/>
    <w:rsid w:val="00C410E9"/>
    <w:rsid w:val="00C423EF"/>
    <w:rsid w:val="00C44E8B"/>
    <w:rsid w:val="00C453CE"/>
    <w:rsid w:val="00C62264"/>
    <w:rsid w:val="00C62B08"/>
    <w:rsid w:val="00C65E08"/>
    <w:rsid w:val="00C80C19"/>
    <w:rsid w:val="00C83534"/>
    <w:rsid w:val="00C83B31"/>
    <w:rsid w:val="00C849D7"/>
    <w:rsid w:val="00C93107"/>
    <w:rsid w:val="00CA36CF"/>
    <w:rsid w:val="00CA66E7"/>
    <w:rsid w:val="00CB19C1"/>
    <w:rsid w:val="00CC4FB8"/>
    <w:rsid w:val="00CD392E"/>
    <w:rsid w:val="00CD5C1C"/>
    <w:rsid w:val="00CD5ECA"/>
    <w:rsid w:val="00D0051D"/>
    <w:rsid w:val="00D038B8"/>
    <w:rsid w:val="00D07875"/>
    <w:rsid w:val="00D100EE"/>
    <w:rsid w:val="00D10E8E"/>
    <w:rsid w:val="00D315F3"/>
    <w:rsid w:val="00D352F1"/>
    <w:rsid w:val="00D50555"/>
    <w:rsid w:val="00D5086D"/>
    <w:rsid w:val="00D5720D"/>
    <w:rsid w:val="00D62E38"/>
    <w:rsid w:val="00D63662"/>
    <w:rsid w:val="00D648F2"/>
    <w:rsid w:val="00D66651"/>
    <w:rsid w:val="00D670FB"/>
    <w:rsid w:val="00D81471"/>
    <w:rsid w:val="00D835B6"/>
    <w:rsid w:val="00D835C2"/>
    <w:rsid w:val="00D84386"/>
    <w:rsid w:val="00D9282C"/>
    <w:rsid w:val="00D9313E"/>
    <w:rsid w:val="00D97F0C"/>
    <w:rsid w:val="00DB0E81"/>
    <w:rsid w:val="00DB2959"/>
    <w:rsid w:val="00DB5965"/>
    <w:rsid w:val="00DC1CF2"/>
    <w:rsid w:val="00DC61F7"/>
    <w:rsid w:val="00DD3248"/>
    <w:rsid w:val="00DD5D12"/>
    <w:rsid w:val="00DF03DD"/>
    <w:rsid w:val="00E01371"/>
    <w:rsid w:val="00E0287D"/>
    <w:rsid w:val="00E040EA"/>
    <w:rsid w:val="00E05DB5"/>
    <w:rsid w:val="00E1263D"/>
    <w:rsid w:val="00E15C4E"/>
    <w:rsid w:val="00E3342C"/>
    <w:rsid w:val="00E372D8"/>
    <w:rsid w:val="00E521A9"/>
    <w:rsid w:val="00E6146B"/>
    <w:rsid w:val="00E6513B"/>
    <w:rsid w:val="00E65C2C"/>
    <w:rsid w:val="00E7460B"/>
    <w:rsid w:val="00E77986"/>
    <w:rsid w:val="00E82FAB"/>
    <w:rsid w:val="00E8441B"/>
    <w:rsid w:val="00E86A1C"/>
    <w:rsid w:val="00E92F24"/>
    <w:rsid w:val="00EA245E"/>
    <w:rsid w:val="00EA5866"/>
    <w:rsid w:val="00EB3388"/>
    <w:rsid w:val="00EC0CA4"/>
    <w:rsid w:val="00ED172F"/>
    <w:rsid w:val="00ED2AEA"/>
    <w:rsid w:val="00ED3DDE"/>
    <w:rsid w:val="00EE4C13"/>
    <w:rsid w:val="00EF05C1"/>
    <w:rsid w:val="00EF57D9"/>
    <w:rsid w:val="00EF6708"/>
    <w:rsid w:val="00F02065"/>
    <w:rsid w:val="00F17870"/>
    <w:rsid w:val="00F231C9"/>
    <w:rsid w:val="00F31717"/>
    <w:rsid w:val="00F317E8"/>
    <w:rsid w:val="00F338DC"/>
    <w:rsid w:val="00F5267E"/>
    <w:rsid w:val="00F55614"/>
    <w:rsid w:val="00F62585"/>
    <w:rsid w:val="00F70C61"/>
    <w:rsid w:val="00F7112F"/>
    <w:rsid w:val="00F842DB"/>
    <w:rsid w:val="00F86BC3"/>
    <w:rsid w:val="00F950B1"/>
    <w:rsid w:val="00FA0CF9"/>
    <w:rsid w:val="00FA1E24"/>
    <w:rsid w:val="00FA45DA"/>
    <w:rsid w:val="00FB2003"/>
    <w:rsid w:val="00FB336D"/>
    <w:rsid w:val="00FB5F8D"/>
    <w:rsid w:val="00FC0DDA"/>
    <w:rsid w:val="00FC4A49"/>
    <w:rsid w:val="00FC6618"/>
    <w:rsid w:val="00FE38D8"/>
    <w:rsid w:val="00FF1492"/>
    <w:rsid w:val="00FF37A2"/>
    <w:rsid w:val="01C0309B"/>
    <w:rsid w:val="01CC1258"/>
    <w:rsid w:val="01D177FA"/>
    <w:rsid w:val="02571C51"/>
    <w:rsid w:val="025B79C3"/>
    <w:rsid w:val="03A4680E"/>
    <w:rsid w:val="03A82039"/>
    <w:rsid w:val="03D463D5"/>
    <w:rsid w:val="04673CA2"/>
    <w:rsid w:val="04F62BE9"/>
    <w:rsid w:val="05514F75"/>
    <w:rsid w:val="064E058F"/>
    <w:rsid w:val="064E5119"/>
    <w:rsid w:val="066B2C49"/>
    <w:rsid w:val="06A44D39"/>
    <w:rsid w:val="06B37672"/>
    <w:rsid w:val="08193505"/>
    <w:rsid w:val="088501DA"/>
    <w:rsid w:val="08DE2B60"/>
    <w:rsid w:val="08F95BB2"/>
    <w:rsid w:val="09357ED1"/>
    <w:rsid w:val="09842D6C"/>
    <w:rsid w:val="09B36888"/>
    <w:rsid w:val="0A695B59"/>
    <w:rsid w:val="0B28415D"/>
    <w:rsid w:val="0B444D3D"/>
    <w:rsid w:val="0B7F6E41"/>
    <w:rsid w:val="0B865355"/>
    <w:rsid w:val="0BFE6C9A"/>
    <w:rsid w:val="0C684A5B"/>
    <w:rsid w:val="0CBE3ABF"/>
    <w:rsid w:val="0CC53760"/>
    <w:rsid w:val="0CD65E68"/>
    <w:rsid w:val="0D9773A6"/>
    <w:rsid w:val="0D9F44F8"/>
    <w:rsid w:val="0DE545B5"/>
    <w:rsid w:val="0EAF6971"/>
    <w:rsid w:val="0EB75826"/>
    <w:rsid w:val="0F087E2F"/>
    <w:rsid w:val="1027693E"/>
    <w:rsid w:val="104621AB"/>
    <w:rsid w:val="10BC7123"/>
    <w:rsid w:val="11DD3318"/>
    <w:rsid w:val="1202325C"/>
    <w:rsid w:val="121F5539"/>
    <w:rsid w:val="124603DD"/>
    <w:rsid w:val="127049A9"/>
    <w:rsid w:val="131865CD"/>
    <w:rsid w:val="140A496B"/>
    <w:rsid w:val="14157276"/>
    <w:rsid w:val="15080B89"/>
    <w:rsid w:val="165D6CB3"/>
    <w:rsid w:val="1686445B"/>
    <w:rsid w:val="169550E8"/>
    <w:rsid w:val="16E73D9E"/>
    <w:rsid w:val="16F72C63"/>
    <w:rsid w:val="175E145E"/>
    <w:rsid w:val="18B96C89"/>
    <w:rsid w:val="19376F07"/>
    <w:rsid w:val="19AA4A68"/>
    <w:rsid w:val="19E576EB"/>
    <w:rsid w:val="19FB70F6"/>
    <w:rsid w:val="1A750A6F"/>
    <w:rsid w:val="1A807414"/>
    <w:rsid w:val="1AC437A4"/>
    <w:rsid w:val="1BF27E9D"/>
    <w:rsid w:val="1C632B49"/>
    <w:rsid w:val="1CE819CC"/>
    <w:rsid w:val="1D807E56"/>
    <w:rsid w:val="1F57415A"/>
    <w:rsid w:val="1F98105E"/>
    <w:rsid w:val="1FD74821"/>
    <w:rsid w:val="207215AC"/>
    <w:rsid w:val="20B60838"/>
    <w:rsid w:val="20C31E08"/>
    <w:rsid w:val="20F24505"/>
    <w:rsid w:val="21A67760"/>
    <w:rsid w:val="220646A2"/>
    <w:rsid w:val="233D59D7"/>
    <w:rsid w:val="238A1B6A"/>
    <w:rsid w:val="24092228"/>
    <w:rsid w:val="24D819C5"/>
    <w:rsid w:val="25DF7720"/>
    <w:rsid w:val="26E90277"/>
    <w:rsid w:val="28A30678"/>
    <w:rsid w:val="294855A0"/>
    <w:rsid w:val="297455FE"/>
    <w:rsid w:val="297E7214"/>
    <w:rsid w:val="29933168"/>
    <w:rsid w:val="2A1B4433"/>
    <w:rsid w:val="2A9A1222"/>
    <w:rsid w:val="2AA84549"/>
    <w:rsid w:val="2BEE0FCE"/>
    <w:rsid w:val="2C6426F1"/>
    <w:rsid w:val="2C7A0167"/>
    <w:rsid w:val="2CC55886"/>
    <w:rsid w:val="2CE167B6"/>
    <w:rsid w:val="2CE230A4"/>
    <w:rsid w:val="2CFE66A2"/>
    <w:rsid w:val="2D5704A8"/>
    <w:rsid w:val="2D5D321E"/>
    <w:rsid w:val="2D630BFB"/>
    <w:rsid w:val="2DB226E2"/>
    <w:rsid w:val="2E383E35"/>
    <w:rsid w:val="2E8B3B75"/>
    <w:rsid w:val="2ECD473B"/>
    <w:rsid w:val="2EDF7AE7"/>
    <w:rsid w:val="2F596502"/>
    <w:rsid w:val="2FC33BD3"/>
    <w:rsid w:val="30D50061"/>
    <w:rsid w:val="310B5831"/>
    <w:rsid w:val="311808BB"/>
    <w:rsid w:val="31A32FF3"/>
    <w:rsid w:val="31C14142"/>
    <w:rsid w:val="324167FF"/>
    <w:rsid w:val="328B4E7C"/>
    <w:rsid w:val="329F3DDE"/>
    <w:rsid w:val="32AA0E07"/>
    <w:rsid w:val="32D00AE0"/>
    <w:rsid w:val="332632A4"/>
    <w:rsid w:val="334E6DC7"/>
    <w:rsid w:val="338631DF"/>
    <w:rsid w:val="33C04C07"/>
    <w:rsid w:val="33E161E9"/>
    <w:rsid w:val="34056568"/>
    <w:rsid w:val="341B3FDD"/>
    <w:rsid w:val="346E24D8"/>
    <w:rsid w:val="356E7A04"/>
    <w:rsid w:val="358931C8"/>
    <w:rsid w:val="35F22A9F"/>
    <w:rsid w:val="368E4F3A"/>
    <w:rsid w:val="374970B3"/>
    <w:rsid w:val="374E0226"/>
    <w:rsid w:val="376B702A"/>
    <w:rsid w:val="37C761AD"/>
    <w:rsid w:val="3801739B"/>
    <w:rsid w:val="38037262"/>
    <w:rsid w:val="389E51DD"/>
    <w:rsid w:val="38E075A3"/>
    <w:rsid w:val="38F60B75"/>
    <w:rsid w:val="391F5CF6"/>
    <w:rsid w:val="398919E9"/>
    <w:rsid w:val="39EF3F42"/>
    <w:rsid w:val="3A176FF5"/>
    <w:rsid w:val="3A5C5FF0"/>
    <w:rsid w:val="3AF37A62"/>
    <w:rsid w:val="3B0B67DC"/>
    <w:rsid w:val="3B223EA3"/>
    <w:rsid w:val="3B4846E0"/>
    <w:rsid w:val="3BB645EB"/>
    <w:rsid w:val="3C28373B"/>
    <w:rsid w:val="3D08103A"/>
    <w:rsid w:val="3E524A9F"/>
    <w:rsid w:val="3E90381A"/>
    <w:rsid w:val="3EC712FD"/>
    <w:rsid w:val="3F1955BD"/>
    <w:rsid w:val="3F463922"/>
    <w:rsid w:val="40D026FF"/>
    <w:rsid w:val="425A01AE"/>
    <w:rsid w:val="43251C5C"/>
    <w:rsid w:val="43B8701C"/>
    <w:rsid w:val="43BC29BB"/>
    <w:rsid w:val="43D5709B"/>
    <w:rsid w:val="441E4F36"/>
    <w:rsid w:val="44670B79"/>
    <w:rsid w:val="447C0AC8"/>
    <w:rsid w:val="44C61D43"/>
    <w:rsid w:val="450B7059"/>
    <w:rsid w:val="45120AE5"/>
    <w:rsid w:val="452627E2"/>
    <w:rsid w:val="457E2B59"/>
    <w:rsid w:val="45A57BAB"/>
    <w:rsid w:val="46ED7A5B"/>
    <w:rsid w:val="47027510"/>
    <w:rsid w:val="47665118"/>
    <w:rsid w:val="476F4B55"/>
    <w:rsid w:val="477807E1"/>
    <w:rsid w:val="47DC187E"/>
    <w:rsid w:val="48036E0A"/>
    <w:rsid w:val="4901393F"/>
    <w:rsid w:val="4B2964F6"/>
    <w:rsid w:val="4B2E23F0"/>
    <w:rsid w:val="4BC66ACD"/>
    <w:rsid w:val="4BD765E4"/>
    <w:rsid w:val="4C34594F"/>
    <w:rsid w:val="4D3125AF"/>
    <w:rsid w:val="4D4C3002"/>
    <w:rsid w:val="4DA12790"/>
    <w:rsid w:val="4E30647F"/>
    <w:rsid w:val="4E7F05A4"/>
    <w:rsid w:val="4EB206DF"/>
    <w:rsid w:val="4F0E6F9E"/>
    <w:rsid w:val="4F334479"/>
    <w:rsid w:val="4F714FA1"/>
    <w:rsid w:val="4FB37368"/>
    <w:rsid w:val="4FD33936"/>
    <w:rsid w:val="4FDD0D75"/>
    <w:rsid w:val="5030546B"/>
    <w:rsid w:val="50AA38CF"/>
    <w:rsid w:val="50EC48E0"/>
    <w:rsid w:val="51B01DB1"/>
    <w:rsid w:val="51C25640"/>
    <w:rsid w:val="522400A9"/>
    <w:rsid w:val="542C6FAC"/>
    <w:rsid w:val="544762D1"/>
    <w:rsid w:val="546724CF"/>
    <w:rsid w:val="547B3A4E"/>
    <w:rsid w:val="54813EEE"/>
    <w:rsid w:val="551D2183"/>
    <w:rsid w:val="552C79A0"/>
    <w:rsid w:val="568D26C1"/>
    <w:rsid w:val="58D42A5C"/>
    <w:rsid w:val="593A76A0"/>
    <w:rsid w:val="59B461B6"/>
    <w:rsid w:val="59C75EEA"/>
    <w:rsid w:val="59D625D1"/>
    <w:rsid w:val="59DC574A"/>
    <w:rsid w:val="5ADE2AD2"/>
    <w:rsid w:val="5BA364E3"/>
    <w:rsid w:val="5BD13050"/>
    <w:rsid w:val="5BDF40CB"/>
    <w:rsid w:val="5C2869E8"/>
    <w:rsid w:val="5C3435DF"/>
    <w:rsid w:val="5C5D1364"/>
    <w:rsid w:val="5D1F603D"/>
    <w:rsid w:val="5DE84681"/>
    <w:rsid w:val="5E4A70E9"/>
    <w:rsid w:val="5E4D6FA5"/>
    <w:rsid w:val="5F04417E"/>
    <w:rsid w:val="5F0E6369"/>
    <w:rsid w:val="612031E2"/>
    <w:rsid w:val="61722BDF"/>
    <w:rsid w:val="61C62F2B"/>
    <w:rsid w:val="620D0B5A"/>
    <w:rsid w:val="620D6DAC"/>
    <w:rsid w:val="622F6D22"/>
    <w:rsid w:val="626C4CEF"/>
    <w:rsid w:val="62FF66F4"/>
    <w:rsid w:val="646D0CD2"/>
    <w:rsid w:val="64C73242"/>
    <w:rsid w:val="65E77841"/>
    <w:rsid w:val="663D12E2"/>
    <w:rsid w:val="6796514D"/>
    <w:rsid w:val="67D936E2"/>
    <w:rsid w:val="67E34BF8"/>
    <w:rsid w:val="68544307"/>
    <w:rsid w:val="68946DB7"/>
    <w:rsid w:val="68D26659"/>
    <w:rsid w:val="69A022B3"/>
    <w:rsid w:val="69CC67C3"/>
    <w:rsid w:val="6A0D7FC3"/>
    <w:rsid w:val="6BEB6636"/>
    <w:rsid w:val="6C042FCD"/>
    <w:rsid w:val="6CD02EB0"/>
    <w:rsid w:val="6D364B77"/>
    <w:rsid w:val="6D3B2A1F"/>
    <w:rsid w:val="6DCF760B"/>
    <w:rsid w:val="6DEF7365"/>
    <w:rsid w:val="6E3F209B"/>
    <w:rsid w:val="6E775CD9"/>
    <w:rsid w:val="6EBE3907"/>
    <w:rsid w:val="6EF829D8"/>
    <w:rsid w:val="6F094A29"/>
    <w:rsid w:val="6F822668"/>
    <w:rsid w:val="6FA7614A"/>
    <w:rsid w:val="70930DA5"/>
    <w:rsid w:val="70BA1EAD"/>
    <w:rsid w:val="71A14E1B"/>
    <w:rsid w:val="71B763EC"/>
    <w:rsid w:val="71C15F5C"/>
    <w:rsid w:val="7251715C"/>
    <w:rsid w:val="734B3290"/>
    <w:rsid w:val="73D94D1B"/>
    <w:rsid w:val="73DE5EB2"/>
    <w:rsid w:val="73F41B79"/>
    <w:rsid w:val="757A4300"/>
    <w:rsid w:val="75C6617D"/>
    <w:rsid w:val="76377B66"/>
    <w:rsid w:val="773B6948"/>
    <w:rsid w:val="78C14062"/>
    <w:rsid w:val="798219D5"/>
    <w:rsid w:val="79DF4732"/>
    <w:rsid w:val="79ED4209"/>
    <w:rsid w:val="7A0F3269"/>
    <w:rsid w:val="7A5213A8"/>
    <w:rsid w:val="7B566C76"/>
    <w:rsid w:val="7C2D5C29"/>
    <w:rsid w:val="7C686CB0"/>
    <w:rsid w:val="7C75137E"/>
    <w:rsid w:val="7CFB7AD5"/>
    <w:rsid w:val="7D7B1C64"/>
    <w:rsid w:val="7DB61B33"/>
    <w:rsid w:val="7E7F64E4"/>
    <w:rsid w:val="7FB9242E"/>
    <w:rsid w:val="7FD665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2">
    <w:name w:val="heading 1"/>
    <w:next w:val="1"/>
    <w:link w:val="23"/>
    <w:qFormat/>
    <w:uiPriority w:val="9"/>
    <w:pPr>
      <w:keepNext/>
      <w:keepLines/>
      <w:pageBreakBefore/>
      <w:spacing w:before="100" w:beforeLines="100" w:after="100" w:afterLines="100"/>
      <w:jc w:val="center"/>
      <w:outlineLvl w:val="0"/>
    </w:pPr>
    <w:rPr>
      <w:rFonts w:ascii="方正小标宋简体" w:hAnsi="黑体" w:eastAsia="方正小标宋简体" w:cs="黑体"/>
      <w:color w:val="000000"/>
      <w:kern w:val="2"/>
      <w:sz w:val="36"/>
      <w:szCs w:val="22"/>
      <w:lang w:val="en-US" w:eastAsia="zh-CN" w:bidi="ar-SA"/>
    </w:rPr>
  </w:style>
  <w:style w:type="paragraph" w:styleId="3">
    <w:name w:val="heading 2"/>
    <w:basedOn w:val="1"/>
    <w:next w:val="1"/>
    <w:link w:val="24"/>
    <w:unhideWhenUsed/>
    <w:qFormat/>
    <w:uiPriority w:val="9"/>
    <w:pPr>
      <w:keepNext/>
      <w:keepLines/>
      <w:spacing w:before="120" w:after="120"/>
      <w:ind w:firstLine="0" w:firstLineChars="0"/>
      <w:jc w:val="center"/>
      <w:outlineLvl w:val="1"/>
    </w:pPr>
    <w:rPr>
      <w:rFonts w:ascii="黑体" w:hAnsi="黑体" w:eastAsia="黑体" w:cs="黑体"/>
      <w:color w:val="000000"/>
    </w:rPr>
  </w:style>
  <w:style w:type="paragraph" w:styleId="4">
    <w:name w:val="heading 3"/>
    <w:basedOn w:val="1"/>
    <w:next w:val="1"/>
    <w:link w:val="25"/>
    <w:unhideWhenUsed/>
    <w:qFormat/>
    <w:uiPriority w:val="9"/>
    <w:pPr>
      <w:keepNext/>
      <w:keepLines/>
      <w:numPr>
        <w:ilvl w:val="0"/>
        <w:numId w:val="1"/>
      </w:numPr>
      <w:spacing w:before="120" w:after="120"/>
      <w:ind w:left="198" w:firstLine="641" w:firstLineChars="0"/>
      <w:outlineLvl w:val="2"/>
    </w:pPr>
    <w:rPr>
      <w:rFonts w:eastAsia="楷体_GB2312"/>
      <w:bCs/>
      <w:szCs w:val="32"/>
    </w:rPr>
  </w:style>
  <w:style w:type="paragraph" w:styleId="5">
    <w:name w:val="heading 4"/>
    <w:basedOn w:val="1"/>
    <w:next w:val="1"/>
    <w:link w:val="28"/>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35"/>
    <w:pPr>
      <w:numPr>
        <w:ilvl w:val="0"/>
        <w:numId w:val="2"/>
      </w:numPr>
      <w:tabs>
        <w:tab w:val="left" w:pos="0"/>
      </w:tabs>
      <w:spacing w:line="500" w:lineRule="exact"/>
      <w:ind w:firstLine="0" w:firstLineChars="0"/>
      <w:jc w:val="center"/>
    </w:pPr>
    <w:rPr>
      <w:rFonts w:ascii="黑体" w:hAnsi="黑体" w:eastAsia="黑体" w:cs="黑体"/>
      <w:sz w:val="28"/>
      <w:szCs w:val="30"/>
    </w:rPr>
  </w:style>
  <w:style w:type="paragraph" w:styleId="7">
    <w:name w:val="annotation text"/>
    <w:basedOn w:val="1"/>
    <w:link w:val="26"/>
    <w:semiHidden/>
    <w:unhideWhenUsed/>
    <w:qFormat/>
    <w:uiPriority w:val="99"/>
    <w:pPr>
      <w:jc w:val="left"/>
    </w:pPr>
  </w:style>
  <w:style w:type="paragraph" w:styleId="8">
    <w:name w:val="Balloon Text"/>
    <w:basedOn w:val="1"/>
    <w:link w:val="65"/>
    <w:semiHidden/>
    <w:unhideWhenUsed/>
    <w:qFormat/>
    <w:uiPriority w:val="99"/>
    <w:pPr>
      <w:spacing w:line="240" w:lineRule="auto"/>
    </w:pPr>
    <w:rPr>
      <w:sz w:val="18"/>
      <w:szCs w:val="18"/>
    </w:rPr>
  </w:style>
  <w:style w:type="paragraph" w:styleId="9">
    <w:name w:val="footer"/>
    <w:basedOn w:val="1"/>
    <w:link w:val="31"/>
    <w:unhideWhenUsed/>
    <w:qFormat/>
    <w:uiPriority w:val="99"/>
    <w:pPr>
      <w:widowControl/>
      <w:tabs>
        <w:tab w:val="center" w:pos="4153"/>
        <w:tab w:val="right" w:pos="8306"/>
      </w:tabs>
      <w:adjustRightInd w:val="0"/>
      <w:snapToGrid w:val="0"/>
      <w:spacing w:line="240" w:lineRule="auto"/>
    </w:pPr>
    <w:rPr>
      <w:rFonts w:ascii="仿宋_GB2312" w:hAnsi="仿宋" w:cs="仿宋"/>
      <w:color w:val="000000"/>
      <w:sz w:val="18"/>
      <w:szCs w:val="18"/>
    </w:rPr>
  </w:style>
  <w:style w:type="paragraph" w:styleId="10">
    <w:name w:val="header"/>
    <w:basedOn w:val="1"/>
    <w:link w:val="32"/>
    <w:unhideWhenUsed/>
    <w:qFormat/>
    <w:uiPriority w:val="99"/>
    <w:pPr>
      <w:widowControl/>
      <w:pBdr>
        <w:bottom w:val="single" w:color="auto" w:sz="6" w:space="1"/>
      </w:pBdr>
      <w:tabs>
        <w:tab w:val="center" w:pos="4153"/>
        <w:tab w:val="right" w:pos="8306"/>
      </w:tabs>
      <w:adjustRightInd w:val="0"/>
      <w:snapToGrid w:val="0"/>
      <w:spacing w:line="240" w:lineRule="auto"/>
      <w:jc w:val="center"/>
    </w:pPr>
    <w:rPr>
      <w:rFonts w:ascii="仿宋_GB2312" w:hAnsi="仿宋" w:cs="仿宋"/>
      <w:color w:val="000000"/>
      <w:sz w:val="18"/>
      <w:szCs w:val="18"/>
    </w:rPr>
  </w:style>
  <w:style w:type="paragraph" w:styleId="11">
    <w:name w:val="toc 1"/>
    <w:basedOn w:val="1"/>
    <w:next w:val="1"/>
    <w:unhideWhenUsed/>
    <w:qFormat/>
    <w:uiPriority w:val="39"/>
    <w:pPr>
      <w:tabs>
        <w:tab w:val="right" w:leader="dot" w:pos="8302"/>
      </w:tabs>
      <w:ind w:firstLine="640" w:firstLineChars="0"/>
    </w:pPr>
    <w:rPr>
      <w:rFonts w:eastAsia="黑体" w:asciiTheme="majorHAnsi" w:hAnsiTheme="majorHAnsi"/>
    </w:rPr>
  </w:style>
  <w:style w:type="paragraph" w:styleId="12">
    <w:name w:val="toc 2"/>
    <w:basedOn w:val="1"/>
    <w:next w:val="1"/>
    <w:unhideWhenUsed/>
    <w:qFormat/>
    <w:uiPriority w:val="39"/>
    <w:pPr>
      <w:ind w:left="200" w:leftChars="200"/>
    </w:pPr>
  </w:style>
  <w:style w:type="paragraph" w:styleId="13">
    <w:name w:val="Normal (Web)"/>
    <w:basedOn w:val="1"/>
    <w:unhideWhenUsed/>
    <w:qFormat/>
    <w:uiPriority w:val="99"/>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styleId="14">
    <w:name w:val="annotation subject"/>
    <w:basedOn w:val="7"/>
    <w:next w:val="7"/>
    <w:link w:val="27"/>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paragraph" w:styleId="20">
    <w:name w:val="List Paragraph"/>
    <w:basedOn w:val="1"/>
    <w:qFormat/>
    <w:uiPriority w:val="34"/>
    <w:pPr>
      <w:ind w:firstLine="420"/>
    </w:pPr>
  </w:style>
  <w:style w:type="paragraph" w:customStyle="1" w:styleId="21">
    <w:name w:val="封面"/>
    <w:basedOn w:val="1"/>
    <w:link w:val="22"/>
    <w:qFormat/>
    <w:uiPriority w:val="0"/>
    <w:pPr>
      <w:ind w:firstLine="640"/>
      <w:jc w:val="center"/>
    </w:pPr>
    <w:rPr>
      <w:rFonts w:eastAsia="方正小标宋简体"/>
      <w:sz w:val="52"/>
    </w:rPr>
  </w:style>
  <w:style w:type="character" w:customStyle="1" w:styleId="22">
    <w:name w:val="封面 字符"/>
    <w:basedOn w:val="17"/>
    <w:link w:val="21"/>
    <w:qFormat/>
    <w:uiPriority w:val="0"/>
    <w:rPr>
      <w:rFonts w:ascii="Times New Roman" w:hAnsi="Times New Roman" w:eastAsia="方正小标宋简体"/>
      <w:sz w:val="52"/>
    </w:rPr>
  </w:style>
  <w:style w:type="character" w:customStyle="1" w:styleId="23">
    <w:name w:val="标题 1 字符"/>
    <w:basedOn w:val="17"/>
    <w:link w:val="2"/>
    <w:qFormat/>
    <w:uiPriority w:val="9"/>
    <w:rPr>
      <w:rFonts w:ascii="方正小标宋简体" w:hAnsi="黑体" w:eastAsia="方正小标宋简体" w:cs="黑体"/>
      <w:color w:val="000000"/>
      <w:sz w:val="36"/>
    </w:rPr>
  </w:style>
  <w:style w:type="character" w:customStyle="1" w:styleId="24">
    <w:name w:val="标题 2 字符"/>
    <w:basedOn w:val="17"/>
    <w:link w:val="3"/>
    <w:qFormat/>
    <w:uiPriority w:val="9"/>
    <w:rPr>
      <w:rFonts w:ascii="黑体" w:hAnsi="黑体" w:eastAsia="黑体" w:cs="黑体"/>
      <w:color w:val="000000"/>
      <w:sz w:val="32"/>
    </w:rPr>
  </w:style>
  <w:style w:type="character" w:customStyle="1" w:styleId="25">
    <w:name w:val="标题 3 字符"/>
    <w:basedOn w:val="17"/>
    <w:link w:val="4"/>
    <w:qFormat/>
    <w:uiPriority w:val="9"/>
    <w:rPr>
      <w:rFonts w:eastAsia="楷体_GB2312" w:cstheme="minorBidi"/>
      <w:bCs/>
      <w:kern w:val="2"/>
      <w:sz w:val="32"/>
      <w:szCs w:val="32"/>
    </w:rPr>
  </w:style>
  <w:style w:type="character" w:customStyle="1" w:styleId="26">
    <w:name w:val="批注文字 字符"/>
    <w:basedOn w:val="17"/>
    <w:link w:val="7"/>
    <w:semiHidden/>
    <w:qFormat/>
    <w:uiPriority w:val="99"/>
    <w:rPr>
      <w:rFonts w:ascii="Times New Roman" w:hAnsi="Times New Roman" w:eastAsia="仿宋_GB2312"/>
      <w:sz w:val="32"/>
    </w:rPr>
  </w:style>
  <w:style w:type="character" w:customStyle="1" w:styleId="27">
    <w:name w:val="批注主题 字符"/>
    <w:basedOn w:val="26"/>
    <w:link w:val="14"/>
    <w:semiHidden/>
    <w:qFormat/>
    <w:uiPriority w:val="99"/>
    <w:rPr>
      <w:rFonts w:ascii="Times New Roman" w:hAnsi="Times New Roman" w:eastAsia="仿宋_GB2312"/>
      <w:b/>
      <w:bCs/>
      <w:sz w:val="32"/>
    </w:rPr>
  </w:style>
  <w:style w:type="character" w:customStyle="1" w:styleId="28">
    <w:name w:val="标题 4 字符"/>
    <w:basedOn w:val="17"/>
    <w:link w:val="5"/>
    <w:qFormat/>
    <w:uiPriority w:val="9"/>
    <w:rPr>
      <w:rFonts w:asciiTheme="majorHAnsi" w:hAnsiTheme="majorHAnsi" w:eastAsiaTheme="majorEastAsia" w:cstheme="majorBidi"/>
      <w:b/>
      <w:bCs/>
      <w:sz w:val="28"/>
      <w:szCs w:val="28"/>
    </w:rPr>
  </w:style>
  <w:style w:type="table" w:customStyle="1" w:styleId="29">
    <w:name w:val="Table Normal"/>
    <w:semiHidden/>
    <w:unhideWhenUsed/>
    <w:qFormat/>
    <w:uiPriority w:val="2"/>
    <w:pPr>
      <w:widowControl w:val="0"/>
    </w:pPr>
    <w:rPr>
      <w:sz w:val="22"/>
      <w:lang w:eastAsia="en-US"/>
    </w:rPr>
    <w:tblPr>
      <w:tblCellMar>
        <w:top w:w="0" w:type="dxa"/>
        <w:left w:w="0" w:type="dxa"/>
        <w:bottom w:w="0" w:type="dxa"/>
        <w:right w:w="0" w:type="dxa"/>
      </w:tblCellMar>
    </w:tblPr>
  </w:style>
  <w:style w:type="paragraph" w:customStyle="1" w:styleId="30">
    <w:name w:val="Table Paragraph"/>
    <w:basedOn w:val="1"/>
    <w:qFormat/>
    <w:uiPriority w:val="1"/>
    <w:pPr>
      <w:spacing w:line="240" w:lineRule="auto"/>
      <w:ind w:firstLine="0" w:firstLineChars="0"/>
      <w:jc w:val="left"/>
    </w:pPr>
    <w:rPr>
      <w:rFonts w:asciiTheme="minorHAnsi" w:hAnsiTheme="minorHAnsi" w:eastAsiaTheme="minorEastAsia"/>
      <w:kern w:val="0"/>
      <w:sz w:val="22"/>
      <w:lang w:eastAsia="en-US"/>
    </w:rPr>
  </w:style>
  <w:style w:type="character" w:customStyle="1" w:styleId="31">
    <w:name w:val="页脚 字符"/>
    <w:basedOn w:val="17"/>
    <w:link w:val="9"/>
    <w:qFormat/>
    <w:uiPriority w:val="99"/>
    <w:rPr>
      <w:rFonts w:ascii="仿宋_GB2312" w:hAnsi="仿宋" w:eastAsia="仿宋_GB2312" w:cs="仿宋"/>
      <w:color w:val="000000"/>
      <w:sz w:val="18"/>
      <w:szCs w:val="18"/>
    </w:rPr>
  </w:style>
  <w:style w:type="character" w:customStyle="1" w:styleId="32">
    <w:name w:val="页眉 字符"/>
    <w:basedOn w:val="17"/>
    <w:link w:val="10"/>
    <w:qFormat/>
    <w:uiPriority w:val="99"/>
    <w:rPr>
      <w:rFonts w:ascii="仿宋_GB2312" w:hAnsi="仿宋" w:eastAsia="仿宋_GB2312" w:cs="仿宋"/>
      <w:color w:val="000000"/>
      <w:sz w:val="18"/>
      <w:szCs w:val="18"/>
    </w:rPr>
  </w:style>
  <w:style w:type="paragraph" w:customStyle="1" w:styleId="33">
    <w:name w:val="font7"/>
    <w:basedOn w:val="1"/>
    <w:qFormat/>
    <w:uiPriority w:val="0"/>
    <w:pPr>
      <w:widowControl/>
      <w:adjustRightInd w:val="0"/>
      <w:snapToGrid w:val="0"/>
      <w:spacing w:before="100" w:beforeAutospacing="1" w:after="100" w:afterAutospacing="1" w:line="240" w:lineRule="auto"/>
      <w:ind w:firstLine="0" w:firstLineChars="0"/>
      <w:jc w:val="left"/>
    </w:pPr>
    <w:rPr>
      <w:rFonts w:ascii="宋体" w:hAnsi="宋体" w:eastAsia="宋体" w:cs="宋体"/>
      <w:kern w:val="0"/>
      <w:sz w:val="21"/>
      <w:szCs w:val="21"/>
    </w:rPr>
  </w:style>
  <w:style w:type="paragraph" w:customStyle="1" w:styleId="34">
    <w:name w:val="专栏正文"/>
    <w:basedOn w:val="1"/>
    <w:link w:val="35"/>
    <w:qFormat/>
    <w:uiPriority w:val="0"/>
    <w:pPr>
      <w:widowControl/>
      <w:adjustRightInd w:val="0"/>
      <w:snapToGrid w:val="0"/>
      <w:spacing w:line="240" w:lineRule="auto"/>
      <w:jc w:val="left"/>
    </w:pPr>
    <w:rPr>
      <w:sz w:val="24"/>
      <w:szCs w:val="20"/>
    </w:rPr>
  </w:style>
  <w:style w:type="character" w:customStyle="1" w:styleId="35">
    <w:name w:val="专栏正文 字符"/>
    <w:basedOn w:val="17"/>
    <w:link w:val="34"/>
    <w:qFormat/>
    <w:uiPriority w:val="0"/>
    <w:rPr>
      <w:rFonts w:ascii="Times New Roman" w:hAnsi="Times New Roman" w:eastAsia="仿宋_GB2312"/>
      <w:sz w:val="24"/>
      <w:szCs w:val="20"/>
    </w:rPr>
  </w:style>
  <w:style w:type="table" w:customStyle="1" w:styleId="36">
    <w:name w:val="网格型1"/>
    <w:basedOn w:val="15"/>
    <w:qFormat/>
    <w:uiPriority w:val="39"/>
    <w:rPr>
      <w:rFonts w:ascii="等线" w:hAnsi="等线" w:eastAsia="等线" w:cs="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7">
    <w:name w:val="font11"/>
    <w:basedOn w:val="17"/>
    <w:qFormat/>
    <w:uiPriority w:val="0"/>
    <w:rPr>
      <w:rFonts w:hint="eastAsia" w:ascii="仿宋" w:hAnsi="仿宋" w:eastAsia="仿宋" w:cs="仿宋"/>
      <w:b/>
      <w:bCs/>
      <w:color w:val="000000"/>
      <w:sz w:val="21"/>
      <w:szCs w:val="21"/>
      <w:u w:val="none"/>
    </w:rPr>
  </w:style>
  <w:style w:type="character" w:customStyle="1" w:styleId="38">
    <w:name w:val="font21"/>
    <w:basedOn w:val="17"/>
    <w:qFormat/>
    <w:uiPriority w:val="0"/>
    <w:rPr>
      <w:rFonts w:hint="eastAsia" w:ascii="仿宋" w:hAnsi="仿宋" w:eastAsia="仿宋" w:cs="仿宋"/>
      <w:color w:val="000000"/>
      <w:sz w:val="21"/>
      <w:szCs w:val="21"/>
      <w:u w:val="none"/>
    </w:rPr>
  </w:style>
  <w:style w:type="paragraph" w:customStyle="1" w:styleId="39">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 w:type="character" w:customStyle="1" w:styleId="40">
    <w:name w:val="font41"/>
    <w:basedOn w:val="17"/>
    <w:qFormat/>
    <w:uiPriority w:val="0"/>
    <w:rPr>
      <w:rFonts w:hint="eastAsia" w:ascii="仿宋_GB2312" w:eastAsia="仿宋_GB2312" w:cs="仿宋_GB2312"/>
      <w:color w:val="000000"/>
      <w:sz w:val="20"/>
      <w:szCs w:val="20"/>
      <w:u w:val="none"/>
    </w:rPr>
  </w:style>
  <w:style w:type="paragraph" w:customStyle="1" w:styleId="41">
    <w:name w:val="msonormal"/>
    <w:basedOn w:val="1"/>
    <w:qFormat/>
    <w:uiPriority w:val="0"/>
    <w:pPr>
      <w:widowControl/>
      <w:spacing w:before="100" w:beforeAutospacing="1" w:after="100" w:afterAutospacing="1" w:line="240" w:lineRule="auto"/>
      <w:ind w:firstLine="0" w:firstLineChars="0"/>
      <w:jc w:val="left"/>
    </w:pPr>
    <w:rPr>
      <w:rFonts w:ascii="宋体" w:hAnsi="宋体" w:eastAsia="宋体" w:cs="宋体"/>
      <w:kern w:val="0"/>
      <w:sz w:val="24"/>
      <w:szCs w:val="24"/>
    </w:rPr>
  </w:style>
  <w:style w:type="paragraph" w:customStyle="1" w:styleId="42">
    <w:name w:val="font0"/>
    <w:basedOn w:val="1"/>
    <w:qFormat/>
    <w:uiPriority w:val="0"/>
    <w:pPr>
      <w:widowControl/>
      <w:spacing w:before="100" w:beforeAutospacing="1" w:after="100" w:afterAutospacing="1" w:line="240" w:lineRule="auto"/>
      <w:ind w:firstLine="0" w:firstLineChars="0"/>
      <w:jc w:val="left"/>
    </w:pPr>
    <w:rPr>
      <w:rFonts w:ascii="宋体" w:hAnsi="宋体" w:eastAsia="宋体" w:cs="宋体"/>
      <w:color w:val="000000"/>
      <w:kern w:val="0"/>
      <w:sz w:val="22"/>
    </w:rPr>
  </w:style>
  <w:style w:type="paragraph" w:customStyle="1" w:styleId="43">
    <w:name w:val="font1"/>
    <w:basedOn w:val="1"/>
    <w:qFormat/>
    <w:uiPriority w:val="0"/>
    <w:pPr>
      <w:widowControl/>
      <w:spacing w:before="100" w:beforeAutospacing="1" w:after="100" w:afterAutospacing="1" w:line="240" w:lineRule="auto"/>
      <w:ind w:firstLine="0" w:firstLineChars="0"/>
      <w:jc w:val="left"/>
    </w:pPr>
    <w:rPr>
      <w:rFonts w:ascii="仿宋_GB2312" w:hAnsi="宋体" w:cs="宋体"/>
      <w:b/>
      <w:bCs/>
      <w:color w:val="000000"/>
      <w:kern w:val="0"/>
      <w:sz w:val="20"/>
      <w:szCs w:val="20"/>
    </w:rPr>
  </w:style>
  <w:style w:type="paragraph" w:customStyle="1" w:styleId="44">
    <w:name w:val="font2"/>
    <w:basedOn w:val="1"/>
    <w:qFormat/>
    <w:uiPriority w:val="0"/>
    <w:pPr>
      <w:widowControl/>
      <w:spacing w:before="100" w:beforeAutospacing="1" w:after="100" w:afterAutospacing="1" w:line="240" w:lineRule="auto"/>
      <w:ind w:firstLine="0" w:firstLineChars="0"/>
      <w:jc w:val="left"/>
    </w:pPr>
    <w:rPr>
      <w:rFonts w:ascii="仿宋" w:hAnsi="仿宋" w:eastAsia="仿宋" w:cs="宋体"/>
      <w:color w:val="000000"/>
      <w:kern w:val="0"/>
      <w:sz w:val="21"/>
      <w:szCs w:val="21"/>
    </w:rPr>
  </w:style>
  <w:style w:type="paragraph" w:customStyle="1" w:styleId="45">
    <w:name w:val="font3"/>
    <w:basedOn w:val="1"/>
    <w:qFormat/>
    <w:uiPriority w:val="0"/>
    <w:pPr>
      <w:widowControl/>
      <w:spacing w:before="100" w:beforeAutospacing="1" w:after="100" w:afterAutospacing="1" w:line="240" w:lineRule="auto"/>
      <w:ind w:firstLine="0" w:firstLineChars="0"/>
      <w:jc w:val="left"/>
    </w:pPr>
    <w:rPr>
      <w:rFonts w:ascii="仿宋_GB2312" w:hAnsi="宋体" w:cs="宋体"/>
      <w:color w:val="000000"/>
      <w:kern w:val="0"/>
      <w:sz w:val="20"/>
      <w:szCs w:val="20"/>
    </w:rPr>
  </w:style>
  <w:style w:type="paragraph" w:customStyle="1" w:styleId="46">
    <w:name w:val="font4"/>
    <w:basedOn w:val="1"/>
    <w:qFormat/>
    <w:uiPriority w:val="0"/>
    <w:pPr>
      <w:widowControl/>
      <w:spacing w:before="100" w:beforeAutospacing="1" w:after="100" w:afterAutospacing="1" w:line="240" w:lineRule="auto"/>
      <w:ind w:firstLine="0" w:firstLineChars="0"/>
      <w:jc w:val="left"/>
    </w:pPr>
    <w:rPr>
      <w:rFonts w:ascii="仿宋_GB2312" w:hAnsi="宋体" w:cs="宋体"/>
      <w:color w:val="FF0000"/>
      <w:kern w:val="0"/>
      <w:sz w:val="20"/>
      <w:szCs w:val="20"/>
    </w:rPr>
  </w:style>
  <w:style w:type="paragraph" w:customStyle="1" w:styleId="47">
    <w:name w:val="font5"/>
    <w:basedOn w:val="1"/>
    <w:qFormat/>
    <w:uiPriority w:val="0"/>
    <w:pPr>
      <w:widowControl/>
      <w:spacing w:before="100" w:beforeAutospacing="1" w:after="100" w:afterAutospacing="1" w:line="240" w:lineRule="auto"/>
      <w:ind w:firstLine="0" w:firstLineChars="0"/>
      <w:jc w:val="left"/>
    </w:pPr>
    <w:rPr>
      <w:rFonts w:ascii="黑体" w:hAnsi="黑体" w:eastAsia="黑体" w:cs="宋体"/>
      <w:color w:val="000000"/>
      <w:kern w:val="0"/>
      <w:sz w:val="24"/>
      <w:szCs w:val="24"/>
    </w:rPr>
  </w:style>
  <w:style w:type="paragraph" w:customStyle="1" w:styleId="48">
    <w:name w:val="et2"/>
    <w:basedOn w:val="1"/>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49">
    <w:name w:val="et3"/>
    <w:basedOn w:val="1"/>
    <w:qFormat/>
    <w:uiPriority w:val="0"/>
    <w:pPr>
      <w:widowControl/>
      <w:pBdr>
        <w:top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0">
    <w:name w:val="et4"/>
    <w:basedOn w:val="1"/>
    <w:qFormat/>
    <w:uiPriority w:val="0"/>
    <w:pPr>
      <w:widowControl/>
      <w:pBdr>
        <w:top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1">
    <w:name w:val="et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b/>
      <w:bCs/>
      <w:kern w:val="0"/>
      <w:sz w:val="20"/>
      <w:szCs w:val="20"/>
    </w:rPr>
  </w:style>
  <w:style w:type="paragraph" w:customStyle="1" w:styleId="52">
    <w:name w:val="et6"/>
    <w:basedOn w:val="1"/>
    <w:qFormat/>
    <w:uiPriority w:val="0"/>
    <w:pPr>
      <w:widowControl/>
      <w:pBdr>
        <w:left w:val="single" w:color="000000" w:sz="8" w:space="0"/>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3">
    <w:name w:val="et7"/>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4">
    <w:name w:val="et8"/>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5">
    <w:name w:val="et9"/>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仿宋" w:hAnsi="仿宋" w:eastAsia="仿宋" w:cs="宋体"/>
      <w:kern w:val="0"/>
      <w:sz w:val="21"/>
      <w:szCs w:val="21"/>
    </w:rPr>
  </w:style>
  <w:style w:type="paragraph" w:customStyle="1" w:styleId="56">
    <w:name w:val="et10"/>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pPr>
    <w:rPr>
      <w:rFonts w:ascii="仿宋" w:hAnsi="仿宋" w:eastAsia="仿宋" w:cs="宋体"/>
      <w:kern w:val="0"/>
      <w:sz w:val="21"/>
      <w:szCs w:val="21"/>
    </w:rPr>
  </w:style>
  <w:style w:type="paragraph" w:customStyle="1" w:styleId="57">
    <w:name w:val="et11"/>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 w:hAnsi="仿宋" w:eastAsia="仿宋" w:cs="宋体"/>
      <w:kern w:val="0"/>
      <w:sz w:val="21"/>
      <w:szCs w:val="21"/>
    </w:rPr>
  </w:style>
  <w:style w:type="paragraph" w:customStyle="1" w:styleId="58">
    <w:name w:val="et13"/>
    <w:basedOn w:val="1"/>
    <w:qFormat/>
    <w:uiPriority w:val="0"/>
    <w:pPr>
      <w:widowControl/>
      <w:pBdr>
        <w:right w:val="single" w:color="000000" w:sz="8" w:space="0"/>
      </w:pBdr>
      <w:spacing w:before="100" w:beforeAutospacing="1" w:after="100" w:afterAutospacing="1" w:line="240" w:lineRule="auto"/>
      <w:ind w:firstLine="0" w:firstLineChars="0"/>
      <w:jc w:val="center"/>
    </w:pPr>
    <w:rPr>
      <w:rFonts w:ascii="仿宋_GB2312" w:hAnsi="宋体" w:cs="宋体"/>
      <w:color w:val="000000"/>
      <w:kern w:val="0"/>
      <w:sz w:val="20"/>
      <w:szCs w:val="20"/>
    </w:rPr>
  </w:style>
  <w:style w:type="paragraph" w:customStyle="1" w:styleId="59">
    <w:name w:val="et14"/>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pPr>
    <w:rPr>
      <w:rFonts w:ascii="仿宋_GB2312" w:hAnsi="宋体" w:cs="宋体"/>
      <w:color w:val="FF0000"/>
      <w:kern w:val="0"/>
      <w:sz w:val="20"/>
      <w:szCs w:val="20"/>
    </w:rPr>
  </w:style>
  <w:style w:type="paragraph" w:customStyle="1" w:styleId="60">
    <w:name w:val="et15"/>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left"/>
    </w:pPr>
    <w:rPr>
      <w:rFonts w:ascii="仿宋" w:hAnsi="仿宋" w:eastAsia="仿宋" w:cs="宋体"/>
      <w:kern w:val="0"/>
      <w:sz w:val="21"/>
      <w:szCs w:val="21"/>
    </w:rPr>
  </w:style>
  <w:style w:type="paragraph" w:customStyle="1" w:styleId="61">
    <w:name w:val="et16"/>
    <w:basedOn w:val="1"/>
    <w:qFormat/>
    <w:uiPriority w:val="0"/>
    <w:pPr>
      <w:widowControl/>
      <w:pBdr>
        <w:bottom w:val="single" w:color="000000" w:sz="8" w:space="0"/>
        <w:right w:val="single" w:color="000000" w:sz="8" w:space="0"/>
      </w:pBdr>
      <w:spacing w:before="100" w:beforeAutospacing="1" w:after="100" w:afterAutospacing="1" w:line="240" w:lineRule="auto"/>
      <w:ind w:firstLine="0" w:firstLineChars="0"/>
      <w:jc w:val="center"/>
      <w:textAlignment w:val="top"/>
    </w:pPr>
    <w:rPr>
      <w:rFonts w:ascii="黑体" w:hAnsi="黑体" w:eastAsia="黑体" w:cs="宋体"/>
      <w:color w:val="000000"/>
      <w:kern w:val="0"/>
      <w:sz w:val="24"/>
      <w:szCs w:val="24"/>
    </w:rPr>
  </w:style>
  <w:style w:type="character" w:customStyle="1" w:styleId="62">
    <w:name w:val="font31"/>
    <w:basedOn w:val="17"/>
    <w:qFormat/>
    <w:uiPriority w:val="0"/>
    <w:rPr>
      <w:rFonts w:hint="eastAsia" w:ascii="仿宋_GB2312" w:eastAsia="仿宋_GB2312"/>
      <w:color w:val="000000"/>
      <w:sz w:val="20"/>
      <w:szCs w:val="20"/>
      <w:u w:val="none"/>
    </w:rPr>
  </w:style>
  <w:style w:type="paragraph" w:customStyle="1" w:styleId="63">
    <w:name w:val="修订1"/>
    <w:hidden/>
    <w:unhideWhenUsed/>
    <w:qFormat/>
    <w:uiPriority w:val="99"/>
    <w:rPr>
      <w:rFonts w:ascii="Times New Roman" w:hAnsi="Times New Roman" w:eastAsia="仿宋_GB2312" w:cstheme="minorBidi"/>
      <w:kern w:val="2"/>
      <w:sz w:val="32"/>
      <w:szCs w:val="22"/>
      <w:lang w:val="en-US" w:eastAsia="zh-CN" w:bidi="ar-SA"/>
    </w:rPr>
  </w:style>
  <w:style w:type="paragraph" w:customStyle="1" w:styleId="64">
    <w:name w:val="修订2"/>
    <w:hidden/>
    <w:unhideWhenUsed/>
    <w:qFormat/>
    <w:uiPriority w:val="99"/>
    <w:rPr>
      <w:rFonts w:ascii="Times New Roman" w:hAnsi="Times New Roman" w:eastAsia="仿宋_GB2312" w:cstheme="minorBidi"/>
      <w:kern w:val="2"/>
      <w:sz w:val="32"/>
      <w:szCs w:val="22"/>
      <w:lang w:val="en-US" w:eastAsia="zh-CN" w:bidi="ar-SA"/>
    </w:rPr>
  </w:style>
  <w:style w:type="character" w:customStyle="1" w:styleId="65">
    <w:name w:val="批注框文本 字符"/>
    <w:basedOn w:val="17"/>
    <w:link w:val="8"/>
    <w:semiHidden/>
    <w:qFormat/>
    <w:uiPriority w:val="99"/>
    <w:rPr>
      <w:rFonts w:eastAsia="仿宋_GB2312"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1D9958-174E-4B28-9D5E-8AB03C7D60E8}">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7113</Words>
  <Characters>7403</Characters>
  <Lines>362</Lines>
  <Paragraphs>102</Paragraphs>
  <TotalTime>41</TotalTime>
  <ScaleCrop>false</ScaleCrop>
  <LinksUpToDate>false</LinksUpToDate>
  <CharactersWithSpaces>7454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2024-12-02T05:51:00Z</dcterms:created>
  <dc:creator>zxn</dc:creator>
  <cp:lastModifiedBy>杨起</cp:lastModifiedBy>
  <cp:lastPrinted>2025-06-03T10:34:00Z</cp:lastPrinted>
  <dcterms:modified xsi:type="dcterms:W3CDTF">2026-03-24T07:25:46Z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575E712926BD44D7A3997C0C18DD68EC_13</vt:lpwstr>
  </property>
  <property fmtid="{D5CDD505-2E9C-101B-9397-08002B2CF9AE}" pid="4" name="KSOTemplateDocerSaveRecord">
    <vt:lpwstr>eyJoZGlkIjoiOGQzMDYwYTU2NDdjMDE1YjIxNmRiZGU2ZDFkZmVlNmYiLCJ1c2VySWQiOiIxNDkzNjE0MzUyIn0=</vt:lpwstr>
  </property>
</Properties>
</file>