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24146">
      <w:pPr>
        <w:pStyle w:val="57"/>
        <w:rPr>
          <w:rFonts w:hint="eastAsia"/>
        </w:rPr>
      </w:pPr>
    </w:p>
    <w:p w14:paraId="663EDDA3">
      <w:pPr>
        <w:spacing w:line="240" w:lineRule="auto"/>
        <w:ind w:firstLine="0" w:firstLineChars="0"/>
        <w:jc w:val="center"/>
        <w:rPr>
          <w:rFonts w:hint="eastAsia" w:ascii="方正小标宋_GBK" w:hAnsi="方正小标宋_GBK" w:eastAsia="方正小标宋_GBK" w:cstheme="minorBidi"/>
          <w:kern w:val="0"/>
          <w:sz w:val="52"/>
          <w:szCs w:val="52"/>
        </w:rPr>
      </w:pPr>
    </w:p>
    <w:p w14:paraId="14C9B3CC">
      <w:pPr>
        <w:spacing w:line="240" w:lineRule="auto"/>
        <w:ind w:firstLine="0" w:firstLineChars="0"/>
        <w:jc w:val="center"/>
        <w:rPr>
          <w:rFonts w:hint="eastAsia" w:ascii="方正小标宋_GBK" w:hAnsi="方正小标宋_GBK" w:eastAsia="方正小标宋_GBK" w:cstheme="minorBidi"/>
          <w:kern w:val="0"/>
          <w:sz w:val="52"/>
          <w:szCs w:val="52"/>
        </w:rPr>
      </w:pPr>
    </w:p>
    <w:p w14:paraId="31164BB7">
      <w:pPr>
        <w:spacing w:line="240" w:lineRule="auto"/>
        <w:ind w:firstLine="0" w:firstLineChars="0"/>
        <w:jc w:val="both"/>
        <w:rPr>
          <w:rFonts w:hint="eastAsia" w:ascii="方正小标宋_GBK" w:hAnsi="方正小标宋_GBK" w:eastAsia="方正小标宋_GBK" w:cs="方正小标宋_GBK"/>
          <w:kern w:val="0"/>
          <w:sz w:val="52"/>
          <w:szCs w:val="52"/>
        </w:rPr>
      </w:pPr>
    </w:p>
    <w:p w14:paraId="6449D723">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桓仁满族自治县沙尖子镇国土空间总体规划</w:t>
      </w:r>
    </w:p>
    <w:p w14:paraId="7FCF4456">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4D7D834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322850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E561A89">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844CE11">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2A222E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1224273">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A5C0EA5">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08AA93C1">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2F3155A">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1286E70E">
      <w:pPr>
        <w:spacing w:line="240" w:lineRule="auto"/>
        <w:ind w:firstLine="0" w:firstLineChars="0"/>
        <w:jc w:val="center"/>
        <w:rPr>
          <w:rFonts w:eastAsia="楷体_GB2312"/>
          <w:szCs w:val="32"/>
        </w:rPr>
      </w:pPr>
    </w:p>
    <w:p w14:paraId="5C5AB0E4">
      <w:pPr>
        <w:spacing w:line="240" w:lineRule="auto"/>
        <w:ind w:firstLine="0" w:firstLineChars="0"/>
        <w:rPr>
          <w:rFonts w:eastAsia="楷体_GB2312"/>
          <w:szCs w:val="32"/>
        </w:rPr>
      </w:pPr>
    </w:p>
    <w:p w14:paraId="1E410C7F">
      <w:pPr>
        <w:spacing w:line="240" w:lineRule="auto"/>
        <w:ind w:firstLine="0" w:firstLineChars="0"/>
        <w:rPr>
          <w:rFonts w:eastAsia="楷体_GB2312"/>
          <w:szCs w:val="32"/>
        </w:rPr>
      </w:pPr>
    </w:p>
    <w:p w14:paraId="40892CAB">
      <w:pPr>
        <w:spacing w:line="240" w:lineRule="auto"/>
        <w:ind w:firstLine="0" w:firstLineChars="0"/>
        <w:rPr>
          <w:rFonts w:eastAsia="楷体_GB2312"/>
          <w:szCs w:val="32"/>
        </w:rPr>
      </w:pPr>
    </w:p>
    <w:p w14:paraId="69836F5D">
      <w:pPr>
        <w:spacing w:line="240" w:lineRule="auto"/>
        <w:ind w:firstLine="0" w:firstLineChars="0"/>
        <w:rPr>
          <w:rFonts w:eastAsia="楷体_GB2312"/>
          <w:szCs w:val="32"/>
        </w:rPr>
      </w:pPr>
    </w:p>
    <w:p w14:paraId="72543B6B">
      <w:pPr>
        <w:spacing w:line="240" w:lineRule="auto"/>
        <w:ind w:firstLine="0" w:firstLineChars="0"/>
        <w:rPr>
          <w:rFonts w:eastAsia="楷体_GB2312"/>
          <w:szCs w:val="32"/>
        </w:rPr>
      </w:pPr>
    </w:p>
    <w:p w14:paraId="247862A5">
      <w:pPr>
        <w:spacing w:line="240" w:lineRule="auto"/>
        <w:ind w:firstLine="0" w:firstLineChars="0"/>
        <w:rPr>
          <w:rFonts w:eastAsia="楷体_GB2312"/>
          <w:szCs w:val="32"/>
        </w:rPr>
      </w:pPr>
    </w:p>
    <w:p w14:paraId="396D27A3">
      <w:pPr>
        <w:spacing w:line="240" w:lineRule="auto"/>
        <w:ind w:firstLine="0" w:firstLineChars="0"/>
        <w:rPr>
          <w:rFonts w:eastAsia="楷体_GB2312"/>
          <w:szCs w:val="32"/>
        </w:rPr>
      </w:pPr>
    </w:p>
    <w:p w14:paraId="2B966DEF">
      <w:pPr>
        <w:spacing w:line="240" w:lineRule="auto"/>
        <w:ind w:firstLine="0" w:firstLineChars="0"/>
        <w:rPr>
          <w:rFonts w:eastAsia="楷体_GB2312"/>
          <w:szCs w:val="32"/>
        </w:rPr>
      </w:pPr>
    </w:p>
    <w:p w14:paraId="45043BDF">
      <w:pPr>
        <w:spacing w:line="240" w:lineRule="auto"/>
        <w:ind w:firstLine="0" w:firstLineChars="0"/>
        <w:jc w:val="center"/>
        <w:rPr>
          <w:rFonts w:eastAsia="楷体_GB2312"/>
          <w:b/>
          <w:bCs/>
          <w:szCs w:val="32"/>
        </w:rPr>
      </w:pPr>
      <w:r>
        <w:rPr>
          <w:rFonts w:hint="eastAsia" w:eastAsia="楷体_GB2312"/>
          <w:b/>
          <w:bCs/>
          <w:szCs w:val="32"/>
        </w:rPr>
        <w:t>沙尖子镇人民政府</w:t>
      </w:r>
    </w:p>
    <w:p w14:paraId="4E79AFE1">
      <w:pPr>
        <w:spacing w:line="240" w:lineRule="auto"/>
        <w:ind w:firstLine="0" w:firstLineChars="0"/>
        <w:jc w:val="center"/>
        <w:rPr>
          <w:rFonts w:hint="eastAsia" w:ascii="微软雅黑" w:hAnsi="微软雅黑" w:eastAsia="微软雅黑" w:cs="微软雅黑"/>
          <w:sz w:val="24"/>
          <w:szCs w:val="32"/>
        </w:rPr>
      </w:pPr>
      <w:r>
        <w:rPr>
          <w:rFonts w:hint="eastAsia" w:eastAsia="楷体_GB2312"/>
          <w:b/>
          <w:bCs/>
          <w:szCs w:val="32"/>
        </w:rPr>
        <w:t>2025年12月</w:t>
      </w:r>
    </w:p>
    <w:p w14:paraId="2D5D2AB9">
      <w:pPr>
        <w:adjustRightInd/>
        <w:snapToGrid/>
        <w:spacing w:line="240" w:lineRule="auto"/>
        <w:ind w:firstLine="0" w:firstLineChars="0"/>
        <w:jc w:val="left"/>
        <w:rPr>
          <w:rFonts w:hint="eastAsia" w:ascii="宋体" w:hAnsi="宋体" w:eastAsia="宋体" w:cs="宋体"/>
          <w:b/>
          <w:bCs/>
          <w:kern w:val="0"/>
          <w:sz w:val="21"/>
          <w:szCs w:val="21"/>
        </w:rPr>
      </w:pPr>
    </w:p>
    <w:p w14:paraId="6A3CC8D5">
      <w:pPr>
        <w:pStyle w:val="57"/>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91" w:right="1809" w:bottom="991" w:left="1800" w:header="720" w:footer="992" w:gutter="0"/>
          <w:cols w:space="720" w:num="1"/>
          <w:titlePg/>
          <w:docGrid w:linePitch="435" w:charSpace="0"/>
        </w:sectPr>
      </w:pPr>
    </w:p>
    <w:p w14:paraId="38F1741D">
      <w:pPr>
        <w:pStyle w:val="57"/>
        <w:rPr>
          <w:rFonts w:hint="eastAsia"/>
        </w:rPr>
      </w:pPr>
    </w:p>
    <w:p w14:paraId="2200431F">
      <w:pPr>
        <w:spacing w:line="240" w:lineRule="auto"/>
        <w:ind w:firstLine="0" w:firstLineChars="0"/>
        <w:jc w:val="center"/>
        <w:rPr>
          <w:rFonts w:hint="eastAsia" w:ascii="方正小标宋_GBK" w:hAnsi="方正小标宋_GBK" w:eastAsia="方正小标宋_GBK" w:cstheme="minorBidi"/>
          <w:kern w:val="0"/>
          <w:sz w:val="52"/>
          <w:szCs w:val="52"/>
        </w:rPr>
      </w:pPr>
    </w:p>
    <w:p w14:paraId="7F1BB3C8">
      <w:pPr>
        <w:spacing w:line="240" w:lineRule="auto"/>
        <w:ind w:firstLine="0" w:firstLineChars="0"/>
        <w:jc w:val="center"/>
        <w:rPr>
          <w:rFonts w:hint="eastAsia" w:ascii="方正小标宋_GBK" w:hAnsi="方正小标宋_GBK" w:eastAsia="方正小标宋_GBK" w:cstheme="minorBidi"/>
          <w:kern w:val="0"/>
          <w:sz w:val="52"/>
          <w:szCs w:val="52"/>
        </w:rPr>
      </w:pPr>
    </w:p>
    <w:p w14:paraId="64CCF059">
      <w:pPr>
        <w:spacing w:line="240" w:lineRule="auto"/>
        <w:ind w:firstLine="0" w:firstLineChars="0"/>
        <w:jc w:val="center"/>
        <w:rPr>
          <w:rFonts w:hint="eastAsia" w:ascii="方正小标宋简体" w:hAnsi="方正小标宋简体" w:eastAsia="方正小标宋简体" w:cs="方正小标宋简体"/>
          <w:kern w:val="0"/>
          <w:sz w:val="52"/>
          <w:szCs w:val="52"/>
        </w:rPr>
      </w:pPr>
    </w:p>
    <w:p w14:paraId="59E33D3D">
      <w:pPr>
        <w:widowControl w:val="0"/>
        <w:adjustRightInd/>
        <w:snapToGrid/>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桓仁满族自治县沙尖子镇国土空间总体规划</w:t>
      </w:r>
    </w:p>
    <w:p w14:paraId="7DB140EC">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（2021—2035年）</w:t>
      </w:r>
    </w:p>
    <w:p w14:paraId="14148FEE">
      <w:pPr>
        <w:spacing w:line="240" w:lineRule="auto"/>
        <w:ind w:firstLine="0" w:firstLineChars="0"/>
        <w:jc w:val="center"/>
        <w:rPr>
          <w:rFonts w:hint="eastAsia" w:ascii="方正小标宋简体" w:hAnsi="方正小标宋简体" w:eastAsia="方正小标宋简体" w:cs="方正小标宋简体"/>
          <w:kern w:val="0"/>
          <w:sz w:val="48"/>
          <w:szCs w:val="48"/>
        </w:rPr>
      </w:pPr>
      <w:r>
        <w:rPr>
          <w:rFonts w:hint="eastAsia" w:ascii="方正小标宋简体" w:hAnsi="方正小标宋简体" w:eastAsia="方正小标宋简体" w:cs="方正小标宋简体"/>
          <w:kern w:val="0"/>
          <w:sz w:val="48"/>
          <w:szCs w:val="48"/>
        </w:rPr>
        <w:t>（文 本）</w:t>
      </w:r>
    </w:p>
    <w:p w14:paraId="73E24A0A">
      <w:pPr>
        <w:spacing w:line="240" w:lineRule="auto"/>
        <w:ind w:firstLine="0" w:firstLineChars="0"/>
        <w:jc w:val="center"/>
        <w:rPr>
          <w:rFonts w:hint="eastAsia" w:ascii="方正小标宋_GBK" w:hAnsi="方正小标宋_GBK" w:eastAsia="方正小标宋_GBK" w:cstheme="minorBidi"/>
          <w:kern w:val="0"/>
          <w:sz w:val="52"/>
          <w:szCs w:val="52"/>
        </w:rPr>
      </w:pPr>
    </w:p>
    <w:p w14:paraId="4B3F64C2">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A093B85">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2F3D3D60">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5B686078">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E49B834">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D2C9035">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1A541FB">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2BE1166C">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7525F7B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4C9CF01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3BB35648">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A01DD46">
      <w:pPr>
        <w:widowControl w:val="0"/>
        <w:adjustRightInd/>
        <w:snapToGrid/>
        <w:spacing w:line="240" w:lineRule="auto"/>
        <w:ind w:firstLine="0" w:firstLineChars="0"/>
        <w:jc w:val="left"/>
        <w:rPr>
          <w:rFonts w:hint="eastAsia" w:ascii="楷体_GB2312" w:hAnsi="楷体_GB2312" w:eastAsia="楷体_GB2312" w:cs="楷体_GB2312"/>
          <w:kern w:val="0"/>
          <w:sz w:val="36"/>
          <w:szCs w:val="36"/>
        </w:rPr>
      </w:pPr>
    </w:p>
    <w:p w14:paraId="6492AD74">
      <w:pPr>
        <w:spacing w:line="240" w:lineRule="auto"/>
        <w:ind w:firstLine="0" w:firstLineChars="0"/>
        <w:rPr>
          <w:rFonts w:eastAsia="楷体_GB2312"/>
          <w:szCs w:val="32"/>
        </w:rPr>
      </w:pPr>
    </w:p>
    <w:p w14:paraId="6A1531FA">
      <w:pPr>
        <w:spacing w:line="240" w:lineRule="auto"/>
        <w:ind w:firstLine="0" w:firstLineChars="0"/>
        <w:jc w:val="center"/>
        <w:rPr>
          <w:rFonts w:eastAsia="楷体_GB2312"/>
          <w:b/>
          <w:bCs/>
          <w:szCs w:val="32"/>
        </w:rPr>
      </w:pPr>
      <w:r>
        <w:rPr>
          <w:rFonts w:hint="eastAsia" w:eastAsia="楷体_GB2312"/>
          <w:b/>
          <w:bCs/>
          <w:szCs w:val="32"/>
        </w:rPr>
        <w:t>沙尖子镇人民政府</w:t>
      </w:r>
    </w:p>
    <w:p w14:paraId="4A2B20CE">
      <w:pPr>
        <w:spacing w:line="240" w:lineRule="auto"/>
        <w:ind w:firstLine="0" w:firstLineChars="0"/>
        <w:jc w:val="center"/>
        <w:rPr>
          <w:rFonts w:hint="eastAsia" w:ascii="微软雅黑" w:hAnsi="微软雅黑" w:eastAsia="微软雅黑" w:cs="微软雅黑"/>
          <w:sz w:val="24"/>
          <w:szCs w:val="32"/>
        </w:rPr>
      </w:pPr>
      <w:r>
        <w:rPr>
          <w:rFonts w:hint="eastAsia" w:eastAsia="楷体_GB2312"/>
          <w:b/>
          <w:bCs/>
          <w:szCs w:val="32"/>
        </w:rPr>
        <w:t>2025年12月</w:t>
      </w:r>
    </w:p>
    <w:p w14:paraId="739668A2">
      <w:pPr>
        <w:ind w:firstLine="0" w:firstLineChars="0"/>
        <w:sectPr>
          <w:footerReference r:id="rId12" w:type="first"/>
          <w:footerReference r:id="rId11" w:type="default"/>
          <w:pgSz w:w="11906" w:h="16838"/>
          <w:pgMar w:top="1491" w:right="1809" w:bottom="991" w:left="1800" w:header="720" w:footer="992" w:gutter="0"/>
          <w:cols w:space="720" w:num="1"/>
          <w:titlePg/>
          <w:docGrid w:linePitch="435" w:charSpace="0"/>
        </w:sectPr>
      </w:pPr>
    </w:p>
    <w:sdt>
      <w:sdtPr>
        <w:rPr>
          <w:rFonts w:eastAsia="黑体"/>
        </w:rPr>
        <w:id w:val="147474843"/>
        <w15:color w:val="DBDBDB"/>
        <w:docPartObj>
          <w:docPartGallery w:val="Table of Contents"/>
          <w:docPartUnique/>
        </w:docPartObj>
      </w:sdtPr>
      <w:sdtEndPr>
        <w:rPr>
          <w:rFonts w:ascii="宋体" w:hAnsi="宋体" w:eastAsia="宋体"/>
          <w:sz w:val="21"/>
        </w:rPr>
      </w:sdtEndPr>
      <w:sdtContent>
        <w:p w14:paraId="6C38FAF9"/>
        <w:p w14:paraId="6101007E">
          <w:pPr>
            <w:widowControl w:val="0"/>
            <w:adjustRightInd/>
            <w:snapToGrid/>
            <w:spacing w:line="240" w:lineRule="auto"/>
            <w:ind w:firstLine="0" w:firstLineChars="0"/>
            <w:jc w:val="center"/>
            <w:rPr>
              <w:rFonts w:eastAsia="方正小标宋_GBK"/>
              <w:sz w:val="36"/>
              <w:szCs w:val="36"/>
            </w:rPr>
          </w:pPr>
          <w:r>
            <w:rPr>
              <w:rFonts w:eastAsia="方正小标宋_GBK"/>
              <w:sz w:val="36"/>
              <w:szCs w:val="36"/>
            </w:rPr>
            <w:t>目</w:t>
          </w:r>
          <w:r>
            <w:rPr>
              <w:rFonts w:hint="eastAsia" w:eastAsia="方正小标宋_GBK"/>
              <w:sz w:val="36"/>
              <w:szCs w:val="36"/>
            </w:rPr>
            <w:t xml:space="preserve"> </w:t>
          </w:r>
          <w:r>
            <w:rPr>
              <w:rFonts w:eastAsia="方正小标宋_GBK"/>
              <w:sz w:val="36"/>
              <w:szCs w:val="36"/>
            </w:rPr>
            <w:t>录</w:t>
          </w:r>
        </w:p>
        <w:p w14:paraId="1A01AF5A">
          <w:pPr>
            <w:pStyle w:val="16"/>
            <w:tabs>
              <w:tab w:val="right" w:leader="dot" w:pos="8297"/>
            </w:tabs>
          </w:pPr>
          <w:r>
            <w:fldChar w:fldCharType="begin"/>
          </w:r>
          <w:r>
            <w:instrText xml:space="preserve"> TOC \o "1-2" \h \z \u </w:instrText>
          </w:r>
          <w:r>
            <w:fldChar w:fldCharType="separate"/>
          </w:r>
          <w:r>
            <w:fldChar w:fldCharType="begin"/>
          </w:r>
          <w:r>
            <w:instrText xml:space="preserve"> HYPERLINK \l _Toc19114 </w:instrText>
          </w:r>
          <w:r>
            <w:fldChar w:fldCharType="separate"/>
          </w:r>
          <w:r>
            <w:rPr>
              <w:rFonts w:hint="eastAsia"/>
            </w:rPr>
            <w:t>第一章 总则</w:t>
          </w:r>
          <w:r>
            <w:tab/>
          </w:r>
          <w:r>
            <w:fldChar w:fldCharType="begin"/>
          </w:r>
          <w:r>
            <w:instrText xml:space="preserve"> PAGEREF _Toc19114 \h </w:instrText>
          </w:r>
          <w:r>
            <w:fldChar w:fldCharType="separate"/>
          </w:r>
          <w:r>
            <w:t>4</w:t>
          </w:r>
          <w:r>
            <w:fldChar w:fldCharType="end"/>
          </w:r>
          <w:r>
            <w:fldChar w:fldCharType="end"/>
          </w:r>
        </w:p>
        <w:p w14:paraId="23986B76">
          <w:pPr>
            <w:pStyle w:val="16"/>
            <w:tabs>
              <w:tab w:val="right" w:leader="dot" w:pos="8297"/>
            </w:tabs>
          </w:pPr>
          <w:r>
            <w:fldChar w:fldCharType="begin"/>
          </w:r>
          <w:r>
            <w:instrText xml:space="preserve"> HYPERLINK \l _Toc1467 </w:instrText>
          </w:r>
          <w:r>
            <w:fldChar w:fldCharType="separate"/>
          </w:r>
          <w:r>
            <w:rPr>
              <w:rFonts w:hint="eastAsia"/>
            </w:rPr>
            <w:t>第二章  现状分析与问题识别</w:t>
          </w:r>
          <w:r>
            <w:tab/>
          </w:r>
          <w:r>
            <w:fldChar w:fldCharType="begin"/>
          </w:r>
          <w:r>
            <w:instrText xml:space="preserve"> PAGEREF _Toc1467 \h </w:instrText>
          </w:r>
          <w:r>
            <w:fldChar w:fldCharType="separate"/>
          </w:r>
          <w:r>
            <w:t>11</w:t>
          </w:r>
          <w:r>
            <w:fldChar w:fldCharType="end"/>
          </w:r>
          <w:r>
            <w:fldChar w:fldCharType="end"/>
          </w:r>
        </w:p>
        <w:p w14:paraId="06E553FF">
          <w:pPr>
            <w:pStyle w:val="17"/>
            <w:tabs>
              <w:tab w:val="right" w:leader="dot" w:pos="8297"/>
            </w:tabs>
          </w:pPr>
          <w:r>
            <w:fldChar w:fldCharType="begin"/>
          </w:r>
          <w:r>
            <w:instrText xml:space="preserve"> HYPERLINK \l _Toc14138 </w:instrText>
          </w:r>
          <w:r>
            <w:fldChar w:fldCharType="separate"/>
          </w:r>
          <w:r>
            <w:rPr>
              <w:rFonts w:hint="default" w:ascii="Times New Roman" w:hAnsi="Times New Roman" w:cs="Times New Roman"/>
            </w:rPr>
            <w:t xml:space="preserve">第一节 </w:t>
          </w:r>
          <w:r>
            <w:rPr>
              <w:rFonts w:hint="eastAsia" w:ascii="Times New Roman" w:hAnsi="Times New Roman" w:cs="Times New Roman"/>
            </w:rPr>
            <w:t>区域概况</w:t>
          </w:r>
          <w:r>
            <w:tab/>
          </w:r>
          <w:r>
            <w:fldChar w:fldCharType="begin"/>
          </w:r>
          <w:r>
            <w:instrText xml:space="preserve"> PAGEREF _Toc14138 \h </w:instrText>
          </w:r>
          <w:r>
            <w:fldChar w:fldCharType="separate"/>
          </w:r>
          <w:r>
            <w:t>11</w:t>
          </w:r>
          <w:r>
            <w:fldChar w:fldCharType="end"/>
          </w:r>
          <w:r>
            <w:fldChar w:fldCharType="end"/>
          </w:r>
        </w:p>
        <w:p w14:paraId="530D6E66">
          <w:pPr>
            <w:pStyle w:val="17"/>
            <w:tabs>
              <w:tab w:val="right" w:leader="dot" w:pos="8297"/>
            </w:tabs>
          </w:pPr>
          <w:r>
            <w:fldChar w:fldCharType="begin"/>
          </w:r>
          <w:r>
            <w:instrText xml:space="preserve"> HYPERLINK \l _Toc15007 </w:instrText>
          </w:r>
          <w:r>
            <w:fldChar w:fldCharType="separate"/>
          </w:r>
          <w:r>
            <w:rPr>
              <w:rFonts w:hint="default" w:ascii="Times New Roman" w:hAnsi="Times New Roman" w:cs="Times New Roman"/>
            </w:rPr>
            <w:t xml:space="preserve">第二节 </w:t>
          </w:r>
          <w:r>
            <w:rPr>
              <w:rFonts w:hint="eastAsia" w:ascii="Times New Roman" w:hAnsi="Times New Roman" w:cs="Times New Roman"/>
            </w:rPr>
            <w:t>问题和风险挑战</w:t>
          </w:r>
          <w:r>
            <w:tab/>
          </w:r>
          <w:r>
            <w:fldChar w:fldCharType="begin"/>
          </w:r>
          <w:r>
            <w:instrText xml:space="preserve"> PAGEREF _Toc15007 \h </w:instrText>
          </w:r>
          <w:r>
            <w:fldChar w:fldCharType="separate"/>
          </w:r>
          <w:r>
            <w:t>13</w:t>
          </w:r>
          <w:r>
            <w:fldChar w:fldCharType="end"/>
          </w:r>
          <w:r>
            <w:fldChar w:fldCharType="end"/>
          </w:r>
        </w:p>
        <w:p w14:paraId="0AB5983A">
          <w:pPr>
            <w:pStyle w:val="17"/>
            <w:tabs>
              <w:tab w:val="right" w:leader="dot" w:pos="8297"/>
            </w:tabs>
          </w:pPr>
          <w:r>
            <w:fldChar w:fldCharType="begin"/>
          </w:r>
          <w:r>
            <w:instrText xml:space="preserve"> HYPERLINK \l _Toc26873 </w:instrText>
          </w:r>
          <w:r>
            <w:fldChar w:fldCharType="separate"/>
          </w:r>
          <w:r>
            <w:rPr>
              <w:rFonts w:hint="default" w:ascii="Times New Roman" w:hAnsi="Times New Roman" w:cs="Times New Roman"/>
            </w:rPr>
            <w:t xml:space="preserve">第三节 </w:t>
          </w:r>
          <w:r>
            <w:rPr>
              <w:rFonts w:hint="eastAsia" w:ascii="Times New Roman" w:hAnsi="Times New Roman" w:cs="Times New Roman"/>
            </w:rPr>
            <w:t>机遇使命</w:t>
          </w:r>
          <w:r>
            <w:tab/>
          </w:r>
          <w:r>
            <w:fldChar w:fldCharType="begin"/>
          </w:r>
          <w:r>
            <w:instrText xml:space="preserve"> PAGEREF _Toc26873 \h </w:instrText>
          </w:r>
          <w:r>
            <w:fldChar w:fldCharType="separate"/>
          </w:r>
          <w:r>
            <w:t>14</w:t>
          </w:r>
          <w:r>
            <w:fldChar w:fldCharType="end"/>
          </w:r>
          <w:r>
            <w:fldChar w:fldCharType="end"/>
          </w:r>
        </w:p>
        <w:p w14:paraId="18C643A7">
          <w:pPr>
            <w:pStyle w:val="16"/>
            <w:tabs>
              <w:tab w:val="right" w:leader="dot" w:pos="8297"/>
            </w:tabs>
          </w:pPr>
          <w:r>
            <w:fldChar w:fldCharType="begin"/>
          </w:r>
          <w:r>
            <w:instrText xml:space="preserve"> HYPERLINK \l _Toc29631 </w:instrText>
          </w:r>
          <w:r>
            <w:fldChar w:fldCharType="separate"/>
          </w:r>
          <w:r>
            <w:rPr>
              <w:rFonts w:hint="eastAsia"/>
            </w:rPr>
            <w:t xml:space="preserve">第三章 </w:t>
          </w:r>
          <w:r>
            <w:t>发展定位与目标</w:t>
          </w:r>
          <w:r>
            <w:tab/>
          </w:r>
          <w:r>
            <w:fldChar w:fldCharType="begin"/>
          </w:r>
          <w:r>
            <w:instrText xml:space="preserve"> PAGEREF _Toc29631 \h </w:instrText>
          </w:r>
          <w:r>
            <w:fldChar w:fldCharType="separate"/>
          </w:r>
          <w:r>
            <w:t>16</w:t>
          </w:r>
          <w:r>
            <w:fldChar w:fldCharType="end"/>
          </w:r>
          <w:r>
            <w:fldChar w:fldCharType="end"/>
          </w:r>
        </w:p>
        <w:p w14:paraId="617B6AF4">
          <w:pPr>
            <w:pStyle w:val="17"/>
            <w:tabs>
              <w:tab w:val="right" w:leader="dot" w:pos="8297"/>
            </w:tabs>
          </w:pPr>
          <w:r>
            <w:fldChar w:fldCharType="begin"/>
          </w:r>
          <w:r>
            <w:instrText xml:space="preserve"> HYPERLINK \l _Toc5023 </w:instrText>
          </w:r>
          <w:r>
            <w:fldChar w:fldCharType="separate"/>
          </w:r>
          <w:r>
            <w:rPr>
              <w:rFonts w:hint="default" w:ascii="Times New Roman" w:hAnsi="Times New Roman" w:cs="Times New Roman"/>
            </w:rPr>
            <w:t xml:space="preserve">第一节 </w:t>
          </w:r>
          <w:r>
            <w:rPr>
              <w:rFonts w:hint="eastAsia" w:ascii="Times New Roman" w:hAnsi="Times New Roman" w:cs="Times New Roman"/>
            </w:rPr>
            <w:t>乡镇功能定位</w:t>
          </w:r>
          <w:r>
            <w:tab/>
          </w:r>
          <w:r>
            <w:fldChar w:fldCharType="begin"/>
          </w:r>
          <w:r>
            <w:instrText xml:space="preserve"> PAGEREF _Toc5023 \h </w:instrText>
          </w:r>
          <w:r>
            <w:fldChar w:fldCharType="separate"/>
          </w:r>
          <w:r>
            <w:t>16</w:t>
          </w:r>
          <w:r>
            <w:fldChar w:fldCharType="end"/>
          </w:r>
          <w:r>
            <w:fldChar w:fldCharType="end"/>
          </w:r>
        </w:p>
        <w:p w14:paraId="2192D775">
          <w:pPr>
            <w:pStyle w:val="17"/>
            <w:tabs>
              <w:tab w:val="right" w:leader="dot" w:pos="8297"/>
            </w:tabs>
          </w:pPr>
          <w:r>
            <w:fldChar w:fldCharType="begin"/>
          </w:r>
          <w:r>
            <w:instrText xml:space="preserve"> HYPERLINK \l _Toc11865 </w:instrText>
          </w:r>
          <w:r>
            <w:fldChar w:fldCharType="separate"/>
          </w:r>
          <w:r>
            <w:rPr>
              <w:rFonts w:hint="default" w:ascii="Times New Roman" w:hAnsi="Times New Roman" w:cs="Times New Roman"/>
            </w:rPr>
            <w:t xml:space="preserve">第二节 </w:t>
          </w:r>
          <w:r>
            <w:rPr>
              <w:rFonts w:hint="eastAsia" w:ascii="Times New Roman" w:hAnsi="Times New Roman" w:cs="Times New Roman"/>
            </w:rPr>
            <w:t>国土空间开发保护目标</w:t>
          </w:r>
          <w:r>
            <w:tab/>
          </w:r>
          <w:r>
            <w:fldChar w:fldCharType="begin"/>
          </w:r>
          <w:r>
            <w:instrText xml:space="preserve"> PAGEREF _Toc11865 \h </w:instrText>
          </w:r>
          <w:r>
            <w:fldChar w:fldCharType="separate"/>
          </w:r>
          <w:r>
            <w:t>17</w:t>
          </w:r>
          <w:r>
            <w:fldChar w:fldCharType="end"/>
          </w:r>
          <w:r>
            <w:fldChar w:fldCharType="end"/>
          </w:r>
        </w:p>
        <w:p w14:paraId="0A427D80">
          <w:pPr>
            <w:pStyle w:val="16"/>
            <w:tabs>
              <w:tab w:val="right" w:leader="dot" w:pos="8297"/>
            </w:tabs>
          </w:pPr>
          <w:r>
            <w:fldChar w:fldCharType="begin"/>
          </w:r>
          <w:r>
            <w:instrText xml:space="preserve"> HYPERLINK \l _Toc32332 </w:instrText>
          </w:r>
          <w:r>
            <w:fldChar w:fldCharType="separate"/>
          </w:r>
          <w:r>
            <w:rPr>
              <w:rFonts w:hint="eastAsia" w:ascii="方正小标宋简体" w:hAnsi="方正小标宋简体" w:cs="方正小标宋简体"/>
            </w:rPr>
            <w:t>第四章 国土空间开发保护格局</w:t>
          </w:r>
          <w:r>
            <w:tab/>
          </w:r>
          <w:r>
            <w:fldChar w:fldCharType="begin"/>
          </w:r>
          <w:r>
            <w:instrText xml:space="preserve"> PAGEREF _Toc32332 \h </w:instrText>
          </w:r>
          <w:r>
            <w:fldChar w:fldCharType="separate"/>
          </w:r>
          <w:r>
            <w:t>21</w:t>
          </w:r>
          <w:r>
            <w:fldChar w:fldCharType="end"/>
          </w:r>
          <w:r>
            <w:fldChar w:fldCharType="end"/>
          </w:r>
        </w:p>
        <w:p w14:paraId="105AFEFA">
          <w:pPr>
            <w:pStyle w:val="17"/>
            <w:tabs>
              <w:tab w:val="right" w:leader="dot" w:pos="8297"/>
            </w:tabs>
          </w:pPr>
          <w:r>
            <w:fldChar w:fldCharType="begin"/>
          </w:r>
          <w:r>
            <w:instrText xml:space="preserve"> HYPERLINK \l _Toc16511 </w:instrText>
          </w:r>
          <w:r>
            <w:fldChar w:fldCharType="separate"/>
          </w:r>
          <w:r>
            <w:rPr>
              <w:rFonts w:hint="default" w:ascii="Times New Roman" w:hAnsi="Times New Roman" w:cs="Times New Roman"/>
            </w:rPr>
            <w:t xml:space="preserve">第一节 </w:t>
          </w:r>
          <w:r>
            <w:rPr>
              <w:rFonts w:hint="eastAsia" w:ascii="Times New Roman" w:hAnsi="Times New Roman" w:cs="Times New Roman"/>
            </w:rPr>
            <w:t>国土空间总体格局</w:t>
          </w:r>
          <w:r>
            <w:tab/>
          </w:r>
          <w:r>
            <w:fldChar w:fldCharType="begin"/>
          </w:r>
          <w:r>
            <w:instrText xml:space="preserve"> PAGEREF _Toc16511 \h </w:instrText>
          </w:r>
          <w:r>
            <w:fldChar w:fldCharType="separate"/>
          </w:r>
          <w:r>
            <w:t>21</w:t>
          </w:r>
          <w:r>
            <w:fldChar w:fldCharType="end"/>
          </w:r>
          <w:r>
            <w:fldChar w:fldCharType="end"/>
          </w:r>
        </w:p>
        <w:p w14:paraId="48F0C653">
          <w:pPr>
            <w:pStyle w:val="17"/>
            <w:tabs>
              <w:tab w:val="right" w:leader="dot" w:pos="8297"/>
            </w:tabs>
          </w:pPr>
          <w:r>
            <w:fldChar w:fldCharType="begin"/>
          </w:r>
          <w:r>
            <w:instrText xml:space="preserve"> HYPERLINK \l _Toc27765 </w:instrText>
          </w:r>
          <w:r>
            <w:fldChar w:fldCharType="separate"/>
          </w:r>
          <w:r>
            <w:rPr>
              <w:rFonts w:hint="default" w:ascii="Times New Roman" w:hAnsi="Times New Roman" w:cs="Times New Roman"/>
            </w:rPr>
            <w:t xml:space="preserve">第二节 </w:t>
          </w:r>
          <w:r>
            <w:rPr>
              <w:rFonts w:hint="eastAsia" w:ascii="Times New Roman" w:hAnsi="Times New Roman" w:cs="Times New Roman"/>
            </w:rPr>
            <w:t>重要控制线划定</w:t>
          </w:r>
          <w:r>
            <w:tab/>
          </w:r>
          <w:r>
            <w:fldChar w:fldCharType="begin"/>
          </w:r>
          <w:r>
            <w:instrText xml:space="preserve"> PAGEREF _Toc27765 \h </w:instrText>
          </w:r>
          <w:r>
            <w:fldChar w:fldCharType="separate"/>
          </w:r>
          <w:r>
            <w:t>22</w:t>
          </w:r>
          <w:r>
            <w:fldChar w:fldCharType="end"/>
          </w:r>
          <w:r>
            <w:fldChar w:fldCharType="end"/>
          </w:r>
        </w:p>
        <w:p w14:paraId="40CB91EC">
          <w:pPr>
            <w:pStyle w:val="17"/>
            <w:tabs>
              <w:tab w:val="right" w:leader="dot" w:pos="8297"/>
            </w:tabs>
          </w:pPr>
          <w:r>
            <w:fldChar w:fldCharType="begin"/>
          </w:r>
          <w:r>
            <w:instrText xml:space="preserve"> HYPERLINK \l _Toc14033 </w:instrText>
          </w:r>
          <w:r>
            <w:fldChar w:fldCharType="separate"/>
          </w:r>
          <w:r>
            <w:rPr>
              <w:rFonts w:hint="default" w:ascii="Times New Roman" w:hAnsi="Times New Roman" w:cs="Times New Roman"/>
            </w:rPr>
            <w:t xml:space="preserve">第三节 </w:t>
          </w:r>
          <w:r>
            <w:rPr>
              <w:rFonts w:hint="eastAsia" w:ascii="Times New Roman" w:hAnsi="Times New Roman" w:cs="Times New Roman"/>
            </w:rPr>
            <w:t>规划分区</w:t>
          </w:r>
          <w:r>
            <w:tab/>
          </w:r>
          <w:r>
            <w:fldChar w:fldCharType="begin"/>
          </w:r>
          <w:r>
            <w:instrText xml:space="preserve"> PAGEREF _Toc14033 \h </w:instrText>
          </w:r>
          <w:r>
            <w:fldChar w:fldCharType="separate"/>
          </w:r>
          <w:r>
            <w:t>25</w:t>
          </w:r>
          <w:r>
            <w:fldChar w:fldCharType="end"/>
          </w:r>
          <w:r>
            <w:fldChar w:fldCharType="end"/>
          </w:r>
        </w:p>
        <w:p w14:paraId="30A71C1A">
          <w:pPr>
            <w:pStyle w:val="17"/>
            <w:tabs>
              <w:tab w:val="right" w:leader="dot" w:pos="8297"/>
            </w:tabs>
          </w:pPr>
          <w:r>
            <w:fldChar w:fldCharType="begin"/>
          </w:r>
          <w:r>
            <w:instrText xml:space="preserve"> HYPERLINK \l _Toc15156 </w:instrText>
          </w:r>
          <w:r>
            <w:fldChar w:fldCharType="separate"/>
          </w:r>
          <w:r>
            <w:rPr>
              <w:rFonts w:hint="default" w:ascii="Times New Roman" w:hAnsi="Times New Roman" w:cs="Times New Roman"/>
            </w:rPr>
            <w:t xml:space="preserve">第四节 </w:t>
          </w:r>
          <w:r>
            <w:rPr>
              <w:rFonts w:hint="eastAsia" w:ascii="Times New Roman" w:hAnsi="Times New Roman" w:cs="Times New Roman"/>
            </w:rPr>
            <w:t>国土空间功能结构优化</w:t>
          </w:r>
          <w:r>
            <w:tab/>
          </w:r>
          <w:r>
            <w:fldChar w:fldCharType="begin"/>
          </w:r>
          <w:r>
            <w:instrText xml:space="preserve"> PAGEREF _Toc15156 \h </w:instrText>
          </w:r>
          <w:r>
            <w:fldChar w:fldCharType="separate"/>
          </w:r>
          <w:r>
            <w:t>29</w:t>
          </w:r>
          <w:r>
            <w:fldChar w:fldCharType="end"/>
          </w:r>
          <w:r>
            <w:fldChar w:fldCharType="end"/>
          </w:r>
        </w:p>
        <w:p w14:paraId="34A4BEC4">
          <w:pPr>
            <w:pStyle w:val="16"/>
            <w:tabs>
              <w:tab w:val="right" w:leader="dot" w:pos="8297"/>
            </w:tabs>
          </w:pPr>
          <w:r>
            <w:fldChar w:fldCharType="begin"/>
          </w:r>
          <w:r>
            <w:instrText xml:space="preserve"> HYPERLINK \l _Toc22807 </w:instrText>
          </w:r>
          <w:r>
            <w:fldChar w:fldCharType="separate"/>
          </w:r>
          <w:r>
            <w:rPr>
              <w:rFonts w:hint="eastAsia"/>
            </w:rPr>
            <w:t>第五章 资源保护与利用</w:t>
          </w:r>
          <w:r>
            <w:tab/>
          </w:r>
          <w:r>
            <w:fldChar w:fldCharType="begin"/>
          </w:r>
          <w:r>
            <w:instrText xml:space="preserve"> PAGEREF _Toc22807 \h </w:instrText>
          </w:r>
          <w:r>
            <w:fldChar w:fldCharType="separate"/>
          </w:r>
          <w:r>
            <w:t>32</w:t>
          </w:r>
          <w:r>
            <w:fldChar w:fldCharType="end"/>
          </w:r>
          <w:r>
            <w:fldChar w:fldCharType="end"/>
          </w:r>
        </w:p>
        <w:p w14:paraId="321CDCD1">
          <w:pPr>
            <w:pStyle w:val="17"/>
            <w:tabs>
              <w:tab w:val="right" w:leader="dot" w:pos="8297"/>
            </w:tabs>
          </w:pPr>
          <w:r>
            <w:fldChar w:fldCharType="begin"/>
          </w:r>
          <w:r>
            <w:instrText xml:space="preserve"> HYPERLINK \l _Toc15866 </w:instrText>
          </w:r>
          <w:r>
            <w:fldChar w:fldCharType="separate"/>
          </w:r>
          <w:r>
            <w:rPr>
              <w:rFonts w:hint="default" w:ascii="Times New Roman" w:hAnsi="Times New Roman" w:cs="Times New Roman"/>
            </w:rPr>
            <w:t xml:space="preserve">第一节 </w:t>
          </w:r>
          <w:r>
            <w:rPr>
              <w:rFonts w:hint="eastAsia" w:ascii="Times New Roman" w:hAnsi="Times New Roman" w:cs="Times New Roman"/>
            </w:rPr>
            <w:t>耕地资源</w:t>
          </w:r>
          <w:r>
            <w:tab/>
          </w:r>
          <w:r>
            <w:fldChar w:fldCharType="begin"/>
          </w:r>
          <w:r>
            <w:instrText xml:space="preserve"> PAGEREF _Toc15866 \h </w:instrText>
          </w:r>
          <w:r>
            <w:fldChar w:fldCharType="separate"/>
          </w:r>
          <w:r>
            <w:t>32</w:t>
          </w:r>
          <w:r>
            <w:fldChar w:fldCharType="end"/>
          </w:r>
          <w:r>
            <w:fldChar w:fldCharType="end"/>
          </w:r>
        </w:p>
        <w:p w14:paraId="60687E3E">
          <w:pPr>
            <w:pStyle w:val="17"/>
            <w:tabs>
              <w:tab w:val="right" w:leader="dot" w:pos="8297"/>
            </w:tabs>
          </w:pPr>
          <w:r>
            <w:fldChar w:fldCharType="begin"/>
          </w:r>
          <w:r>
            <w:instrText xml:space="preserve"> HYPERLINK \l _Toc21662 </w:instrText>
          </w:r>
          <w:r>
            <w:fldChar w:fldCharType="separate"/>
          </w:r>
          <w:r>
            <w:rPr>
              <w:rFonts w:hint="default" w:ascii="Times New Roman" w:hAnsi="Times New Roman" w:cs="Times New Roman"/>
            </w:rPr>
            <w:t xml:space="preserve">第二节 </w:t>
          </w:r>
          <w:r>
            <w:rPr>
              <w:rFonts w:hint="eastAsia" w:ascii="Times New Roman" w:hAnsi="Times New Roman" w:cs="Times New Roman"/>
            </w:rPr>
            <w:t>水资源</w:t>
          </w:r>
          <w:r>
            <w:tab/>
          </w:r>
          <w:r>
            <w:fldChar w:fldCharType="begin"/>
          </w:r>
          <w:r>
            <w:instrText xml:space="preserve"> PAGEREF _Toc21662 \h </w:instrText>
          </w:r>
          <w:r>
            <w:fldChar w:fldCharType="separate"/>
          </w:r>
          <w:r>
            <w:t>34</w:t>
          </w:r>
          <w:r>
            <w:fldChar w:fldCharType="end"/>
          </w:r>
          <w:r>
            <w:fldChar w:fldCharType="end"/>
          </w:r>
        </w:p>
        <w:p w14:paraId="537F8BA8">
          <w:pPr>
            <w:pStyle w:val="17"/>
            <w:tabs>
              <w:tab w:val="right" w:leader="dot" w:pos="8297"/>
            </w:tabs>
          </w:pPr>
          <w:r>
            <w:fldChar w:fldCharType="begin"/>
          </w:r>
          <w:r>
            <w:instrText xml:space="preserve"> HYPERLINK \l _Toc32248 </w:instrText>
          </w:r>
          <w:r>
            <w:fldChar w:fldCharType="separate"/>
          </w:r>
          <w:r>
            <w:rPr>
              <w:rFonts w:hint="default" w:ascii="Times New Roman" w:hAnsi="Times New Roman" w:cs="Times New Roman"/>
            </w:rPr>
            <w:t xml:space="preserve">第三节 </w:t>
          </w:r>
          <w:r>
            <w:rPr>
              <w:rFonts w:hint="eastAsia" w:ascii="Times New Roman" w:hAnsi="Times New Roman" w:cs="Times New Roman"/>
            </w:rPr>
            <w:t>湿地资源</w:t>
          </w:r>
          <w:r>
            <w:tab/>
          </w:r>
          <w:r>
            <w:fldChar w:fldCharType="begin"/>
          </w:r>
          <w:r>
            <w:instrText xml:space="preserve"> PAGEREF _Toc32248 \h </w:instrText>
          </w:r>
          <w:r>
            <w:fldChar w:fldCharType="separate"/>
          </w:r>
          <w:r>
            <w:t>35</w:t>
          </w:r>
          <w:r>
            <w:fldChar w:fldCharType="end"/>
          </w:r>
          <w:r>
            <w:fldChar w:fldCharType="end"/>
          </w:r>
        </w:p>
        <w:p w14:paraId="7BF21676">
          <w:pPr>
            <w:pStyle w:val="17"/>
            <w:tabs>
              <w:tab w:val="right" w:leader="dot" w:pos="8297"/>
            </w:tabs>
          </w:pPr>
          <w:r>
            <w:fldChar w:fldCharType="begin"/>
          </w:r>
          <w:r>
            <w:instrText xml:space="preserve"> HYPERLINK \l _Toc17029 </w:instrText>
          </w:r>
          <w:r>
            <w:fldChar w:fldCharType="separate"/>
          </w:r>
          <w:r>
            <w:rPr>
              <w:rFonts w:hint="default" w:ascii="Times New Roman" w:hAnsi="Times New Roman" w:cs="Times New Roman"/>
            </w:rPr>
            <w:t xml:space="preserve">第四节 </w:t>
          </w:r>
          <w:r>
            <w:rPr>
              <w:rFonts w:hint="eastAsia" w:ascii="Times New Roman" w:hAnsi="Times New Roman" w:cs="Times New Roman"/>
            </w:rPr>
            <w:t>林草资源</w:t>
          </w:r>
          <w:r>
            <w:tab/>
          </w:r>
          <w:r>
            <w:fldChar w:fldCharType="begin"/>
          </w:r>
          <w:r>
            <w:instrText xml:space="preserve"> PAGEREF _Toc17029 \h </w:instrText>
          </w:r>
          <w:r>
            <w:fldChar w:fldCharType="separate"/>
          </w:r>
          <w:r>
            <w:t>36</w:t>
          </w:r>
          <w:r>
            <w:fldChar w:fldCharType="end"/>
          </w:r>
          <w:r>
            <w:fldChar w:fldCharType="end"/>
          </w:r>
        </w:p>
        <w:p w14:paraId="39BCD72F">
          <w:pPr>
            <w:pStyle w:val="17"/>
            <w:tabs>
              <w:tab w:val="right" w:leader="dot" w:pos="8297"/>
            </w:tabs>
          </w:pPr>
          <w:r>
            <w:fldChar w:fldCharType="begin"/>
          </w:r>
          <w:r>
            <w:instrText xml:space="preserve"> HYPERLINK \l _Toc22976 </w:instrText>
          </w:r>
          <w:r>
            <w:fldChar w:fldCharType="separate"/>
          </w:r>
          <w:r>
            <w:rPr>
              <w:rFonts w:hint="default" w:ascii="Times New Roman" w:hAnsi="Times New Roman" w:cs="Times New Roman"/>
            </w:rPr>
            <w:t xml:space="preserve">第五节 </w:t>
          </w:r>
          <w:r>
            <w:rPr>
              <w:rFonts w:hint="eastAsia" w:ascii="Times New Roman" w:hAnsi="Times New Roman" w:cs="Times New Roman"/>
            </w:rPr>
            <w:t>矿产资源</w:t>
          </w:r>
          <w:r>
            <w:tab/>
          </w:r>
          <w:r>
            <w:fldChar w:fldCharType="begin"/>
          </w:r>
          <w:r>
            <w:instrText xml:space="preserve"> PAGEREF _Toc22976 \h </w:instrText>
          </w:r>
          <w:r>
            <w:fldChar w:fldCharType="separate"/>
          </w:r>
          <w:r>
            <w:t>37</w:t>
          </w:r>
          <w:r>
            <w:fldChar w:fldCharType="end"/>
          </w:r>
          <w:r>
            <w:fldChar w:fldCharType="end"/>
          </w:r>
        </w:p>
        <w:p w14:paraId="552A4E2B">
          <w:pPr>
            <w:pStyle w:val="17"/>
            <w:tabs>
              <w:tab w:val="right" w:leader="dot" w:pos="8297"/>
            </w:tabs>
          </w:pPr>
          <w:r>
            <w:fldChar w:fldCharType="begin"/>
          </w:r>
          <w:r>
            <w:instrText xml:space="preserve"> HYPERLINK \l _Toc12632 </w:instrText>
          </w:r>
          <w:r>
            <w:fldChar w:fldCharType="separate"/>
          </w:r>
          <w:r>
            <w:rPr>
              <w:rFonts w:hint="default" w:ascii="Times New Roman" w:hAnsi="Times New Roman" w:cs="Times New Roman"/>
            </w:rPr>
            <w:t xml:space="preserve">第六节 </w:t>
          </w:r>
          <w:r>
            <w:rPr>
              <w:rFonts w:ascii="Times New Roman" w:hAnsi="Times New Roman" w:cs="Times New Roman"/>
            </w:rPr>
            <w:t>历史文化</w:t>
          </w:r>
          <w:r>
            <w:rPr>
              <w:rFonts w:hint="eastAsia" w:ascii="Times New Roman" w:hAnsi="Times New Roman" w:cs="Times New Roman"/>
            </w:rPr>
            <w:t>资源</w:t>
          </w:r>
          <w:r>
            <w:tab/>
          </w:r>
          <w:r>
            <w:fldChar w:fldCharType="begin"/>
          </w:r>
          <w:r>
            <w:instrText xml:space="preserve"> PAGEREF _Toc12632 \h </w:instrText>
          </w:r>
          <w:r>
            <w:fldChar w:fldCharType="separate"/>
          </w:r>
          <w:r>
            <w:t>38</w:t>
          </w:r>
          <w:r>
            <w:fldChar w:fldCharType="end"/>
          </w:r>
          <w:r>
            <w:fldChar w:fldCharType="end"/>
          </w:r>
        </w:p>
        <w:p w14:paraId="169AF380">
          <w:pPr>
            <w:pStyle w:val="16"/>
            <w:tabs>
              <w:tab w:val="right" w:leader="dot" w:pos="8297"/>
            </w:tabs>
          </w:pPr>
          <w:r>
            <w:fldChar w:fldCharType="begin"/>
          </w:r>
          <w:r>
            <w:instrText xml:space="preserve"> HYPERLINK \l _Toc12006 </w:instrText>
          </w:r>
          <w:r>
            <w:fldChar w:fldCharType="separate"/>
          </w:r>
          <w:r>
            <w:rPr>
              <w:rFonts w:hint="eastAsia"/>
            </w:rPr>
            <w:t>第六章 镇村统筹发展</w:t>
          </w:r>
          <w:r>
            <w:tab/>
          </w:r>
          <w:r>
            <w:fldChar w:fldCharType="begin"/>
          </w:r>
          <w:r>
            <w:instrText xml:space="preserve"> PAGEREF _Toc12006 \h </w:instrText>
          </w:r>
          <w:r>
            <w:fldChar w:fldCharType="separate"/>
          </w:r>
          <w:r>
            <w:t>42</w:t>
          </w:r>
          <w:r>
            <w:fldChar w:fldCharType="end"/>
          </w:r>
          <w:r>
            <w:fldChar w:fldCharType="end"/>
          </w:r>
        </w:p>
        <w:p w14:paraId="14DC1B7F">
          <w:pPr>
            <w:pStyle w:val="17"/>
            <w:tabs>
              <w:tab w:val="right" w:leader="dot" w:pos="8297"/>
            </w:tabs>
          </w:pPr>
          <w:r>
            <w:fldChar w:fldCharType="begin"/>
          </w:r>
          <w:r>
            <w:instrText xml:space="preserve"> HYPERLINK \l _Toc21680 </w:instrText>
          </w:r>
          <w:r>
            <w:fldChar w:fldCharType="separate"/>
          </w:r>
          <w:r>
            <w:rPr>
              <w:rFonts w:hint="default" w:ascii="Times New Roman" w:hAnsi="Times New Roman" w:cs="Times New Roman"/>
            </w:rPr>
            <w:t xml:space="preserve">第一节 </w:t>
          </w:r>
          <w:r>
            <w:rPr>
              <w:rFonts w:ascii="Times New Roman" w:hAnsi="Times New Roman" w:cs="Times New Roman"/>
            </w:rPr>
            <w:t>镇村体系</w:t>
          </w:r>
          <w:r>
            <w:rPr>
              <w:rFonts w:hint="eastAsia" w:ascii="Times New Roman" w:hAnsi="Times New Roman" w:cs="Times New Roman"/>
            </w:rPr>
            <w:t>规划</w:t>
          </w:r>
          <w:r>
            <w:tab/>
          </w:r>
          <w:r>
            <w:fldChar w:fldCharType="begin"/>
          </w:r>
          <w:r>
            <w:instrText xml:space="preserve"> PAGEREF _Toc21680 \h </w:instrText>
          </w:r>
          <w:r>
            <w:fldChar w:fldCharType="separate"/>
          </w:r>
          <w:r>
            <w:t>42</w:t>
          </w:r>
          <w:r>
            <w:fldChar w:fldCharType="end"/>
          </w:r>
          <w:r>
            <w:fldChar w:fldCharType="end"/>
          </w:r>
        </w:p>
        <w:p w14:paraId="5569FC36">
          <w:pPr>
            <w:pStyle w:val="17"/>
            <w:tabs>
              <w:tab w:val="right" w:leader="dot" w:pos="8297"/>
            </w:tabs>
          </w:pPr>
          <w:r>
            <w:fldChar w:fldCharType="begin"/>
          </w:r>
          <w:r>
            <w:instrText xml:space="preserve"> HYPERLINK \l _Toc17830 </w:instrText>
          </w:r>
          <w:r>
            <w:fldChar w:fldCharType="separate"/>
          </w:r>
          <w:r>
            <w:rPr>
              <w:rFonts w:hint="default" w:ascii="Times New Roman" w:hAnsi="Times New Roman" w:cs="Times New Roman"/>
            </w:rPr>
            <w:t xml:space="preserve">第二节 </w:t>
          </w:r>
          <w:r>
            <w:rPr>
              <w:rFonts w:ascii="Times New Roman" w:hAnsi="Times New Roman" w:cs="Times New Roman"/>
            </w:rPr>
            <w:t>村庄</w:t>
          </w:r>
          <w:r>
            <w:rPr>
              <w:rFonts w:hint="eastAsia" w:ascii="Times New Roman" w:hAnsi="Times New Roman" w:cs="Times New Roman"/>
            </w:rPr>
            <w:t>分类分型发展</w:t>
          </w:r>
          <w:r>
            <w:tab/>
          </w:r>
          <w:r>
            <w:fldChar w:fldCharType="begin"/>
          </w:r>
          <w:r>
            <w:instrText xml:space="preserve"> PAGEREF _Toc17830 \h </w:instrText>
          </w:r>
          <w:r>
            <w:fldChar w:fldCharType="separate"/>
          </w:r>
          <w:r>
            <w:t>43</w:t>
          </w:r>
          <w:r>
            <w:fldChar w:fldCharType="end"/>
          </w:r>
          <w:r>
            <w:fldChar w:fldCharType="end"/>
          </w:r>
        </w:p>
        <w:p w14:paraId="15EC1BEC">
          <w:pPr>
            <w:pStyle w:val="17"/>
            <w:tabs>
              <w:tab w:val="right" w:leader="dot" w:pos="8297"/>
            </w:tabs>
          </w:pPr>
          <w:r>
            <w:fldChar w:fldCharType="begin"/>
          </w:r>
          <w:r>
            <w:instrText xml:space="preserve"> HYPERLINK \l _Toc21172 </w:instrText>
          </w:r>
          <w:r>
            <w:fldChar w:fldCharType="separate"/>
          </w:r>
          <w:r>
            <w:rPr>
              <w:rFonts w:hint="default" w:ascii="Times New Roman" w:hAnsi="Times New Roman" w:cs="Times New Roman"/>
              <w:lang w:bidi="ar"/>
            </w:rPr>
            <w:t xml:space="preserve">第三节 </w:t>
          </w:r>
          <w:r>
            <w:rPr>
              <w:rFonts w:ascii="Times New Roman" w:hAnsi="Times New Roman" w:cs="Times New Roman"/>
              <w:lang w:bidi="ar"/>
            </w:rPr>
            <w:t>“通则式”村庄规划管理</w:t>
          </w:r>
          <w:r>
            <w:tab/>
          </w:r>
          <w:r>
            <w:fldChar w:fldCharType="begin"/>
          </w:r>
          <w:r>
            <w:instrText xml:space="preserve"> PAGEREF _Toc21172 \h </w:instrText>
          </w:r>
          <w:r>
            <w:fldChar w:fldCharType="separate"/>
          </w:r>
          <w:r>
            <w:t>49</w:t>
          </w:r>
          <w:r>
            <w:fldChar w:fldCharType="end"/>
          </w:r>
          <w:r>
            <w:fldChar w:fldCharType="end"/>
          </w:r>
        </w:p>
        <w:p w14:paraId="122B2017">
          <w:pPr>
            <w:pStyle w:val="17"/>
            <w:tabs>
              <w:tab w:val="right" w:leader="dot" w:pos="8297"/>
            </w:tabs>
          </w:pPr>
          <w:r>
            <w:fldChar w:fldCharType="begin"/>
          </w:r>
          <w:r>
            <w:instrText xml:space="preserve"> HYPERLINK \l _Toc14055 </w:instrText>
          </w:r>
          <w:r>
            <w:fldChar w:fldCharType="separate"/>
          </w:r>
          <w:r>
            <w:rPr>
              <w:rFonts w:hint="default" w:ascii="Times New Roman" w:hAnsi="Times New Roman" w:cs="Times New Roman"/>
            </w:rPr>
            <w:t xml:space="preserve">第四节 </w:t>
          </w:r>
          <w:r>
            <w:rPr>
              <w:rFonts w:ascii="Times New Roman" w:hAnsi="Times New Roman" w:cs="Times New Roman"/>
            </w:rPr>
            <w:t>产业</w:t>
          </w:r>
          <w:r>
            <w:rPr>
              <w:rFonts w:hint="eastAsia" w:ascii="Times New Roman" w:hAnsi="Times New Roman" w:cs="Times New Roman"/>
            </w:rPr>
            <w:t>布局</w:t>
          </w:r>
          <w:r>
            <w:tab/>
          </w:r>
          <w:r>
            <w:fldChar w:fldCharType="begin"/>
          </w:r>
          <w:r>
            <w:instrText xml:space="preserve"> PAGEREF _Toc14055 \h </w:instrText>
          </w:r>
          <w:r>
            <w:fldChar w:fldCharType="separate"/>
          </w:r>
          <w:r>
            <w:t>51</w:t>
          </w:r>
          <w:r>
            <w:fldChar w:fldCharType="end"/>
          </w:r>
          <w:r>
            <w:fldChar w:fldCharType="end"/>
          </w:r>
        </w:p>
        <w:p w14:paraId="486C5A8B">
          <w:pPr>
            <w:pStyle w:val="17"/>
            <w:tabs>
              <w:tab w:val="right" w:leader="dot" w:pos="8297"/>
            </w:tabs>
          </w:pPr>
          <w:r>
            <w:fldChar w:fldCharType="begin"/>
          </w:r>
          <w:r>
            <w:instrText xml:space="preserve"> HYPERLINK \l _Toc9897 </w:instrText>
          </w:r>
          <w:r>
            <w:fldChar w:fldCharType="separate"/>
          </w:r>
          <w:r>
            <w:rPr>
              <w:rFonts w:hint="default" w:ascii="Times New Roman" w:hAnsi="Times New Roman" w:cs="Times New Roman"/>
            </w:rPr>
            <w:t xml:space="preserve">第五节 </w:t>
          </w:r>
          <w:r>
            <w:rPr>
              <w:rFonts w:hint="eastAsia" w:ascii="Times New Roman" w:hAnsi="Times New Roman" w:cs="Times New Roman"/>
            </w:rPr>
            <w:t>景观风貌引导</w:t>
          </w:r>
          <w:r>
            <w:tab/>
          </w:r>
          <w:r>
            <w:fldChar w:fldCharType="begin"/>
          </w:r>
          <w:r>
            <w:instrText xml:space="preserve"> PAGEREF _Toc9897 \h </w:instrText>
          </w:r>
          <w:r>
            <w:fldChar w:fldCharType="separate"/>
          </w:r>
          <w:r>
            <w:t>55</w:t>
          </w:r>
          <w:r>
            <w:fldChar w:fldCharType="end"/>
          </w:r>
          <w:r>
            <w:fldChar w:fldCharType="end"/>
          </w:r>
        </w:p>
        <w:p w14:paraId="32508079">
          <w:pPr>
            <w:pStyle w:val="17"/>
            <w:tabs>
              <w:tab w:val="right" w:leader="dot" w:pos="8297"/>
            </w:tabs>
          </w:pPr>
          <w:r>
            <w:fldChar w:fldCharType="begin"/>
          </w:r>
          <w:r>
            <w:instrText xml:space="preserve"> HYPERLINK \l _Toc1799 </w:instrText>
          </w:r>
          <w:r>
            <w:fldChar w:fldCharType="separate"/>
          </w:r>
          <w:r>
            <w:rPr>
              <w:rFonts w:hint="default" w:ascii="Times New Roman" w:hAnsi="Times New Roman" w:cs="Times New Roman"/>
            </w:rPr>
            <w:t xml:space="preserve">第六节 </w:t>
          </w:r>
          <w:r>
            <w:rPr>
              <w:rFonts w:ascii="Times New Roman" w:hAnsi="Times New Roman" w:cs="Times New Roman"/>
            </w:rPr>
            <w:t>全域旅游</w:t>
          </w:r>
          <w:r>
            <w:rPr>
              <w:rFonts w:hint="eastAsia" w:ascii="Times New Roman" w:hAnsi="Times New Roman" w:cs="Times New Roman"/>
            </w:rPr>
            <w:t>塑造</w:t>
          </w:r>
          <w:r>
            <w:tab/>
          </w:r>
          <w:r>
            <w:fldChar w:fldCharType="begin"/>
          </w:r>
          <w:r>
            <w:instrText xml:space="preserve"> PAGEREF _Toc1799 \h </w:instrText>
          </w:r>
          <w:r>
            <w:fldChar w:fldCharType="separate"/>
          </w:r>
          <w:r>
            <w:t>57</w:t>
          </w:r>
          <w:r>
            <w:fldChar w:fldCharType="end"/>
          </w:r>
          <w:r>
            <w:fldChar w:fldCharType="end"/>
          </w:r>
        </w:p>
        <w:p w14:paraId="748B61FC">
          <w:pPr>
            <w:pStyle w:val="16"/>
            <w:tabs>
              <w:tab w:val="right" w:leader="dot" w:pos="8297"/>
            </w:tabs>
          </w:pPr>
          <w:r>
            <w:fldChar w:fldCharType="begin"/>
          </w:r>
          <w:r>
            <w:instrText xml:space="preserve"> HYPERLINK \l _Toc2288 </w:instrText>
          </w:r>
          <w:r>
            <w:fldChar w:fldCharType="separate"/>
          </w:r>
          <w:r>
            <w:rPr>
              <w:rFonts w:hint="eastAsia"/>
            </w:rPr>
            <w:t>第七章 国土空间保障支撑体系</w:t>
          </w:r>
          <w:r>
            <w:tab/>
          </w:r>
          <w:r>
            <w:fldChar w:fldCharType="begin"/>
          </w:r>
          <w:r>
            <w:instrText xml:space="preserve"> PAGEREF _Toc2288 \h </w:instrText>
          </w:r>
          <w:r>
            <w:fldChar w:fldCharType="separate"/>
          </w:r>
          <w:r>
            <w:t>59</w:t>
          </w:r>
          <w:r>
            <w:fldChar w:fldCharType="end"/>
          </w:r>
          <w:r>
            <w:fldChar w:fldCharType="end"/>
          </w:r>
        </w:p>
        <w:p w14:paraId="1E48F24D">
          <w:pPr>
            <w:pStyle w:val="17"/>
            <w:tabs>
              <w:tab w:val="right" w:leader="dot" w:pos="8297"/>
            </w:tabs>
          </w:pPr>
          <w:r>
            <w:fldChar w:fldCharType="begin"/>
          </w:r>
          <w:r>
            <w:instrText xml:space="preserve"> HYPERLINK \l _Toc17494 </w:instrText>
          </w:r>
          <w:r>
            <w:fldChar w:fldCharType="separate"/>
          </w:r>
          <w:r>
            <w:rPr>
              <w:rFonts w:hint="default"/>
            </w:rPr>
            <w:t xml:space="preserve">第一节 </w:t>
          </w:r>
          <w:r>
            <w:rPr>
              <w:rFonts w:hint="eastAsia"/>
            </w:rPr>
            <w:t>公共服务设施</w:t>
          </w:r>
          <w:r>
            <w:tab/>
          </w:r>
          <w:r>
            <w:fldChar w:fldCharType="begin"/>
          </w:r>
          <w:r>
            <w:instrText xml:space="preserve"> PAGEREF _Toc17494 \h </w:instrText>
          </w:r>
          <w:r>
            <w:fldChar w:fldCharType="separate"/>
          </w:r>
          <w:r>
            <w:t>59</w:t>
          </w:r>
          <w:r>
            <w:fldChar w:fldCharType="end"/>
          </w:r>
          <w:r>
            <w:fldChar w:fldCharType="end"/>
          </w:r>
        </w:p>
        <w:p w14:paraId="4CB23BCA">
          <w:pPr>
            <w:pStyle w:val="17"/>
            <w:tabs>
              <w:tab w:val="right" w:leader="dot" w:pos="8297"/>
            </w:tabs>
          </w:pPr>
          <w:r>
            <w:fldChar w:fldCharType="begin"/>
          </w:r>
          <w:r>
            <w:instrText xml:space="preserve"> HYPERLINK \l _Toc4144 </w:instrText>
          </w:r>
          <w:r>
            <w:fldChar w:fldCharType="separate"/>
          </w:r>
          <w:r>
            <w:rPr>
              <w:rFonts w:hint="default"/>
            </w:rPr>
            <w:t xml:space="preserve">第二节 </w:t>
          </w:r>
          <w:r>
            <w:t>综合交通设施</w:t>
          </w:r>
          <w:r>
            <w:tab/>
          </w:r>
          <w:r>
            <w:fldChar w:fldCharType="begin"/>
          </w:r>
          <w:r>
            <w:instrText xml:space="preserve"> PAGEREF _Toc4144 \h </w:instrText>
          </w:r>
          <w:r>
            <w:fldChar w:fldCharType="separate"/>
          </w:r>
          <w:r>
            <w:t>61</w:t>
          </w:r>
          <w:r>
            <w:fldChar w:fldCharType="end"/>
          </w:r>
          <w:r>
            <w:fldChar w:fldCharType="end"/>
          </w:r>
        </w:p>
        <w:p w14:paraId="77CC153D">
          <w:pPr>
            <w:pStyle w:val="17"/>
            <w:tabs>
              <w:tab w:val="right" w:leader="dot" w:pos="8297"/>
            </w:tabs>
          </w:pPr>
          <w:r>
            <w:fldChar w:fldCharType="begin"/>
          </w:r>
          <w:r>
            <w:instrText xml:space="preserve"> HYPERLINK \l _Toc11825 </w:instrText>
          </w:r>
          <w:r>
            <w:fldChar w:fldCharType="separate"/>
          </w:r>
          <w:r>
            <w:rPr>
              <w:rFonts w:hint="default"/>
            </w:rPr>
            <w:t xml:space="preserve">第三节 </w:t>
          </w:r>
          <w:r>
            <w:rPr>
              <w:rFonts w:hint="eastAsia"/>
            </w:rPr>
            <w:t>市政配套设施</w:t>
          </w:r>
          <w:r>
            <w:tab/>
          </w:r>
          <w:r>
            <w:fldChar w:fldCharType="begin"/>
          </w:r>
          <w:r>
            <w:instrText xml:space="preserve"> PAGEREF _Toc11825 \h </w:instrText>
          </w:r>
          <w:r>
            <w:fldChar w:fldCharType="separate"/>
          </w:r>
          <w:r>
            <w:t>63</w:t>
          </w:r>
          <w:r>
            <w:fldChar w:fldCharType="end"/>
          </w:r>
          <w:r>
            <w:fldChar w:fldCharType="end"/>
          </w:r>
        </w:p>
        <w:p w14:paraId="7918BF45">
          <w:pPr>
            <w:pStyle w:val="17"/>
            <w:tabs>
              <w:tab w:val="right" w:leader="dot" w:pos="8297"/>
            </w:tabs>
          </w:pPr>
          <w:r>
            <w:fldChar w:fldCharType="begin"/>
          </w:r>
          <w:r>
            <w:instrText xml:space="preserve"> HYPERLINK \l _Toc7282 </w:instrText>
          </w:r>
          <w:r>
            <w:fldChar w:fldCharType="separate"/>
          </w:r>
          <w:r>
            <w:rPr>
              <w:rFonts w:hint="default"/>
            </w:rPr>
            <w:t xml:space="preserve">第四节 </w:t>
          </w:r>
          <w:r>
            <w:t>防灾减灾</w:t>
          </w:r>
          <w:r>
            <w:rPr>
              <w:rFonts w:hint="eastAsia"/>
            </w:rPr>
            <w:t>与公共安全</w:t>
          </w:r>
          <w:r>
            <w:t>设施</w:t>
          </w:r>
          <w:r>
            <w:tab/>
          </w:r>
          <w:r>
            <w:fldChar w:fldCharType="begin"/>
          </w:r>
          <w:r>
            <w:instrText xml:space="preserve"> PAGEREF _Toc7282 \h </w:instrText>
          </w:r>
          <w:r>
            <w:fldChar w:fldCharType="separate"/>
          </w:r>
          <w:r>
            <w:t>66</w:t>
          </w:r>
          <w:r>
            <w:fldChar w:fldCharType="end"/>
          </w:r>
          <w:r>
            <w:fldChar w:fldCharType="end"/>
          </w:r>
        </w:p>
        <w:p w14:paraId="0B22AE95">
          <w:pPr>
            <w:pStyle w:val="16"/>
            <w:tabs>
              <w:tab w:val="right" w:leader="dot" w:pos="8297"/>
            </w:tabs>
          </w:pPr>
          <w:r>
            <w:fldChar w:fldCharType="begin"/>
          </w:r>
          <w:r>
            <w:instrText xml:space="preserve"> HYPERLINK \l _Toc21010 </w:instrText>
          </w:r>
          <w:r>
            <w:fldChar w:fldCharType="separate"/>
          </w:r>
          <w:r>
            <w:rPr>
              <w:rFonts w:hint="eastAsia"/>
            </w:rPr>
            <w:t>第八章 生态修复和国土综合整治</w:t>
          </w:r>
          <w:r>
            <w:tab/>
          </w:r>
          <w:r>
            <w:fldChar w:fldCharType="begin"/>
          </w:r>
          <w:r>
            <w:instrText xml:space="preserve"> PAGEREF _Toc21010 \h </w:instrText>
          </w:r>
          <w:r>
            <w:fldChar w:fldCharType="separate"/>
          </w:r>
          <w:r>
            <w:t>73</w:t>
          </w:r>
          <w:r>
            <w:fldChar w:fldCharType="end"/>
          </w:r>
          <w:r>
            <w:fldChar w:fldCharType="end"/>
          </w:r>
        </w:p>
        <w:p w14:paraId="058CD12E">
          <w:pPr>
            <w:pStyle w:val="17"/>
            <w:tabs>
              <w:tab w:val="right" w:leader="dot" w:pos="8297"/>
            </w:tabs>
          </w:pPr>
          <w:r>
            <w:fldChar w:fldCharType="begin"/>
          </w:r>
          <w:r>
            <w:instrText xml:space="preserve"> HYPERLINK \l _Toc25722 </w:instrText>
          </w:r>
          <w:r>
            <w:fldChar w:fldCharType="separate"/>
          </w:r>
          <w:r>
            <w:rPr>
              <w:rFonts w:hint="default"/>
            </w:rPr>
            <w:t xml:space="preserve">第一节 </w:t>
          </w:r>
          <w:r>
            <w:t>生态修复</w:t>
          </w:r>
          <w:r>
            <w:tab/>
          </w:r>
          <w:r>
            <w:fldChar w:fldCharType="begin"/>
          </w:r>
          <w:r>
            <w:instrText xml:space="preserve"> PAGEREF _Toc25722 \h </w:instrText>
          </w:r>
          <w:r>
            <w:fldChar w:fldCharType="separate"/>
          </w:r>
          <w:r>
            <w:t>73</w:t>
          </w:r>
          <w:r>
            <w:fldChar w:fldCharType="end"/>
          </w:r>
          <w:r>
            <w:fldChar w:fldCharType="end"/>
          </w:r>
        </w:p>
        <w:p w14:paraId="6D99C583">
          <w:pPr>
            <w:pStyle w:val="17"/>
            <w:tabs>
              <w:tab w:val="right" w:leader="dot" w:pos="8297"/>
            </w:tabs>
          </w:pPr>
          <w:r>
            <w:fldChar w:fldCharType="begin"/>
          </w:r>
          <w:r>
            <w:instrText xml:space="preserve"> HYPERLINK \l _Toc13849 </w:instrText>
          </w:r>
          <w:r>
            <w:fldChar w:fldCharType="separate"/>
          </w:r>
          <w:r>
            <w:rPr>
              <w:rFonts w:hint="default"/>
            </w:rPr>
            <w:t xml:space="preserve">第二节 </w:t>
          </w:r>
          <w:r>
            <w:rPr>
              <w:rFonts w:hint="eastAsia"/>
            </w:rPr>
            <w:t>国土综合整治</w:t>
          </w:r>
          <w:r>
            <w:tab/>
          </w:r>
          <w:r>
            <w:fldChar w:fldCharType="begin"/>
          </w:r>
          <w:r>
            <w:instrText xml:space="preserve"> PAGEREF _Toc13849 \h </w:instrText>
          </w:r>
          <w:r>
            <w:fldChar w:fldCharType="separate"/>
          </w:r>
          <w:r>
            <w:t>75</w:t>
          </w:r>
          <w:r>
            <w:fldChar w:fldCharType="end"/>
          </w:r>
          <w:r>
            <w:fldChar w:fldCharType="end"/>
          </w:r>
        </w:p>
        <w:p w14:paraId="348690F9">
          <w:pPr>
            <w:pStyle w:val="16"/>
            <w:tabs>
              <w:tab w:val="right" w:leader="dot" w:pos="8297"/>
            </w:tabs>
          </w:pPr>
          <w:r>
            <w:fldChar w:fldCharType="begin"/>
          </w:r>
          <w:r>
            <w:instrText xml:space="preserve"> HYPERLINK \l _Toc32428 </w:instrText>
          </w:r>
          <w:r>
            <w:fldChar w:fldCharType="separate"/>
          </w:r>
          <w:r>
            <w:rPr>
              <w:rFonts w:hint="eastAsia"/>
            </w:rPr>
            <w:t>第九章 镇中心区功能布局与规划管控</w:t>
          </w:r>
          <w:r>
            <w:tab/>
          </w:r>
          <w:r>
            <w:fldChar w:fldCharType="begin"/>
          </w:r>
          <w:r>
            <w:instrText xml:space="preserve"> PAGEREF _Toc32428 \h </w:instrText>
          </w:r>
          <w:r>
            <w:fldChar w:fldCharType="separate"/>
          </w:r>
          <w:r>
            <w:t>79</w:t>
          </w:r>
          <w:r>
            <w:fldChar w:fldCharType="end"/>
          </w:r>
          <w:r>
            <w:fldChar w:fldCharType="end"/>
          </w:r>
        </w:p>
        <w:p w14:paraId="606F76FD">
          <w:pPr>
            <w:pStyle w:val="17"/>
            <w:tabs>
              <w:tab w:val="right" w:leader="dot" w:pos="8297"/>
            </w:tabs>
          </w:pPr>
          <w:r>
            <w:fldChar w:fldCharType="begin"/>
          </w:r>
          <w:r>
            <w:instrText xml:space="preserve"> HYPERLINK \l _Toc9426 </w:instrText>
          </w:r>
          <w:r>
            <w:fldChar w:fldCharType="separate"/>
          </w:r>
          <w:r>
            <w:rPr>
              <w:rFonts w:hint="default"/>
            </w:rPr>
            <w:t xml:space="preserve">第一节 </w:t>
          </w:r>
          <w:r>
            <w:rPr>
              <w:rFonts w:hint="eastAsia"/>
            </w:rPr>
            <w:t>用地结构和布局</w:t>
          </w:r>
          <w:r>
            <w:tab/>
          </w:r>
          <w:r>
            <w:fldChar w:fldCharType="begin"/>
          </w:r>
          <w:r>
            <w:instrText xml:space="preserve"> PAGEREF _Toc9426 \h </w:instrText>
          </w:r>
          <w:r>
            <w:fldChar w:fldCharType="separate"/>
          </w:r>
          <w:r>
            <w:t>79</w:t>
          </w:r>
          <w:r>
            <w:fldChar w:fldCharType="end"/>
          </w:r>
          <w:r>
            <w:fldChar w:fldCharType="end"/>
          </w:r>
        </w:p>
        <w:p w14:paraId="5DFC5588">
          <w:pPr>
            <w:pStyle w:val="17"/>
            <w:tabs>
              <w:tab w:val="right" w:leader="dot" w:pos="8297"/>
            </w:tabs>
          </w:pPr>
          <w:r>
            <w:fldChar w:fldCharType="begin"/>
          </w:r>
          <w:r>
            <w:instrText xml:space="preserve"> HYPERLINK \l _Toc18993 </w:instrText>
          </w:r>
          <w:r>
            <w:fldChar w:fldCharType="separate"/>
          </w:r>
          <w:r>
            <w:rPr>
              <w:rFonts w:hint="default"/>
            </w:rPr>
            <w:t xml:space="preserve">第二节 </w:t>
          </w:r>
          <w:r>
            <w:rPr>
              <w:rFonts w:hint="eastAsia"/>
            </w:rPr>
            <w:t>绿地系统和开敞空间</w:t>
          </w:r>
          <w:r>
            <w:tab/>
          </w:r>
          <w:r>
            <w:fldChar w:fldCharType="begin"/>
          </w:r>
          <w:r>
            <w:instrText xml:space="preserve"> PAGEREF _Toc18993 \h </w:instrText>
          </w:r>
          <w:r>
            <w:fldChar w:fldCharType="separate"/>
          </w:r>
          <w:r>
            <w:t>80</w:t>
          </w:r>
          <w:r>
            <w:fldChar w:fldCharType="end"/>
          </w:r>
          <w:r>
            <w:fldChar w:fldCharType="end"/>
          </w:r>
        </w:p>
        <w:p w14:paraId="4E7176DD">
          <w:pPr>
            <w:pStyle w:val="17"/>
            <w:tabs>
              <w:tab w:val="right" w:leader="dot" w:pos="8297"/>
            </w:tabs>
          </w:pPr>
          <w:r>
            <w:fldChar w:fldCharType="begin"/>
          </w:r>
          <w:r>
            <w:instrText xml:space="preserve"> HYPERLINK \l _Toc3149 </w:instrText>
          </w:r>
          <w:r>
            <w:fldChar w:fldCharType="separate"/>
          </w:r>
          <w:r>
            <w:rPr>
              <w:rFonts w:hint="default"/>
            </w:rPr>
            <w:t xml:space="preserve">第三节 </w:t>
          </w:r>
          <w:r>
            <w:rPr>
              <w:rFonts w:hint="eastAsia"/>
            </w:rPr>
            <w:t>景观风貌塑造</w:t>
          </w:r>
          <w:r>
            <w:tab/>
          </w:r>
          <w:r>
            <w:fldChar w:fldCharType="begin"/>
          </w:r>
          <w:r>
            <w:instrText xml:space="preserve"> PAGEREF _Toc3149 \h </w:instrText>
          </w:r>
          <w:r>
            <w:fldChar w:fldCharType="separate"/>
          </w:r>
          <w:r>
            <w:t>82</w:t>
          </w:r>
          <w:r>
            <w:fldChar w:fldCharType="end"/>
          </w:r>
          <w:r>
            <w:fldChar w:fldCharType="end"/>
          </w:r>
        </w:p>
        <w:p w14:paraId="18BD006A">
          <w:pPr>
            <w:pStyle w:val="17"/>
            <w:tabs>
              <w:tab w:val="right" w:leader="dot" w:pos="8297"/>
            </w:tabs>
          </w:pPr>
          <w:r>
            <w:fldChar w:fldCharType="begin"/>
          </w:r>
          <w:r>
            <w:instrText xml:space="preserve"> HYPERLINK \l _Toc578 </w:instrText>
          </w:r>
          <w:r>
            <w:fldChar w:fldCharType="separate"/>
          </w:r>
          <w:r>
            <w:rPr>
              <w:rFonts w:hint="default"/>
            </w:rPr>
            <w:t xml:space="preserve">第四节 </w:t>
          </w:r>
          <w:r>
            <w:rPr>
              <w:rFonts w:hint="eastAsia"/>
            </w:rPr>
            <w:t>住房保障</w:t>
          </w:r>
          <w:r>
            <w:tab/>
          </w:r>
          <w:r>
            <w:fldChar w:fldCharType="begin"/>
          </w:r>
          <w:r>
            <w:instrText xml:space="preserve"> PAGEREF _Toc578 \h </w:instrText>
          </w:r>
          <w:r>
            <w:fldChar w:fldCharType="separate"/>
          </w:r>
          <w:r>
            <w:t>83</w:t>
          </w:r>
          <w:r>
            <w:fldChar w:fldCharType="end"/>
          </w:r>
          <w:r>
            <w:fldChar w:fldCharType="end"/>
          </w:r>
        </w:p>
        <w:p w14:paraId="4ACA8E6C">
          <w:pPr>
            <w:pStyle w:val="17"/>
            <w:tabs>
              <w:tab w:val="right" w:leader="dot" w:pos="8297"/>
            </w:tabs>
          </w:pPr>
          <w:r>
            <w:fldChar w:fldCharType="begin"/>
          </w:r>
          <w:r>
            <w:instrText xml:space="preserve"> HYPERLINK \l _Toc12985 </w:instrText>
          </w:r>
          <w:r>
            <w:fldChar w:fldCharType="separate"/>
          </w:r>
          <w:r>
            <w:rPr>
              <w:rFonts w:hint="default"/>
            </w:rPr>
            <w:t xml:space="preserve">第五节 </w:t>
          </w:r>
          <w:r>
            <w:rPr>
              <w:rFonts w:hint="eastAsia"/>
            </w:rPr>
            <w:t>城镇更新</w:t>
          </w:r>
          <w:r>
            <w:tab/>
          </w:r>
          <w:r>
            <w:fldChar w:fldCharType="begin"/>
          </w:r>
          <w:r>
            <w:instrText xml:space="preserve"> PAGEREF _Toc12985 \h </w:instrText>
          </w:r>
          <w:r>
            <w:fldChar w:fldCharType="separate"/>
          </w:r>
          <w:r>
            <w:t>83</w:t>
          </w:r>
          <w:r>
            <w:fldChar w:fldCharType="end"/>
          </w:r>
          <w:r>
            <w:fldChar w:fldCharType="end"/>
          </w:r>
        </w:p>
        <w:p w14:paraId="38C92AF8">
          <w:pPr>
            <w:pStyle w:val="17"/>
            <w:tabs>
              <w:tab w:val="right" w:leader="dot" w:pos="8297"/>
            </w:tabs>
          </w:pPr>
          <w:r>
            <w:fldChar w:fldCharType="begin"/>
          </w:r>
          <w:r>
            <w:instrText xml:space="preserve"> HYPERLINK \l _Toc21693 </w:instrText>
          </w:r>
          <w:r>
            <w:fldChar w:fldCharType="separate"/>
          </w:r>
          <w:r>
            <w:rPr>
              <w:rFonts w:hint="default"/>
            </w:rPr>
            <w:t xml:space="preserve">第六节 </w:t>
          </w:r>
          <w:r>
            <w:rPr>
              <w:rFonts w:hint="eastAsia"/>
            </w:rPr>
            <w:t>公共服务设施</w:t>
          </w:r>
          <w:r>
            <w:tab/>
          </w:r>
          <w:r>
            <w:fldChar w:fldCharType="begin"/>
          </w:r>
          <w:r>
            <w:instrText xml:space="preserve"> PAGEREF _Toc21693 \h </w:instrText>
          </w:r>
          <w:r>
            <w:fldChar w:fldCharType="separate"/>
          </w:r>
          <w:r>
            <w:t>84</w:t>
          </w:r>
          <w:r>
            <w:fldChar w:fldCharType="end"/>
          </w:r>
          <w:r>
            <w:fldChar w:fldCharType="end"/>
          </w:r>
        </w:p>
        <w:p w14:paraId="65D1091B">
          <w:pPr>
            <w:pStyle w:val="17"/>
            <w:tabs>
              <w:tab w:val="right" w:leader="dot" w:pos="8297"/>
            </w:tabs>
          </w:pPr>
          <w:r>
            <w:fldChar w:fldCharType="begin"/>
          </w:r>
          <w:r>
            <w:instrText xml:space="preserve"> HYPERLINK \l _Toc21801 </w:instrText>
          </w:r>
          <w:r>
            <w:fldChar w:fldCharType="separate"/>
          </w:r>
          <w:r>
            <w:rPr>
              <w:rFonts w:hint="default"/>
            </w:rPr>
            <w:t xml:space="preserve">第七节 </w:t>
          </w:r>
          <w:r>
            <w:rPr>
              <w:rFonts w:hint="eastAsia"/>
            </w:rPr>
            <w:t>道路交通设施</w:t>
          </w:r>
          <w:r>
            <w:tab/>
          </w:r>
          <w:r>
            <w:fldChar w:fldCharType="begin"/>
          </w:r>
          <w:r>
            <w:instrText xml:space="preserve"> PAGEREF _Toc21801 \h </w:instrText>
          </w:r>
          <w:r>
            <w:fldChar w:fldCharType="separate"/>
          </w:r>
          <w:r>
            <w:t>85</w:t>
          </w:r>
          <w:r>
            <w:fldChar w:fldCharType="end"/>
          </w:r>
          <w:r>
            <w:fldChar w:fldCharType="end"/>
          </w:r>
        </w:p>
        <w:p w14:paraId="0946B304">
          <w:pPr>
            <w:pStyle w:val="17"/>
            <w:tabs>
              <w:tab w:val="right" w:leader="dot" w:pos="8297"/>
            </w:tabs>
          </w:pPr>
          <w:r>
            <w:fldChar w:fldCharType="begin"/>
          </w:r>
          <w:r>
            <w:instrText xml:space="preserve"> HYPERLINK \l _Toc24175 </w:instrText>
          </w:r>
          <w:r>
            <w:fldChar w:fldCharType="separate"/>
          </w:r>
          <w:r>
            <w:rPr>
              <w:rFonts w:hint="default"/>
            </w:rPr>
            <w:t xml:space="preserve">第八节 </w:t>
          </w:r>
          <w:r>
            <w:rPr>
              <w:rFonts w:hint="eastAsia"/>
            </w:rPr>
            <w:t>市政设施</w:t>
          </w:r>
          <w:r>
            <w:tab/>
          </w:r>
          <w:r>
            <w:fldChar w:fldCharType="begin"/>
          </w:r>
          <w:r>
            <w:instrText xml:space="preserve"> PAGEREF _Toc24175 \h </w:instrText>
          </w:r>
          <w:r>
            <w:fldChar w:fldCharType="separate"/>
          </w:r>
          <w:r>
            <w:t>87</w:t>
          </w:r>
          <w:r>
            <w:fldChar w:fldCharType="end"/>
          </w:r>
          <w:r>
            <w:fldChar w:fldCharType="end"/>
          </w:r>
        </w:p>
        <w:p w14:paraId="208157E9">
          <w:pPr>
            <w:pStyle w:val="17"/>
            <w:tabs>
              <w:tab w:val="right" w:leader="dot" w:pos="8297"/>
            </w:tabs>
          </w:pPr>
          <w:r>
            <w:fldChar w:fldCharType="begin"/>
          </w:r>
          <w:r>
            <w:instrText xml:space="preserve"> HYPERLINK \l _Toc10539 </w:instrText>
          </w:r>
          <w:r>
            <w:fldChar w:fldCharType="separate"/>
          </w:r>
          <w:r>
            <w:rPr>
              <w:rFonts w:hint="default"/>
            </w:rPr>
            <w:t xml:space="preserve">第九节 </w:t>
          </w:r>
          <w:r>
            <w:rPr>
              <w:rFonts w:hint="eastAsia"/>
            </w:rPr>
            <w:t>“</w:t>
          </w:r>
          <w:r>
            <w:t>四线</w:t>
          </w:r>
          <w:r>
            <w:rPr>
              <w:rFonts w:hint="eastAsia"/>
            </w:rPr>
            <w:t>”</w:t>
          </w:r>
          <w:r>
            <w:t>管控</w:t>
          </w:r>
          <w:r>
            <w:tab/>
          </w:r>
          <w:r>
            <w:fldChar w:fldCharType="begin"/>
          </w:r>
          <w:r>
            <w:instrText xml:space="preserve"> PAGEREF _Toc10539 \h </w:instrText>
          </w:r>
          <w:r>
            <w:fldChar w:fldCharType="separate"/>
          </w:r>
          <w:r>
            <w:t>91</w:t>
          </w:r>
          <w:r>
            <w:fldChar w:fldCharType="end"/>
          </w:r>
          <w:r>
            <w:fldChar w:fldCharType="end"/>
          </w:r>
        </w:p>
        <w:p w14:paraId="41373130">
          <w:pPr>
            <w:pStyle w:val="16"/>
            <w:tabs>
              <w:tab w:val="right" w:leader="dot" w:pos="8297"/>
            </w:tabs>
          </w:pPr>
          <w:r>
            <w:fldChar w:fldCharType="begin"/>
          </w:r>
          <w:r>
            <w:instrText xml:space="preserve"> HYPERLINK \l _Toc17090 </w:instrText>
          </w:r>
          <w:r>
            <w:fldChar w:fldCharType="separate"/>
          </w:r>
          <w:r>
            <w:rPr>
              <w:rFonts w:hint="eastAsia"/>
            </w:rPr>
            <w:t>第十章 规划传导与近期建设</w:t>
          </w:r>
          <w:r>
            <w:tab/>
          </w:r>
          <w:r>
            <w:fldChar w:fldCharType="begin"/>
          </w:r>
          <w:r>
            <w:instrText xml:space="preserve"> PAGEREF _Toc17090 \h </w:instrText>
          </w:r>
          <w:r>
            <w:fldChar w:fldCharType="separate"/>
          </w:r>
          <w:r>
            <w:t>93</w:t>
          </w:r>
          <w:r>
            <w:fldChar w:fldCharType="end"/>
          </w:r>
          <w:r>
            <w:fldChar w:fldCharType="end"/>
          </w:r>
        </w:p>
        <w:p w14:paraId="60EB3280">
          <w:pPr>
            <w:pStyle w:val="17"/>
            <w:tabs>
              <w:tab w:val="right" w:leader="dot" w:pos="8297"/>
            </w:tabs>
          </w:pPr>
          <w:r>
            <w:fldChar w:fldCharType="begin"/>
          </w:r>
          <w:r>
            <w:instrText xml:space="preserve"> HYPERLINK \l _Toc16462 </w:instrText>
          </w:r>
          <w:r>
            <w:fldChar w:fldCharType="separate"/>
          </w:r>
          <w:r>
            <w:rPr>
              <w:rFonts w:hint="default" w:ascii="Times New Roman" w:hAnsi="Times New Roman" w:cs="Times New Roman"/>
            </w:rPr>
            <w:t xml:space="preserve">第一节 </w:t>
          </w:r>
          <w:r>
            <w:rPr>
              <w:rFonts w:hint="eastAsia" w:ascii="Times New Roman" w:hAnsi="Times New Roman" w:cs="Times New Roman"/>
            </w:rPr>
            <w:t>加强党的领导</w:t>
          </w:r>
          <w:r>
            <w:tab/>
          </w:r>
          <w:r>
            <w:fldChar w:fldCharType="begin"/>
          </w:r>
          <w:r>
            <w:instrText xml:space="preserve"> PAGEREF _Toc16462 \h </w:instrText>
          </w:r>
          <w:r>
            <w:fldChar w:fldCharType="separate"/>
          </w:r>
          <w:r>
            <w:t>93</w:t>
          </w:r>
          <w:r>
            <w:fldChar w:fldCharType="end"/>
          </w:r>
          <w:r>
            <w:fldChar w:fldCharType="end"/>
          </w:r>
        </w:p>
        <w:p w14:paraId="5598AAD1">
          <w:pPr>
            <w:pStyle w:val="17"/>
            <w:tabs>
              <w:tab w:val="right" w:leader="dot" w:pos="8297"/>
            </w:tabs>
          </w:pPr>
          <w:r>
            <w:fldChar w:fldCharType="begin"/>
          </w:r>
          <w:r>
            <w:instrText xml:space="preserve"> HYPERLINK \l _Toc421 </w:instrText>
          </w:r>
          <w:r>
            <w:fldChar w:fldCharType="separate"/>
          </w:r>
          <w:r>
            <w:rPr>
              <w:rFonts w:hint="default" w:ascii="Times New Roman" w:hAnsi="Times New Roman" w:cs="Times New Roman"/>
            </w:rPr>
            <w:t xml:space="preserve">第二节 </w:t>
          </w:r>
          <w:r>
            <w:rPr>
              <w:rFonts w:hint="eastAsia" w:ascii="Times New Roman" w:hAnsi="Times New Roman" w:cs="Times New Roman"/>
            </w:rPr>
            <w:t>详细</w:t>
          </w:r>
          <w:r>
            <w:rPr>
              <w:rFonts w:ascii="Times New Roman" w:hAnsi="Times New Roman" w:cs="Times New Roman"/>
            </w:rPr>
            <w:t>规划传导</w:t>
          </w:r>
          <w:r>
            <w:tab/>
          </w:r>
          <w:r>
            <w:fldChar w:fldCharType="begin"/>
          </w:r>
          <w:r>
            <w:instrText xml:space="preserve"> PAGEREF _Toc421 \h </w:instrText>
          </w:r>
          <w:r>
            <w:fldChar w:fldCharType="separate"/>
          </w:r>
          <w:r>
            <w:t>93</w:t>
          </w:r>
          <w:r>
            <w:fldChar w:fldCharType="end"/>
          </w:r>
          <w:r>
            <w:fldChar w:fldCharType="end"/>
          </w:r>
        </w:p>
        <w:p w14:paraId="22B3B1D6">
          <w:pPr>
            <w:pStyle w:val="17"/>
            <w:tabs>
              <w:tab w:val="right" w:leader="dot" w:pos="8297"/>
            </w:tabs>
          </w:pPr>
          <w:r>
            <w:fldChar w:fldCharType="begin"/>
          </w:r>
          <w:r>
            <w:instrText xml:space="preserve"> HYPERLINK \l _Toc1246 </w:instrText>
          </w:r>
          <w:r>
            <w:fldChar w:fldCharType="separate"/>
          </w:r>
          <w:r>
            <w:rPr>
              <w:rFonts w:hint="default" w:ascii="Times New Roman" w:hAnsi="Times New Roman" w:cs="Times New Roman"/>
            </w:rPr>
            <w:t xml:space="preserve">第三节 </w:t>
          </w:r>
          <w:r>
            <w:rPr>
              <w:rFonts w:hint="eastAsia" w:ascii="Times New Roman" w:hAnsi="Times New Roman" w:cs="Times New Roman"/>
            </w:rPr>
            <w:t>近期建设</w:t>
          </w:r>
          <w:r>
            <w:tab/>
          </w:r>
          <w:r>
            <w:fldChar w:fldCharType="begin"/>
          </w:r>
          <w:r>
            <w:instrText xml:space="preserve"> PAGEREF _Toc1246 \h </w:instrText>
          </w:r>
          <w:r>
            <w:fldChar w:fldCharType="separate"/>
          </w:r>
          <w:r>
            <w:t>94</w:t>
          </w:r>
          <w:r>
            <w:fldChar w:fldCharType="end"/>
          </w:r>
          <w:r>
            <w:fldChar w:fldCharType="end"/>
          </w:r>
        </w:p>
        <w:p w14:paraId="48B6A6E0">
          <w:pPr>
            <w:pStyle w:val="17"/>
            <w:tabs>
              <w:tab w:val="right" w:leader="dot" w:pos="8297"/>
            </w:tabs>
          </w:pPr>
          <w:r>
            <w:fldChar w:fldCharType="begin"/>
          </w:r>
          <w:r>
            <w:instrText xml:space="preserve"> HYPERLINK \l _Toc1513 </w:instrText>
          </w:r>
          <w:r>
            <w:fldChar w:fldCharType="separate"/>
          </w:r>
          <w:r>
            <w:rPr>
              <w:rFonts w:hint="default" w:ascii="Times New Roman" w:hAnsi="Times New Roman" w:cs="Times New Roman"/>
            </w:rPr>
            <w:t xml:space="preserve">第四节 </w:t>
          </w:r>
          <w:r>
            <w:rPr>
              <w:rFonts w:hint="eastAsia" w:ascii="Times New Roman" w:hAnsi="Times New Roman" w:cs="Times New Roman"/>
            </w:rPr>
            <w:t>“一张图”建设与实施监督</w:t>
          </w:r>
          <w:r>
            <w:tab/>
          </w:r>
          <w:r>
            <w:fldChar w:fldCharType="begin"/>
          </w:r>
          <w:r>
            <w:instrText xml:space="preserve"> PAGEREF _Toc1513 \h </w:instrText>
          </w:r>
          <w:r>
            <w:fldChar w:fldCharType="separate"/>
          </w:r>
          <w:r>
            <w:t>97</w:t>
          </w:r>
          <w:r>
            <w:fldChar w:fldCharType="end"/>
          </w:r>
          <w:r>
            <w:fldChar w:fldCharType="end"/>
          </w:r>
        </w:p>
        <w:p w14:paraId="1272DD0F">
          <w:pPr>
            <w:pStyle w:val="16"/>
            <w:tabs>
              <w:tab w:val="right" w:leader="dot" w:pos="8287"/>
            </w:tabs>
            <w:sectPr>
              <w:footerReference r:id="rId14" w:type="first"/>
              <w:footerReference r:id="rId13" w:type="default"/>
              <w:pgSz w:w="11906" w:h="16838"/>
              <w:pgMar w:top="1491" w:right="1809" w:bottom="991" w:left="1800" w:header="720" w:footer="992" w:gutter="0"/>
              <w:pgNumType w:fmt="upperRoman" w:start="1"/>
              <w:cols w:space="720" w:num="1"/>
              <w:titlePg/>
              <w:docGrid w:linePitch="435" w:charSpace="0"/>
            </w:sectPr>
          </w:pPr>
          <w:r>
            <w:fldChar w:fldCharType="end"/>
          </w:r>
        </w:p>
      </w:sdtContent>
    </w:sdt>
    <w:p w14:paraId="7D6A4CE6">
      <w:pPr>
        <w:pStyle w:val="2"/>
        <w:spacing w:after="360"/>
        <w:rPr>
          <w:rFonts w:hint="eastAsia"/>
        </w:rPr>
      </w:pPr>
      <w:bookmarkStart w:id="0" w:name="_Toc19114"/>
      <w:bookmarkStart w:id="1" w:name="_Toc152937178"/>
      <w:bookmarkStart w:id="2" w:name="_Toc28943"/>
      <w:bookmarkStart w:id="3" w:name="_Toc381586"/>
      <w:bookmarkStart w:id="4" w:name="_Toc10418"/>
      <w:bookmarkStart w:id="5" w:name="_Toc133419305"/>
      <w:bookmarkStart w:id="6" w:name="_Toc80001913"/>
      <w:bookmarkStart w:id="7" w:name="_Toc114829196"/>
      <w:r>
        <w:rPr>
          <w:rFonts w:hint="eastAsia"/>
        </w:rPr>
        <w:t>第一章 总则</w:t>
      </w:r>
      <w:bookmarkEnd w:id="0"/>
      <w:bookmarkEnd w:id="1"/>
      <w:bookmarkEnd w:id="2"/>
      <w:bookmarkEnd w:id="3"/>
      <w:bookmarkEnd w:id="4"/>
      <w:bookmarkEnd w:id="5"/>
    </w:p>
    <w:p w14:paraId="721512C8">
      <w:pPr>
        <w:pStyle w:val="4"/>
        <w:rPr>
          <w:rFonts w:hint="eastAsia"/>
        </w:rPr>
      </w:pPr>
      <w:r>
        <w:rPr>
          <w:rFonts w:hint="eastAsia"/>
        </w:rPr>
        <w:t>规划定位</w:t>
      </w:r>
    </w:p>
    <w:p w14:paraId="2D7E6CFB">
      <w:r>
        <w:rPr>
          <w:rFonts w:hint="eastAsia"/>
        </w:rPr>
        <w:t>《桓仁满族自治县沙尖子镇国土空间总体规划（2021—2035年）》是对桓仁满族自治县（以下简称“桓仁县”）国土空间总体规划的细化落实，是对规划期内沙尖子镇全域国土空间</w:t>
      </w:r>
      <w:r>
        <w:t>保护、开发、利用、修复</w:t>
      </w:r>
      <w:r>
        <w:rPr>
          <w:rFonts w:hint="eastAsia"/>
        </w:rPr>
        <w:t>等工作作出的具体安排，是编制详细规划和实施国土空间用途管制的基本依据，也是落实乡村振兴战略的重要抓手。</w:t>
      </w:r>
    </w:p>
    <w:p w14:paraId="6627A96E">
      <w:pPr>
        <w:pStyle w:val="4"/>
        <w:rPr>
          <w:rFonts w:hint="eastAsia"/>
        </w:rPr>
      </w:pPr>
      <w:bookmarkStart w:id="8" w:name="_Toc133419309"/>
      <w:bookmarkStart w:id="9" w:name="_Toc381589"/>
      <w:bookmarkStart w:id="10" w:name="_Toc381588"/>
      <w:bookmarkStart w:id="11" w:name="_Toc133419307"/>
      <w:r>
        <w:t>指导思想</w:t>
      </w:r>
    </w:p>
    <w:p w14:paraId="1A9BCF68">
      <w:r>
        <w:t>以习近平新时代中国特色社会主义思想为指导，全面贯彻落实党的二十大精神，深入贯彻习近平总书记关于东北、辽宁振兴发展的重要讲话和指示批示精神，</w:t>
      </w:r>
      <w:r>
        <w:rPr>
          <w:rFonts w:hint="eastAsia"/>
        </w:rPr>
        <w:t>准确把握习近平总书记关于新时代推动东北全面振兴的新部署新要求新任务，以及本溪市、桓仁县对沙尖子镇的战略要求定位，</w:t>
      </w:r>
      <w:r>
        <w:t>立足新发展阶段，完整、准确、全面贯彻新发展理念，服务和融入新发展格局，统筹安排全域国土空间开发与保护，划定落实耕地和永久基本农田、生态保护红线、城镇开发边界三条控制线，优化农业、生态、城镇等空间布局，提高国土空间资源利用效率，彰显国土空间品质，全面提升国土空间治理体系和治理能力现代化水平，建设国土空间高质量发展、高品质生活和高水平治理的现代化新</w:t>
      </w:r>
      <w:r>
        <w:rPr>
          <w:rFonts w:hint="eastAsia"/>
        </w:rPr>
        <w:t>城镇</w:t>
      </w:r>
      <w:r>
        <w:t>，为实现</w:t>
      </w:r>
      <w:r>
        <w:rPr>
          <w:rFonts w:hint="eastAsia"/>
        </w:rPr>
        <w:t>沙尖子镇</w:t>
      </w:r>
      <w:r>
        <w:t>全面振兴、全方位振兴提供空间引领和保障。</w:t>
      </w:r>
    </w:p>
    <w:p w14:paraId="66709894">
      <w:pPr>
        <w:pStyle w:val="4"/>
        <w:rPr>
          <w:rFonts w:hint="eastAsia"/>
        </w:rPr>
      </w:pPr>
      <w:r>
        <w:t>规划依据</w:t>
      </w:r>
    </w:p>
    <w:p w14:paraId="089A50C4">
      <w:r>
        <w:t>1.</w:t>
      </w:r>
      <w:r>
        <w:rPr>
          <w:rFonts w:hint="eastAsia"/>
        </w:rPr>
        <w:t>法律法规</w:t>
      </w:r>
    </w:p>
    <w:p w14:paraId="2319315E">
      <w:bookmarkStart w:id="12" w:name="_Hlk130977458"/>
      <w:r>
        <w:rPr>
          <w:rFonts w:hint="eastAsia"/>
        </w:rPr>
        <w:t>（</w:t>
      </w:r>
      <w:r>
        <w:t>1）《中华人民共和国土地管理法》</w:t>
      </w:r>
      <w:r>
        <w:rPr>
          <w:rFonts w:hint="eastAsia"/>
        </w:rPr>
        <w:t>（2</w:t>
      </w:r>
      <w:r>
        <w:t>019</w:t>
      </w:r>
      <w:r>
        <w:rPr>
          <w:rFonts w:hint="eastAsia"/>
        </w:rPr>
        <w:t>年修正）</w:t>
      </w:r>
      <w:r>
        <w:t>；</w:t>
      </w:r>
    </w:p>
    <w:p w14:paraId="1887A58A">
      <w:r>
        <w:rPr>
          <w:rFonts w:hint="eastAsia"/>
        </w:rPr>
        <w:t>（</w:t>
      </w:r>
      <w:r>
        <w:t>2）《中华人民共和国</w:t>
      </w:r>
      <w:r>
        <w:rPr>
          <w:rFonts w:hint="eastAsia"/>
        </w:rPr>
        <w:t>城乡规划</w:t>
      </w:r>
      <w:r>
        <w:t>法》</w:t>
      </w:r>
      <w:r>
        <w:rPr>
          <w:rFonts w:hint="eastAsia"/>
        </w:rPr>
        <w:t>（2</w:t>
      </w:r>
      <w:r>
        <w:t>019</w:t>
      </w:r>
      <w:r>
        <w:rPr>
          <w:rFonts w:hint="eastAsia"/>
        </w:rPr>
        <w:t>年修正）</w:t>
      </w:r>
      <w:r>
        <w:t>；</w:t>
      </w:r>
    </w:p>
    <w:p w14:paraId="26E65010">
      <w:r>
        <w:rPr>
          <w:rFonts w:hint="eastAsia"/>
        </w:rPr>
        <w:t>（3）《中华人民共和国黑土地保护法》（2022年）；</w:t>
      </w:r>
    </w:p>
    <w:p w14:paraId="6C9A40BD">
      <w:r>
        <w:rPr>
          <w:rFonts w:hint="eastAsia"/>
        </w:rPr>
        <w:t>（4）《中华人民共和国湿地保护法》（2022年）；</w:t>
      </w:r>
    </w:p>
    <w:p w14:paraId="74B28513">
      <w:r>
        <w:rPr>
          <w:rFonts w:hint="eastAsia"/>
        </w:rPr>
        <w:t>（5）《中华人民共和国乡村振兴促进法》（2021年）；</w:t>
      </w:r>
    </w:p>
    <w:p w14:paraId="7FA811D3">
      <w:r>
        <w:rPr>
          <w:rFonts w:hint="eastAsia"/>
        </w:rPr>
        <w:t>（6）《中华人民共和国军事设施保护法》（2021年修订版）；</w:t>
      </w:r>
    </w:p>
    <w:p w14:paraId="6DC0C974">
      <w:r>
        <w:rPr>
          <w:rFonts w:hint="eastAsia"/>
        </w:rPr>
        <w:t>（7）《中华人民共和国消防法》（2021年修正版）；</w:t>
      </w:r>
    </w:p>
    <w:p w14:paraId="17FD6672">
      <w:r>
        <w:rPr>
          <w:rFonts w:hint="eastAsia"/>
        </w:rPr>
        <w:t>（8）《中华人民共和国基本医疗卫生与健康促进法》（2020年）；</w:t>
      </w:r>
    </w:p>
    <w:p w14:paraId="6F4FEE44">
      <w:r>
        <w:rPr>
          <w:rFonts w:hint="eastAsia"/>
        </w:rPr>
        <w:t>（9）《中华人民共和国固体废物污染环境防治法》（2020年修订版）；</w:t>
      </w:r>
    </w:p>
    <w:p w14:paraId="68749226">
      <w:r>
        <w:rPr>
          <w:rFonts w:hint="eastAsia"/>
        </w:rPr>
        <w:t>（1</w:t>
      </w:r>
      <w:r>
        <w:t>0</w:t>
      </w:r>
      <w:r>
        <w:rPr>
          <w:rFonts w:hint="eastAsia"/>
        </w:rPr>
        <w:t>）《中华人民共和国森林法》（2019年修订版）；</w:t>
      </w:r>
    </w:p>
    <w:p w14:paraId="5B17A7ED">
      <w:r>
        <w:rPr>
          <w:rFonts w:hint="eastAsia"/>
        </w:rPr>
        <w:t>（1</w:t>
      </w:r>
      <w:r>
        <w:t>1</w:t>
      </w:r>
      <w:r>
        <w:rPr>
          <w:rFonts w:hint="eastAsia"/>
        </w:rPr>
        <w:t>）《中华人民共和国文物保护法》（2017年修订版）；</w:t>
      </w:r>
    </w:p>
    <w:p w14:paraId="35920D0F">
      <w:r>
        <w:rPr>
          <w:rFonts w:hint="eastAsia"/>
        </w:rPr>
        <w:t>（1</w:t>
      </w:r>
      <w:r>
        <w:t>2</w:t>
      </w:r>
      <w:r>
        <w:rPr>
          <w:rFonts w:hint="eastAsia"/>
        </w:rPr>
        <w:t>）《中华人民共和国防洪法》（2016年修订版）；</w:t>
      </w:r>
    </w:p>
    <w:p w14:paraId="3F0BC9BF">
      <w:r>
        <w:rPr>
          <w:rFonts w:hint="eastAsia"/>
        </w:rPr>
        <w:t>（1</w:t>
      </w:r>
      <w:r>
        <w:t>3</w:t>
      </w:r>
      <w:r>
        <w:rPr>
          <w:rFonts w:hint="eastAsia"/>
        </w:rPr>
        <w:t>）《中华人民共和国环境保护法》（2014年修订版）；</w:t>
      </w:r>
    </w:p>
    <w:p w14:paraId="4247814C">
      <w:r>
        <w:rPr>
          <w:rFonts w:hint="eastAsia"/>
        </w:rPr>
        <w:t>（1</w:t>
      </w:r>
      <w:r>
        <w:t>4</w:t>
      </w:r>
      <w:r>
        <w:rPr>
          <w:rFonts w:hint="eastAsia"/>
        </w:rPr>
        <w:t>）《中华人民共和国农业法》（2012年修订版）；</w:t>
      </w:r>
    </w:p>
    <w:p w14:paraId="4C382370">
      <w:r>
        <w:rPr>
          <w:rFonts w:hint="eastAsia"/>
        </w:rPr>
        <w:t>（1</w:t>
      </w:r>
      <w:r>
        <w:t>5</w:t>
      </w:r>
      <w:r>
        <w:rPr>
          <w:rFonts w:hint="eastAsia"/>
        </w:rPr>
        <w:t>）《中华人民共和国土地管理法实施条例》（2021年修订版）；</w:t>
      </w:r>
    </w:p>
    <w:p w14:paraId="20B46FEF">
      <w:r>
        <w:rPr>
          <w:rFonts w:hint="eastAsia"/>
        </w:rPr>
        <w:t>（1</w:t>
      </w:r>
      <w:r>
        <w:t>6</w:t>
      </w:r>
      <w:r>
        <w:rPr>
          <w:rFonts w:hint="eastAsia"/>
        </w:rPr>
        <w:t>）《中华人民共和国自然保护区条例》（2017年修订版）；</w:t>
      </w:r>
    </w:p>
    <w:p w14:paraId="4536DB0C">
      <w:r>
        <w:rPr>
          <w:rFonts w:hint="eastAsia"/>
        </w:rPr>
        <w:t>（1</w:t>
      </w:r>
      <w:r>
        <w:t>7</w:t>
      </w:r>
      <w:r>
        <w:rPr>
          <w:rFonts w:hint="eastAsia"/>
        </w:rPr>
        <w:t>）《历史文化名城名镇名村保护条例》（2017年修订版）；</w:t>
      </w:r>
    </w:p>
    <w:p w14:paraId="647E302D">
      <w:r>
        <w:rPr>
          <w:rFonts w:hint="eastAsia"/>
        </w:rPr>
        <w:t>（1</w:t>
      </w:r>
      <w:r>
        <w:t>8</w:t>
      </w:r>
      <w:r>
        <w:rPr>
          <w:rFonts w:hint="eastAsia"/>
        </w:rPr>
        <w:t>）《风景名胜区条例》（2016年修订版）；</w:t>
      </w:r>
    </w:p>
    <w:p w14:paraId="580B1FDD">
      <w:r>
        <w:rPr>
          <w:rFonts w:hint="eastAsia"/>
        </w:rPr>
        <w:t>（1</w:t>
      </w:r>
      <w:r>
        <w:t>9</w:t>
      </w:r>
      <w:r>
        <w:rPr>
          <w:rFonts w:hint="eastAsia"/>
        </w:rPr>
        <w:t>）《基本农田保护条例》（2011年修订版）；</w:t>
      </w:r>
    </w:p>
    <w:p w14:paraId="3DD2423E">
      <w:r>
        <w:rPr>
          <w:rFonts w:hint="eastAsia"/>
        </w:rPr>
        <w:t>（2</w:t>
      </w:r>
      <w:r>
        <w:t>0</w:t>
      </w:r>
      <w:r>
        <w:rPr>
          <w:rFonts w:hint="eastAsia"/>
        </w:rPr>
        <w:t>）《地质灾害防治条例》（2004年）；</w:t>
      </w:r>
    </w:p>
    <w:p w14:paraId="46442003">
      <w:r>
        <w:rPr>
          <w:rFonts w:hint="eastAsia"/>
        </w:rPr>
        <w:t>（2</w:t>
      </w:r>
      <w:r>
        <w:t>1</w:t>
      </w:r>
      <w:r>
        <w:rPr>
          <w:rFonts w:hint="eastAsia"/>
        </w:rPr>
        <w:t>）《村庄和集镇规划建设管理条例》（1993年）。</w:t>
      </w:r>
    </w:p>
    <w:p w14:paraId="3E8CE49D">
      <w:r>
        <w:rPr>
          <w:rFonts w:hint="eastAsia"/>
        </w:rPr>
        <w:t>2</w:t>
      </w:r>
      <w:r>
        <w:t>.</w:t>
      </w:r>
      <w:r>
        <w:rPr>
          <w:rFonts w:hint="eastAsia"/>
        </w:rPr>
        <w:t>标准规范</w:t>
      </w:r>
    </w:p>
    <w:p w14:paraId="3E2B267D">
      <w:r>
        <w:rPr>
          <w:rFonts w:hint="eastAsia"/>
        </w:rPr>
        <w:t>（</w:t>
      </w:r>
      <w:r>
        <w:t>1</w:t>
      </w:r>
      <w:r>
        <w:rPr>
          <w:rFonts w:hint="eastAsia"/>
        </w:rPr>
        <w:t>）《国土空间调查、规划、用途管制用地用海分类指南》（2</w:t>
      </w:r>
      <w:r>
        <w:t>023</w:t>
      </w:r>
      <w:r>
        <w:rPr>
          <w:rFonts w:hint="eastAsia"/>
        </w:rPr>
        <w:t>年印发）；</w:t>
      </w:r>
    </w:p>
    <w:p w14:paraId="18705FE1">
      <w:r>
        <w:rPr>
          <w:rFonts w:hint="eastAsia"/>
        </w:rPr>
        <w:t>（</w:t>
      </w:r>
      <w:r>
        <w:t>2</w:t>
      </w:r>
      <w:r>
        <w:rPr>
          <w:rFonts w:hint="eastAsia"/>
        </w:rPr>
        <w:t>）《市级国土空间总体规划编制指南（试行）》；</w:t>
      </w:r>
    </w:p>
    <w:p w14:paraId="2A1B05BE">
      <w:r>
        <w:rPr>
          <w:rFonts w:hint="eastAsia"/>
        </w:rPr>
        <w:t>（</w:t>
      </w:r>
      <w:r>
        <w:t>3</w:t>
      </w:r>
      <w:r>
        <w:rPr>
          <w:rFonts w:hint="eastAsia"/>
        </w:rPr>
        <w:t>）《辽宁省县级国土空间总体规划编制导则（试行）》；</w:t>
      </w:r>
    </w:p>
    <w:p w14:paraId="69B81D0B">
      <w:r>
        <w:rPr>
          <w:rFonts w:hint="eastAsia"/>
        </w:rPr>
        <w:t>（</w:t>
      </w:r>
      <w:r>
        <w:t>4</w:t>
      </w:r>
      <w:r>
        <w:rPr>
          <w:rFonts w:hint="eastAsia"/>
        </w:rPr>
        <w:t>）《辽宁省乡镇级国土空间规划编制导则（试行）》；</w:t>
      </w:r>
    </w:p>
    <w:p w14:paraId="573F12B9">
      <w:r>
        <w:rPr>
          <w:rFonts w:hint="eastAsia"/>
        </w:rPr>
        <w:t>（</w:t>
      </w:r>
      <w:r>
        <w:t>5</w:t>
      </w:r>
      <w:r>
        <w:rPr>
          <w:rFonts w:hint="eastAsia"/>
        </w:rPr>
        <w:t>）《辽宁省村庄规划编制导则（试行）》；</w:t>
      </w:r>
    </w:p>
    <w:p w14:paraId="29BE3A58">
      <w:r>
        <w:rPr>
          <w:rFonts w:hint="eastAsia"/>
        </w:rPr>
        <w:t>（</w:t>
      </w:r>
      <w:r>
        <w:t>6</w:t>
      </w:r>
      <w:r>
        <w:rPr>
          <w:rFonts w:hint="eastAsia"/>
        </w:rPr>
        <w:t>）《乡镇级国土空间规划数据库规范（试行）》；</w:t>
      </w:r>
    </w:p>
    <w:p w14:paraId="01D11478">
      <w:r>
        <w:rPr>
          <w:rFonts w:hint="eastAsia"/>
        </w:rPr>
        <w:t>（</w:t>
      </w:r>
      <w:r>
        <w:t>7</w:t>
      </w:r>
      <w:r>
        <w:rPr>
          <w:rFonts w:hint="eastAsia"/>
        </w:rPr>
        <w:t>）《辽宁省乡镇级国土空间总体规划汇交要求》（2024修订版）。</w:t>
      </w:r>
    </w:p>
    <w:p w14:paraId="4D0AF28B">
      <w:r>
        <w:t>3.</w:t>
      </w:r>
      <w:r>
        <w:rPr>
          <w:rFonts w:hint="eastAsia"/>
        </w:rPr>
        <w:t>政策文件</w:t>
      </w:r>
    </w:p>
    <w:p w14:paraId="3807AC1F">
      <w:r>
        <w:rPr>
          <w:rFonts w:hint="eastAsia"/>
        </w:rPr>
        <w:t>（1）《中共中央 国务院关于进一步加强城市规划建设管理工作的若干意见》（中发〔2016〕6号）；</w:t>
      </w:r>
    </w:p>
    <w:p w14:paraId="1962E1C7">
      <w:r>
        <w:rPr>
          <w:rFonts w:hint="eastAsia"/>
        </w:rPr>
        <w:t>（2）《中共中央 国务院关于建立国土空间规划体系并监督实施的若干意见》（中发〔2019〕18号）；</w:t>
      </w:r>
    </w:p>
    <w:p w14:paraId="017C51D5">
      <w:r>
        <w:rPr>
          <w:rFonts w:hint="eastAsia"/>
        </w:rPr>
        <w:t>（3）《中共中央办公厅 国务院办公厅印发〈关于在国土空间规划中统筹划定落实三条控制线的指导意见〉的通知》（厅字〔2019〕48号）；</w:t>
      </w:r>
    </w:p>
    <w:p w14:paraId="195C173F">
      <w:r>
        <w:rPr>
          <w:rFonts w:hint="eastAsia"/>
        </w:rPr>
        <w:t>（</w:t>
      </w:r>
      <w:r>
        <w:t>4</w:t>
      </w:r>
      <w:r>
        <w:rPr>
          <w:rFonts w:hint="eastAsia"/>
        </w:rPr>
        <w:t>）《自然资源部中央农村工作领导小组办公室关于学习运用“千万工程”经验提高村庄规划编制质量和实效的通知》（自然资发〔2024〕1号）；</w:t>
      </w:r>
    </w:p>
    <w:p w14:paraId="7CF48E92">
      <w:r>
        <w:rPr>
          <w:rFonts w:hint="eastAsia"/>
        </w:rPr>
        <w:t>（</w:t>
      </w:r>
      <w:r>
        <w:t>5</w:t>
      </w:r>
      <w:r>
        <w:rPr>
          <w:rFonts w:hint="eastAsia"/>
        </w:rPr>
        <w:t>）《自然资源部关于深化规划用地“多审合一、多证合一”改革的通知》（自然资发〔2023〕69号）；</w:t>
      </w:r>
    </w:p>
    <w:p w14:paraId="4D0E75B4">
      <w:r>
        <w:rPr>
          <w:rFonts w:hint="eastAsia"/>
        </w:rPr>
        <w:t>（</w:t>
      </w:r>
      <w:r>
        <w:t>6</w:t>
      </w:r>
      <w:r>
        <w:rPr>
          <w:rFonts w:hint="eastAsia"/>
        </w:rPr>
        <w:t>）《辽宁省村庄建设边界初划实施方案》（辽自然资发〔2021〕29号）；</w:t>
      </w:r>
    </w:p>
    <w:p w14:paraId="3EC669F6">
      <w:r>
        <w:rPr>
          <w:rFonts w:hint="eastAsia"/>
        </w:rPr>
        <w:t>（</w:t>
      </w:r>
      <w:r>
        <w:t>7</w:t>
      </w:r>
      <w:r>
        <w:rPr>
          <w:rFonts w:hint="eastAsia"/>
        </w:rPr>
        <w:t>）《国务院办公厅关于坚决制止耕地“非农化”行为的通知》（国办发明电〔2020〕24号）；</w:t>
      </w:r>
    </w:p>
    <w:p w14:paraId="5CDBC799">
      <w:r>
        <w:rPr>
          <w:rFonts w:hint="eastAsia"/>
        </w:rPr>
        <w:t>（</w:t>
      </w:r>
      <w:r>
        <w:t>8</w:t>
      </w:r>
      <w:r>
        <w:rPr>
          <w:rFonts w:hint="eastAsia"/>
        </w:rPr>
        <w:t>）《国务院办公厅关于防止耕地“非粮化”稳定粮食生产的意见》（国办发〔2020〕44号）；</w:t>
      </w:r>
    </w:p>
    <w:p w14:paraId="7685327D">
      <w:r>
        <w:rPr>
          <w:rFonts w:hint="eastAsia"/>
        </w:rPr>
        <w:t>（</w:t>
      </w:r>
      <w:r>
        <w:t>9</w:t>
      </w:r>
      <w:r>
        <w:rPr>
          <w:rFonts w:hint="eastAsia"/>
        </w:rPr>
        <w:t>）《中共中央办公厅国务院办公厅印发〈关于建立以国家公园为主体的自然保护地体系的指导意见〉的通知》（中办发〔2019〕42号）；</w:t>
      </w:r>
    </w:p>
    <w:p w14:paraId="6EEED38D">
      <w:r>
        <w:rPr>
          <w:rFonts w:hint="eastAsia"/>
        </w:rPr>
        <w:t>（</w:t>
      </w:r>
      <w:r>
        <w:t>10</w:t>
      </w:r>
      <w:r>
        <w:rPr>
          <w:rFonts w:hint="eastAsia"/>
        </w:rPr>
        <w:t>）《中央农办农业农村部自然资源部国家发展改革委财政部关于统筹推进村庄规划的意见》（农规发〔2019〕1号）；</w:t>
      </w:r>
    </w:p>
    <w:p w14:paraId="5B36C906">
      <w:r>
        <w:rPr>
          <w:rFonts w:hint="eastAsia"/>
        </w:rPr>
        <w:t>（</w:t>
      </w:r>
      <w:r>
        <w:t>11</w:t>
      </w:r>
      <w:r>
        <w:rPr>
          <w:rFonts w:hint="eastAsia"/>
        </w:rPr>
        <w:t>）《自然资源部关于全面开展国土空间规划工作的通知》（自然资发〔2019〕87号）；</w:t>
      </w:r>
    </w:p>
    <w:p w14:paraId="5FCACE4F">
      <w:r>
        <w:rPr>
          <w:rFonts w:hint="eastAsia"/>
        </w:rPr>
        <w:t>（</w:t>
      </w:r>
      <w:r>
        <w:t>12</w:t>
      </w:r>
      <w:r>
        <w:rPr>
          <w:rFonts w:hint="eastAsia"/>
        </w:rPr>
        <w:t>）《自然资源部办公厅关于开展国土空间规划“一张图”建设和现状评估工作的通知》（自然资办发〔2019〕38号）；</w:t>
      </w:r>
    </w:p>
    <w:p w14:paraId="02599275">
      <w:r>
        <w:rPr>
          <w:rFonts w:hint="eastAsia"/>
        </w:rPr>
        <w:t>（</w:t>
      </w:r>
      <w:r>
        <w:t>13</w:t>
      </w:r>
      <w:r>
        <w:rPr>
          <w:rFonts w:hint="eastAsia"/>
        </w:rPr>
        <w:t>）《自然资源部办公厅关于加强村庄规划促进乡村振兴的通知》（自然资办发〔2019〕35号）；</w:t>
      </w:r>
    </w:p>
    <w:p w14:paraId="4154393E">
      <w:r>
        <w:rPr>
          <w:rFonts w:hint="eastAsia"/>
        </w:rPr>
        <w:t>（</w:t>
      </w:r>
      <w:r>
        <w:t>14</w:t>
      </w:r>
      <w:r>
        <w:rPr>
          <w:rFonts w:hint="eastAsia"/>
        </w:rPr>
        <w:t>）《落实乡村振兴战略推进村庄规划工作的实施方案》（辽自然资发〔2019〕48号）；</w:t>
      </w:r>
    </w:p>
    <w:p w14:paraId="5724D5D8">
      <w:r>
        <w:rPr>
          <w:rFonts w:hint="eastAsia"/>
        </w:rPr>
        <w:t>（</w:t>
      </w:r>
      <w:r>
        <w:t>15</w:t>
      </w:r>
      <w:r>
        <w:rPr>
          <w:rFonts w:hint="eastAsia"/>
        </w:rPr>
        <w:t>）《中共中央国务院关于实施乡村振兴战略的意见》（中发〔2018〕1号）；</w:t>
      </w:r>
    </w:p>
    <w:p w14:paraId="3B2C938A">
      <w:r>
        <w:rPr>
          <w:rFonts w:hint="eastAsia"/>
        </w:rPr>
        <w:t>（1</w:t>
      </w:r>
      <w:r>
        <w:t>6</w:t>
      </w:r>
      <w:r>
        <w:rPr>
          <w:rFonts w:hint="eastAsia"/>
        </w:rPr>
        <w:t>）《关于建立全省国土空间规划体系并监督实施的意见》（辽委发〔2020〕12号）；</w:t>
      </w:r>
    </w:p>
    <w:p w14:paraId="3824E754">
      <w:r>
        <w:t>4.</w:t>
      </w:r>
      <w:r>
        <w:rPr>
          <w:rFonts w:hint="eastAsia"/>
        </w:rPr>
        <w:t>相关规划</w:t>
      </w:r>
    </w:p>
    <w:p w14:paraId="7ACB6551">
      <w:r>
        <w:rPr>
          <w:rFonts w:hint="eastAsia"/>
        </w:rPr>
        <w:t>（</w:t>
      </w:r>
      <w:r>
        <w:t>1）《全国国土空间规划纲要（2021—2035年）》；</w:t>
      </w:r>
    </w:p>
    <w:p w14:paraId="67FAD287">
      <w:r>
        <w:rPr>
          <w:rFonts w:hint="eastAsia"/>
        </w:rPr>
        <w:t>（</w:t>
      </w:r>
      <w:r>
        <w:t>2）《辽宁省国民经济和社会发展第十四个五年规划和二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1C6B79DC">
      <w:r>
        <w:rPr>
          <w:rFonts w:hint="eastAsia"/>
        </w:rPr>
        <w:t>（</w:t>
      </w:r>
      <w:r>
        <w:t>3）《辽宁省国土空间规划（2021—2035年）》；</w:t>
      </w:r>
    </w:p>
    <w:p w14:paraId="622EA737">
      <w:r>
        <w:rPr>
          <w:rFonts w:hint="eastAsia"/>
        </w:rPr>
        <w:t>（</w:t>
      </w:r>
      <w:r>
        <w:t>4）《</w:t>
      </w:r>
      <w:r>
        <w:rPr>
          <w:rFonts w:hint="eastAsia"/>
        </w:rPr>
        <w:t>本溪市</w:t>
      </w:r>
      <w:r>
        <w:t>国土空间总体规划（2021—2035年）》；</w:t>
      </w:r>
    </w:p>
    <w:p w14:paraId="32D1CEF6">
      <w:r>
        <w:rPr>
          <w:rFonts w:hint="eastAsia"/>
        </w:rPr>
        <w:t>（</w:t>
      </w:r>
      <w:r>
        <w:t>5）《</w:t>
      </w:r>
      <w:r>
        <w:rPr>
          <w:rFonts w:hint="eastAsia"/>
        </w:rPr>
        <w:t>本溪市</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35FD6F03">
      <w:pPr>
        <w:rPr>
          <w:rFonts w:hint="eastAsia" w:ascii="仿宋_GB2312" w:hAnsi="仿宋_GB2312" w:cs="仿宋_GB2312"/>
        </w:rPr>
      </w:pPr>
      <w:r>
        <w:rPr>
          <w:rFonts w:hint="eastAsia"/>
        </w:rPr>
        <w:t>（</w:t>
      </w:r>
      <w:r>
        <w:t>6）《</w:t>
      </w:r>
      <w:r>
        <w:rPr>
          <w:rFonts w:hint="eastAsia"/>
        </w:rPr>
        <w:t>桓仁满族自治县</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5698900B">
      <w:pPr>
        <w:rPr>
          <w:rFonts w:hint="eastAsia" w:ascii="仿宋_GB2312" w:hAnsi="仿宋_GB2312" w:cs="仿宋_GB2312"/>
        </w:rPr>
      </w:pPr>
      <w:r>
        <w:rPr>
          <w:rFonts w:hint="eastAsia"/>
        </w:rPr>
        <w:t>（</w:t>
      </w:r>
      <w:r>
        <w:t>7</w:t>
      </w:r>
      <w:r>
        <w:rPr>
          <w:rFonts w:hint="eastAsia"/>
        </w:rPr>
        <w:t>）</w:t>
      </w:r>
      <w:r>
        <w:rPr>
          <w:rFonts w:hint="eastAsia" w:ascii="仿宋_GB2312" w:hAnsi="仿宋_GB2312" w:cs="仿宋_GB2312"/>
        </w:rPr>
        <w:t>《</w:t>
      </w:r>
      <w:r>
        <w:rPr>
          <w:rFonts w:hint="eastAsia"/>
        </w:rPr>
        <w:t>桓仁满族自治县</w:t>
      </w:r>
      <w:r>
        <w:rPr>
          <w:rFonts w:hint="eastAsia" w:ascii="仿宋_GB2312" w:hAnsi="仿宋_GB2312" w:cs="仿宋_GB2312"/>
        </w:rPr>
        <w:t>国土空间总体规划（2021—2035年）》；</w:t>
      </w:r>
    </w:p>
    <w:p w14:paraId="35DADA8D">
      <w:r>
        <w:rPr>
          <w:rFonts w:hint="eastAsia"/>
        </w:rPr>
        <w:t>国家、省、市其他相关法律法规、标准规范和政策文件。</w:t>
      </w:r>
    </w:p>
    <w:bookmarkEnd w:id="12"/>
    <w:p w14:paraId="27FF23EC">
      <w:pPr>
        <w:pStyle w:val="4"/>
        <w:rPr>
          <w:rFonts w:hint="eastAsia"/>
        </w:rPr>
      </w:pPr>
      <w:bookmarkStart w:id="13" w:name="_Toc133419310"/>
      <w:bookmarkStart w:id="14" w:name="_Toc381590"/>
      <w:r>
        <w:t>规划范围</w:t>
      </w:r>
      <w:bookmarkEnd w:id="13"/>
      <w:bookmarkEnd w:id="14"/>
    </w:p>
    <w:p w14:paraId="0211E044">
      <w:r>
        <w:rPr>
          <w:rFonts w:hint="eastAsia"/>
        </w:rPr>
        <w:t>本次</w:t>
      </w:r>
      <w:r>
        <w:t>规划范围</w:t>
      </w:r>
      <w:r>
        <w:rPr>
          <w:rFonts w:hint="eastAsia"/>
        </w:rPr>
        <w:t>为沙尖子镇</w:t>
      </w:r>
      <w:r>
        <w:t>行政辖区</w:t>
      </w:r>
      <w:r>
        <w:rPr>
          <w:rFonts w:hint="eastAsia"/>
        </w:rPr>
        <w:t>内全部国土空间</w:t>
      </w:r>
      <w:r>
        <w:t>，</w:t>
      </w:r>
      <w:r>
        <w:rPr>
          <w:rFonts w:hint="eastAsia"/>
        </w:rPr>
        <w:t>共辖8个行政村，总面积290.25平方公里。镇中心区为城镇开发边界的范围，总面积</w:t>
      </w:r>
      <w:r>
        <w:t>29.87</w:t>
      </w:r>
      <w:r>
        <w:rPr>
          <w:rFonts w:hint="eastAsia"/>
        </w:rPr>
        <w:t>公顷。</w:t>
      </w:r>
    </w:p>
    <w:p w14:paraId="02D547C8">
      <w:pPr>
        <w:pStyle w:val="4"/>
        <w:rPr>
          <w:rFonts w:hint="eastAsia"/>
        </w:rPr>
      </w:pPr>
      <w:bookmarkStart w:id="15" w:name="_Toc381591"/>
      <w:bookmarkStart w:id="16" w:name="_Toc133419311"/>
      <w:r>
        <w:t>规划期限</w:t>
      </w:r>
      <w:bookmarkEnd w:id="15"/>
      <w:bookmarkEnd w:id="16"/>
    </w:p>
    <w:p w14:paraId="4B2F642D">
      <w:r>
        <w:t>规划基期年为2020年，</w:t>
      </w:r>
      <w:r>
        <w:rPr>
          <w:rFonts w:hint="eastAsia"/>
        </w:rPr>
        <w:t>规划目标年为2</w:t>
      </w:r>
      <w:r>
        <w:t>035</w:t>
      </w:r>
      <w:r>
        <w:rPr>
          <w:rFonts w:hint="eastAsia"/>
        </w:rPr>
        <w:t>年，</w:t>
      </w:r>
      <w:r>
        <w:t>规划期限为2021</w:t>
      </w:r>
      <w:r>
        <w:rPr>
          <w:rFonts w:hint="eastAsia"/>
        </w:rPr>
        <w:t>—</w:t>
      </w:r>
      <w:r>
        <w:t>2035年，近期至2025年。</w:t>
      </w:r>
    </w:p>
    <w:p w14:paraId="7422FCBD">
      <w:pPr>
        <w:pStyle w:val="4"/>
        <w:rPr>
          <w:rFonts w:hint="eastAsia"/>
        </w:rPr>
      </w:pPr>
      <w:r>
        <w:rPr>
          <w:rFonts w:hint="eastAsia"/>
        </w:rPr>
        <w:t>规划原则</w:t>
      </w:r>
    </w:p>
    <w:p w14:paraId="7D46D485">
      <w:r>
        <w:rPr>
          <w:rFonts w:hint="eastAsia"/>
        </w:rPr>
        <w:t>底线约束，绿色低碳。坚持以水定城、以水定地、</w:t>
      </w:r>
      <w:r>
        <w:t>以水定人、以水定产。树立生态文明理念，倡导节约集约、高效绿色的国土资源开发利用方式，推广绿色生产生活</w:t>
      </w:r>
      <w:r>
        <w:rPr>
          <w:rFonts w:hint="eastAsia"/>
        </w:rPr>
        <w:t>方式</w:t>
      </w:r>
      <w:r>
        <w:t>。</w:t>
      </w:r>
    </w:p>
    <w:p w14:paraId="2153E7E2">
      <w:r>
        <w:rPr>
          <w:rFonts w:hint="eastAsia"/>
        </w:rPr>
        <w:t>集聚提升，创新高效。集聚人、城、产、基础设施要素，优化生产力空间布局。推动发展动能转换，保障创新生产空间，强化创新动能的核心引领作用。提高自然资源利用效率，提升节约集约利用水平。</w:t>
      </w:r>
    </w:p>
    <w:p w14:paraId="2AF37C6E">
      <w:r>
        <w:rPr>
          <w:rFonts w:hint="eastAsia"/>
        </w:rPr>
        <w:t>因地制宜、彰显特色。立足乡镇自然、人文资源禀赋，挖掘历史文化资源，突出乡村产业特色、地域特征、传统特色、时代风貌，提升国土空间魅力。</w:t>
      </w:r>
    </w:p>
    <w:p w14:paraId="59F94BB2">
      <w:pPr>
        <w:rPr>
          <w:szCs w:val="32"/>
        </w:rPr>
      </w:pPr>
      <w:r>
        <w:rPr>
          <w:rFonts w:hint="eastAsia"/>
          <w:szCs w:val="32"/>
        </w:rPr>
        <w:t>细化落实、管控落地。以国土空间规划“一张图”为基础，通过对规划指标、空间布局、控制线等管控内容的深化、细化，实现上位规划管控要求自上而下的传导。</w:t>
      </w:r>
    </w:p>
    <w:p w14:paraId="4BD9CD4C">
      <w:pPr>
        <w:rPr>
          <w:szCs w:val="32"/>
        </w:rPr>
      </w:pPr>
      <w:r>
        <w:rPr>
          <w:rFonts w:hint="eastAsia"/>
          <w:szCs w:val="32"/>
        </w:rPr>
        <w:t>注重实施、近远结合。提高规划的实施性与操作性，强化规划实施引导。突出规划的分期实施，对近期实施项目做出统筹安排，制定行动计划。</w:t>
      </w:r>
    </w:p>
    <w:bookmarkEnd w:id="8"/>
    <w:bookmarkEnd w:id="9"/>
    <w:bookmarkEnd w:id="10"/>
    <w:bookmarkEnd w:id="11"/>
    <w:p w14:paraId="7DA5AA15">
      <w:pPr>
        <w:pStyle w:val="4"/>
        <w:rPr>
          <w:rFonts w:hint="eastAsia"/>
        </w:rPr>
      </w:pPr>
      <w:r>
        <w:rPr>
          <w:rFonts w:hint="eastAsia"/>
        </w:rPr>
        <w:t>强制性内容</w:t>
      </w:r>
    </w:p>
    <w:p w14:paraId="577AE0C9">
      <w:r>
        <w:rPr>
          <w:rFonts w:hint="eastAsia"/>
        </w:rPr>
        <w:t>文本中加下划线的内容为规划的强制性内容，必须严格执行。本规划自批复之日起生效，由沙尖子镇政府</w:t>
      </w:r>
      <w:r>
        <w:t>组织实施，任何单位和个人不得违反和擅自修改。因国家重大战略调整、重大项目建设或者行政区划调整等确需修改本规划的，须按照法定程序进行修改。</w:t>
      </w:r>
    </w:p>
    <w:p w14:paraId="200E7449">
      <w:pPr>
        <w:pStyle w:val="4"/>
        <w:rPr>
          <w:rFonts w:hint="eastAsia"/>
        </w:rPr>
      </w:pPr>
      <w:r>
        <w:rPr>
          <w:rFonts w:hint="eastAsia"/>
        </w:rPr>
        <w:t>规划层次</w:t>
      </w:r>
    </w:p>
    <w:p w14:paraId="658FD242">
      <w:r>
        <w:rPr>
          <w:rFonts w:hint="eastAsia"/>
        </w:rPr>
        <w:t>本次国土空间总体规划包括沙尖子镇全域和镇中心区两个层次。</w:t>
      </w:r>
    </w:p>
    <w:p w14:paraId="59822197"/>
    <w:p w14:paraId="704F821B">
      <w:pPr>
        <w:pStyle w:val="2"/>
        <w:spacing w:after="360"/>
        <w:rPr>
          <w:rFonts w:hint="eastAsia"/>
        </w:rPr>
      </w:pPr>
      <w:bookmarkStart w:id="17" w:name="_Toc13843"/>
      <w:bookmarkStart w:id="18" w:name="_Toc23230"/>
      <w:bookmarkStart w:id="19" w:name="_Toc1467"/>
      <w:r>
        <w:rPr>
          <w:rFonts w:hint="eastAsia"/>
        </w:rPr>
        <w:t>第二章  现状分析与问题识别</w:t>
      </w:r>
      <w:bookmarkEnd w:id="17"/>
      <w:bookmarkEnd w:id="18"/>
      <w:bookmarkEnd w:id="19"/>
    </w:p>
    <w:p w14:paraId="353F475C">
      <w:pPr>
        <w:pStyle w:val="3"/>
        <w:numPr>
          <w:ilvl w:val="0"/>
          <w:numId w:val="3"/>
        </w:numPr>
        <w:rPr>
          <w:rFonts w:ascii="Times New Roman" w:hAnsi="Times New Roman" w:cs="Times New Roman"/>
          <w:color w:val="auto"/>
        </w:rPr>
      </w:pPr>
      <w:bookmarkStart w:id="20" w:name="_Toc14138"/>
      <w:bookmarkStart w:id="21" w:name="_Toc8003"/>
      <w:bookmarkStart w:id="22" w:name="_Toc482"/>
      <w:r>
        <w:rPr>
          <w:rFonts w:hint="eastAsia" w:ascii="Times New Roman" w:hAnsi="Times New Roman" w:cs="Times New Roman"/>
          <w:color w:val="auto"/>
        </w:rPr>
        <w:t>区域概况</w:t>
      </w:r>
      <w:bookmarkEnd w:id="20"/>
      <w:bookmarkEnd w:id="21"/>
      <w:bookmarkEnd w:id="22"/>
    </w:p>
    <w:p w14:paraId="57A17082">
      <w:pPr>
        <w:pStyle w:val="4"/>
        <w:numPr>
          <w:ilvl w:val="0"/>
          <w:numId w:val="4"/>
        </w:numPr>
        <w:rPr>
          <w:rFonts w:hint="eastAsia"/>
        </w:rPr>
      </w:pPr>
      <w:r>
        <w:t>地理条件与发展基础</w:t>
      </w:r>
    </w:p>
    <w:p w14:paraId="67660E21">
      <w:r>
        <w:rPr>
          <w:rFonts w:hint="eastAsia"/>
        </w:rPr>
        <w:t>区位优势明显，对外交通便捷。沙尖子镇位于桓仁县东南部，是桓仁县的东南门户，位于桓仁县东西发展轴线上。沙尖子镇东与五里甸子镇为邻，南隔浑江与宽甸满族自治县下露河乡相望，西与向阳乡相接，北接二棚甸子镇。集本线贯穿镇域，乡道四通八达，建设中的桓集高速穿越镇域，公路交通十分便利。</w:t>
      </w:r>
    </w:p>
    <w:p w14:paraId="5138FF33">
      <w:r>
        <w:rPr>
          <w:rFonts w:hint="eastAsia"/>
        </w:rPr>
        <w:t>自然人文资源富集，休闲旅游基础良好。沙尖子镇境内存在地温异常带，拥有世界地质奇观——冰臼，金龙湖、干沟子庙洞、双水洞、仙女洞、城墙砬子、骆驼峰等自然风光，生态休闲旅游基础良好。沙尖子镇红色文化遗址遗迹众多，人文底蕴深厚。沙尖子镇多样的自然、景观资源和多彩的历史文化遗产交相辉映，奠定了沙尖子镇浑江旅游产业带上的重要节点的地位。</w:t>
      </w:r>
    </w:p>
    <w:p w14:paraId="12A320FF">
      <w:r>
        <w:rPr>
          <w:rFonts w:hint="eastAsia"/>
        </w:rPr>
        <w:t>农业资源发达，优势特色显著。沙尖子镇地处长白山余脉，山高林密，森林资源丰富，适宜木材加工业、林果和以林下参为主的中小药材生产，是全省板栗、山楂、猕猴桃、山野菜等的主要产区之一，这些产品具有较高的经济价值和市场竞争力。沙尖子镇也适宜农、林、牧、副、渔各业的全面发展，为农业多样性发展提供了条件。</w:t>
      </w:r>
    </w:p>
    <w:p w14:paraId="17358578">
      <w:pPr>
        <w:pStyle w:val="4"/>
        <w:rPr>
          <w:rFonts w:hint="eastAsia"/>
        </w:rPr>
      </w:pPr>
      <w:r>
        <w:t>国土底数与本底特征</w:t>
      </w:r>
    </w:p>
    <w:p w14:paraId="7B4E1439">
      <w:r>
        <w:rPr>
          <w:rFonts w:hint="eastAsia"/>
        </w:rPr>
        <w:t>全域土地面积为29025.75公顷，其中农用地28377.63公顷，建设用地645.93公顷，未利用地2.18公顷，农用地、建设用地、未利用地比例分别为97.77%、2.23%、0.01%。耕地与永久基本农田保护基础扎实，筑牢粮食安全“压舱石”。全域耕地面积1809.81公顷，占全域国土总面积的6.24%；严格落实永久基本农田保护任务，永久基本农田面积为1537.08公顷，占耕地总面积的6.02%；其他农用地面积26567.82公顷，占全域国土面积的91.53%。</w:t>
      </w:r>
    </w:p>
    <w:p w14:paraId="7D6AC16B">
      <w:r>
        <w:rPr>
          <w:rFonts w:hint="eastAsia"/>
        </w:rPr>
        <w:t>生态功能完备，沙尖子镇是桓仁县东部重要生态安全屏障。沙尖子镇境内平均海拔166米，最高点位于骆驼破子，海拔981.3米，最低点位于江岗子。全镇四季分明，属温带大陆性季风气候，全年主导风向冬季多北风，夏季多南风，气候宜人，年平均气温26.4℃，多年平均降水日数112天，年平均降水量870毫米，全年无霜期160天。浑江支流漏河贯穿全镇5个村，主流总长25千米，流域面积186平方千米，浑江流经域内3个村，长度25千米，有中小型水库2座。</w:t>
      </w:r>
    </w:p>
    <w:p w14:paraId="038B29AD">
      <w:r>
        <w:rPr>
          <w:rFonts w:hint="eastAsia"/>
        </w:rPr>
        <w:t>建设用地以城乡建设用地为主，初步呈现出带状多中心的城镇空间总体框架。全镇建设用地总面积645.93公顷，以城乡建设用地为主，占建设用地总面积的76.97%；区域基础设施及其他建设用地占建设用地总面积的14.68%。城乡建设用地以居住用地为主，其他建设用地以采矿用地为主。村庄建设用地散点布局，城镇建设用地主要集中于镇中心区。</w:t>
      </w:r>
    </w:p>
    <w:p w14:paraId="0CCA7272">
      <w:pPr>
        <w:pStyle w:val="3"/>
        <w:numPr>
          <w:ilvl w:val="0"/>
          <w:numId w:val="3"/>
        </w:numPr>
        <w:ind w:left="420" w:hanging="420"/>
        <w:rPr>
          <w:rFonts w:ascii="Times New Roman" w:hAnsi="Times New Roman" w:cs="Times New Roman"/>
          <w:color w:val="auto"/>
        </w:rPr>
      </w:pPr>
      <w:bookmarkStart w:id="23" w:name="_Toc15007"/>
      <w:bookmarkStart w:id="24" w:name="_Toc14476"/>
      <w:bookmarkStart w:id="25" w:name="_Toc5763"/>
      <w:r>
        <w:rPr>
          <w:rFonts w:hint="eastAsia" w:ascii="Times New Roman" w:hAnsi="Times New Roman" w:cs="Times New Roman"/>
          <w:color w:val="auto"/>
        </w:rPr>
        <w:t>问题和风险挑战</w:t>
      </w:r>
      <w:bookmarkEnd w:id="23"/>
      <w:bookmarkEnd w:id="24"/>
      <w:bookmarkEnd w:id="25"/>
    </w:p>
    <w:p w14:paraId="4D95336A">
      <w:pPr>
        <w:pStyle w:val="4"/>
        <w:numPr>
          <w:ilvl w:val="0"/>
          <w:numId w:val="5"/>
        </w:numPr>
        <w:rPr>
          <w:rFonts w:hint="eastAsia"/>
        </w:rPr>
      </w:pPr>
      <w:bookmarkStart w:id="26" w:name="_Hlk129616623"/>
      <w:r>
        <w:t>国土空间开发利用与保护问题</w:t>
      </w:r>
    </w:p>
    <w:p w14:paraId="6FE24598">
      <w:r>
        <w:rPr>
          <w:rFonts w:hint="eastAsia"/>
        </w:rPr>
        <w:t>自然生态强化保护。沙尖子镇所在的桓仁地区因其重要水源涵养功能被列为国家重点生态功能区，沙尖子镇同样担负着区域绿色屏障的任务，工业发展、农业现代化建设以及旅游开发的范围和深度受到严格限制，亟需处理好开发与保护之间的矛盾。</w:t>
      </w:r>
    </w:p>
    <w:p w14:paraId="5694BB1F">
      <w:r>
        <w:t>城镇发展动力不足。</w:t>
      </w:r>
      <w:r>
        <w:rPr>
          <w:rFonts w:hint="eastAsia"/>
        </w:rPr>
        <w:t>区域经济发展总量有限，受制于经济大环境的影响，沙尖子镇</w:t>
      </w:r>
      <w:r>
        <w:t>发展的动力不足。目前</w:t>
      </w:r>
      <w:r>
        <w:rPr>
          <w:rFonts w:hint="eastAsia"/>
        </w:rPr>
        <w:t>矿产开发、加工等产业</w:t>
      </w:r>
      <w:r>
        <w:t>未达到预期发展目标，城</w:t>
      </w:r>
      <w:r>
        <w:rPr>
          <w:rFonts w:hint="eastAsia"/>
        </w:rPr>
        <w:t>镇</w:t>
      </w:r>
      <w:r>
        <w:t>开发建设规模相对较小。</w:t>
      </w:r>
    </w:p>
    <w:p w14:paraId="22DB8B7A">
      <w:r>
        <w:t>产业</w:t>
      </w:r>
      <w:r>
        <w:rPr>
          <w:rFonts w:hint="eastAsia"/>
        </w:rPr>
        <w:t>经济水平亟待提升</w:t>
      </w:r>
      <w:r>
        <w:t>。</w:t>
      </w:r>
      <w:r>
        <w:rPr>
          <w:rFonts w:hint="eastAsia"/>
        </w:rPr>
        <w:t>沙尖子镇</w:t>
      </w:r>
      <w:r>
        <w:t>工业发展质量不高，产业结构单一、结构性问题依然存在</w:t>
      </w:r>
      <w:r>
        <w:rPr>
          <w:rFonts w:hint="eastAsia"/>
        </w:rPr>
        <w:t>。一般性、资源性和原字号、初字号传统产品有待探索产业发展新路径</w:t>
      </w:r>
      <w:r>
        <w:t>，主导产业尚未形成</w:t>
      </w:r>
      <w:r>
        <w:rPr>
          <w:rFonts w:hint="eastAsia"/>
        </w:rPr>
        <w:t>，资源类产业仍是城镇经济支柱产业，</w:t>
      </w:r>
      <w:r>
        <w:t>新兴产业比重过低。</w:t>
      </w:r>
    </w:p>
    <w:p w14:paraId="5B827A6C">
      <w:r>
        <w:t>设施保障能力不足。</w:t>
      </w:r>
      <w:r>
        <w:rPr>
          <w:rFonts w:hint="eastAsia"/>
        </w:rPr>
        <w:t>沙尖子镇城乡公共服务设施建设配置不均</w:t>
      </w:r>
      <w:r>
        <w:t>，</w:t>
      </w:r>
      <w:r>
        <w:rPr>
          <w:rFonts w:hint="eastAsia"/>
        </w:rPr>
        <w:t>部分村庄公共服务设施覆盖存在不足，</w:t>
      </w:r>
      <w:r>
        <w:t>农村公共服务设施的建设、服务水平较低。</w:t>
      </w:r>
      <w:r>
        <w:rPr>
          <w:rFonts w:hint="eastAsia"/>
        </w:rPr>
        <w:t>镇中心区内配套建设仍需进一步加强，建成区亟须向</w:t>
      </w:r>
      <w:r>
        <w:t>精细化发展转型</w:t>
      </w:r>
      <w:r>
        <w:rPr>
          <w:rFonts w:hint="eastAsia"/>
        </w:rPr>
        <w:t>，</w:t>
      </w:r>
      <w:r>
        <w:t>设施配置需</w:t>
      </w:r>
      <w:r>
        <w:rPr>
          <w:rFonts w:hint="eastAsia"/>
        </w:rPr>
        <w:t>向</w:t>
      </w:r>
      <w:r>
        <w:t>专业化方向调整，尤其需要加强养老院等公办设施的兜底。</w:t>
      </w:r>
    </w:p>
    <w:p w14:paraId="379F566E">
      <w:pPr>
        <w:pStyle w:val="4"/>
        <w:rPr>
          <w:rFonts w:hint="eastAsia"/>
        </w:rPr>
      </w:pPr>
      <w:r>
        <w:t>国土空间开发保护</w:t>
      </w:r>
      <w:r>
        <w:rPr>
          <w:rFonts w:hint="eastAsia"/>
        </w:rPr>
        <w:t>面临</w:t>
      </w:r>
      <w:r>
        <w:t>风险</w:t>
      </w:r>
    </w:p>
    <w:p w14:paraId="76C38197">
      <w:r>
        <w:rPr>
          <w:rFonts w:hint="eastAsia"/>
        </w:rPr>
        <w:t>人口流失和要素集聚风险加大，沙尖子镇</w:t>
      </w:r>
      <w:r>
        <w:t>人口进入负增长期</w:t>
      </w:r>
      <w:r>
        <w:rPr>
          <w:rFonts w:hint="eastAsia"/>
        </w:rPr>
        <w:t>，人口外流趋势短期内难以缓解，城镇发展面临人口收缩和深度老龄化，劳动力收缩严重，城镇活力和竞争力降低，对国土空间集聚开发带来一定的风险挑战</w:t>
      </w:r>
      <w:r>
        <w:t>。</w:t>
      </w:r>
    </w:p>
    <w:bookmarkEnd w:id="26"/>
    <w:p w14:paraId="454F7092">
      <w:r>
        <w:rPr>
          <w:rFonts w:hint="eastAsia"/>
        </w:rPr>
        <w:t>生态空间与农业生产适宜区、城镇建设适宜区协调难度大，致使国土空间供给与需求结构性矛盾突出。城乡之间发展不平衡不充分问题突出，加剧了国土空间分化，不利于形成国土空间均衡发展和城乡融合发展格局。</w:t>
      </w:r>
    </w:p>
    <w:p w14:paraId="139E6E7A">
      <w:r>
        <w:rPr>
          <w:rFonts w:hint="eastAsia"/>
        </w:rPr>
        <w:t>沙尖子镇境内有矿产重点勘查区和重点开采区，矿山井工开采易对含水层地质结构造成破坏，同时还会伴随地面塌陷、土壤污染等风险，尾矿库、堆砌物等压占土地，导致周边土地损毁，生态环境遭到破坏。</w:t>
      </w:r>
    </w:p>
    <w:p w14:paraId="40010534">
      <w:r>
        <w:rPr>
          <w:rFonts w:hint="eastAsia"/>
        </w:rPr>
        <w:t>沙尖子镇地质条件复杂，潜在地质灾害风险较高，局部地区强降雨可能诱发崩塌、滑坡、泥石流、地面塌陷等突发性地质灾害。洪涝等气象灾害现象时有发生，自然生态系统碳汇能力不强，在全球气候变化背景下，应对极端气候事件和地质灾害风险加大。</w:t>
      </w:r>
    </w:p>
    <w:p w14:paraId="02316F4A">
      <w:pPr>
        <w:pStyle w:val="3"/>
        <w:numPr>
          <w:ilvl w:val="0"/>
          <w:numId w:val="3"/>
        </w:numPr>
        <w:ind w:left="420" w:hanging="420"/>
        <w:rPr>
          <w:rFonts w:ascii="Times New Roman" w:hAnsi="Times New Roman" w:cs="Times New Roman"/>
          <w:color w:val="auto"/>
        </w:rPr>
      </w:pPr>
      <w:bookmarkStart w:id="27" w:name="_Toc9338"/>
      <w:bookmarkStart w:id="28" w:name="_Toc26873"/>
      <w:bookmarkStart w:id="29" w:name="_Toc8326"/>
      <w:r>
        <w:rPr>
          <w:rFonts w:hint="eastAsia" w:ascii="Times New Roman" w:hAnsi="Times New Roman" w:cs="Times New Roman"/>
          <w:color w:val="auto"/>
        </w:rPr>
        <w:t>机遇使命</w:t>
      </w:r>
      <w:bookmarkEnd w:id="27"/>
      <w:bookmarkEnd w:id="28"/>
      <w:bookmarkEnd w:id="29"/>
    </w:p>
    <w:p w14:paraId="3D8723BA">
      <w:pPr>
        <w:pStyle w:val="4"/>
        <w:numPr>
          <w:ilvl w:val="0"/>
          <w:numId w:val="6"/>
        </w:numPr>
        <w:rPr>
          <w:rFonts w:hint="eastAsia"/>
        </w:rPr>
      </w:pPr>
      <w:r>
        <w:rPr>
          <w:rFonts w:hint="eastAsia"/>
        </w:rPr>
        <w:t>新型城镇化和乡村振兴战略 彰显沙尖子城乡建设优势</w:t>
      </w:r>
    </w:p>
    <w:p w14:paraId="0472791B">
      <w:bookmarkStart w:id="30" w:name="_Toc152937187"/>
      <w:bookmarkStart w:id="31" w:name="_Hlk129364386"/>
      <w:r>
        <w:rPr>
          <w:rFonts w:hint="eastAsia"/>
        </w:rPr>
        <w:t>在以提高城镇化质量为导向的新型城镇化战略背景下，沙尖子镇城镇化建设迎来了良好的发展机遇，良好的区位优势和建设基础为沙尖子镇新型城镇化发展提供了发展机遇。丰富的资源为沙尖子镇乡村振兴发展提供了产业基础，充分利用基础优势，坚持走三产融合、绿色发展之路，有利于加快形成绿色生产生活方式，优化国土空间结构与布局，促进人与自然和谐共生。</w:t>
      </w:r>
    </w:p>
    <w:p w14:paraId="369CC5D2">
      <w:pPr>
        <w:pStyle w:val="4"/>
        <w:rPr>
          <w:rFonts w:hint="eastAsia"/>
        </w:rPr>
      </w:pPr>
      <w:r>
        <w:rPr>
          <w:rFonts w:hint="eastAsia"/>
        </w:rPr>
        <w:t>构建区域发展新格局 进一步促进与周边区域协同发展</w:t>
      </w:r>
    </w:p>
    <w:p w14:paraId="375DC7EE">
      <w:r>
        <w:rPr>
          <w:rFonts w:hint="eastAsia"/>
        </w:rPr>
        <w:t>辽宁构建“一圈一带两区”区域发展格局，将更有利于本溪市、桓仁县发挥地处辽东绿色经济区的优势作用。在此背景下，沙尖子镇应加强与周边乡镇在设施配套、产业发展、环境保护等方面的协同与共建共享，共同打造交通共联、产业共链、平台共享、生态共保、文体旅共建、社会共治的绿色经济区重要节点，有利于促进资源有序流动和设施优化配置，改善国土空间均衡，提升国土空间的品质和魅力。</w:t>
      </w:r>
    </w:p>
    <w:p w14:paraId="23CBC99C">
      <w:pPr>
        <w:pStyle w:val="2"/>
        <w:spacing w:after="360"/>
        <w:rPr>
          <w:rFonts w:hint="eastAsia"/>
        </w:rPr>
      </w:pPr>
      <w:bookmarkStart w:id="32" w:name="_Toc29631"/>
      <w:bookmarkStart w:id="33" w:name="_Toc13409"/>
      <w:bookmarkStart w:id="34" w:name="_Toc29371"/>
      <w:r>
        <w:rPr>
          <w:rFonts w:hint="eastAsia"/>
        </w:rPr>
        <w:t xml:space="preserve">第三章 </w:t>
      </w:r>
      <w:r>
        <w:t>发展定位与目标</w:t>
      </w:r>
      <w:bookmarkEnd w:id="30"/>
      <w:bookmarkEnd w:id="32"/>
      <w:bookmarkEnd w:id="33"/>
      <w:bookmarkEnd w:id="34"/>
    </w:p>
    <w:p w14:paraId="5C021879">
      <w:pPr>
        <w:pStyle w:val="3"/>
        <w:numPr>
          <w:ilvl w:val="0"/>
          <w:numId w:val="7"/>
        </w:numPr>
        <w:rPr>
          <w:rFonts w:ascii="Times New Roman" w:hAnsi="Times New Roman" w:cs="Times New Roman"/>
          <w:color w:val="auto"/>
        </w:rPr>
      </w:pPr>
      <w:bookmarkStart w:id="35" w:name="_Toc152937188"/>
      <w:bookmarkStart w:id="36" w:name="_Toc5023"/>
      <w:bookmarkStart w:id="37" w:name="_Toc20431"/>
      <w:bookmarkStart w:id="38" w:name="_Toc16198"/>
      <w:bookmarkStart w:id="39" w:name="_Hlk128122639"/>
      <w:r>
        <w:rPr>
          <w:rFonts w:hint="eastAsia" w:ascii="Times New Roman" w:hAnsi="Times New Roman" w:cs="Times New Roman"/>
          <w:color w:val="auto"/>
        </w:rPr>
        <w:t>乡镇功能定位</w:t>
      </w:r>
      <w:bookmarkEnd w:id="35"/>
      <w:bookmarkEnd w:id="36"/>
      <w:bookmarkEnd w:id="37"/>
      <w:bookmarkEnd w:id="38"/>
    </w:p>
    <w:bookmarkEnd w:id="39"/>
    <w:p w14:paraId="5771B9A4">
      <w:pPr>
        <w:pStyle w:val="4"/>
        <w:numPr>
          <w:ilvl w:val="0"/>
          <w:numId w:val="8"/>
        </w:numPr>
        <w:rPr>
          <w:rFonts w:hint="eastAsia"/>
        </w:rPr>
      </w:pPr>
      <w:r>
        <w:rPr>
          <w:rFonts w:hint="eastAsia"/>
        </w:rPr>
        <w:t>分级分类指引</w:t>
      </w:r>
    </w:p>
    <w:p w14:paraId="40EBA0B2">
      <w:r>
        <w:rPr>
          <w:rFonts w:hint="eastAsia"/>
        </w:rPr>
        <w:t>根据《桓仁满族自治县国土空间总体规划（2021—2035年）》对乡镇的分类职能定位指引，规划确定沙尖子镇为一般镇。依据《辽宁省乡镇级国土空间总体规划编制导则（试行）》对乡镇的分类指引，确定沙尖子镇为现代农业型乡镇。主体功能为重点生态功能区。规划立足沙尖子镇丰富的林下资源</w:t>
      </w:r>
      <w:r>
        <w:rPr>
          <w:rFonts w:hint="eastAsia"/>
          <w:highlight w:val="none"/>
        </w:rPr>
        <w:t>、</w:t>
      </w:r>
      <w:r>
        <w:rPr>
          <w:rFonts w:hint="eastAsia"/>
        </w:rPr>
        <w:t>农产品加工</w:t>
      </w:r>
      <w:r>
        <w:rPr>
          <w:rFonts w:hint="eastAsia"/>
          <w:highlight w:val="none"/>
        </w:rPr>
        <w:t>基础以及</w:t>
      </w:r>
      <w:r>
        <w:rPr>
          <w:rFonts w:hint="eastAsia"/>
        </w:rPr>
        <w:t>奇特的自然资源等核心优势，将沙尖子镇建设成为以特色林果种植、农产品精深加工为主导产业、“农文旅”</w:t>
      </w:r>
      <w:r>
        <w:rPr>
          <w:rFonts w:hint="eastAsia"/>
          <w:highlight w:val="none"/>
        </w:rPr>
        <w:t>融合</w:t>
      </w:r>
      <w:r>
        <w:rPr>
          <w:rFonts w:hint="eastAsia"/>
        </w:rPr>
        <w:t>发展的现代农业型</w:t>
      </w:r>
      <w:r>
        <w:rPr>
          <w:rFonts w:hint="eastAsia"/>
          <w:highlight w:val="none"/>
        </w:rPr>
        <w:t>特色</w:t>
      </w:r>
      <w:r>
        <w:rPr>
          <w:rFonts w:hint="eastAsia"/>
        </w:rPr>
        <w:t>乡镇。</w:t>
      </w:r>
    </w:p>
    <w:p w14:paraId="2A809785">
      <w:pPr>
        <w:pStyle w:val="4"/>
        <w:rPr>
          <w:rFonts w:hint="eastAsia"/>
        </w:rPr>
      </w:pPr>
      <w:r>
        <w:rPr>
          <w:rFonts w:hint="eastAsia"/>
        </w:rPr>
        <w:t>功能定位</w:t>
      </w:r>
    </w:p>
    <w:p w14:paraId="22418E67">
      <w:r>
        <w:rPr>
          <w:rFonts w:hint="eastAsia"/>
        </w:rPr>
        <w:t>打造“辽宁地质奇观特色小镇”。依托沙尖子境内地缸、溶洞、山崖等地质奇观的自然优势，加强区域交通等基础设施建设，做强地温异常带景区，强化品牌塑造和宣传推广，打造具有独特吸引力的旅游目的地。</w:t>
      </w:r>
    </w:p>
    <w:p w14:paraId="4800CB07">
      <w:r>
        <w:rPr>
          <w:rFonts w:hint="eastAsia"/>
        </w:rPr>
        <w:t>打造“本溪特色林果种植基地”。依托沙尖子丰富的山林资源，发展以大榛子、山野菜、西红柿为主导的特色林果种植产业，打造具有沙尖子镇特色的林果品牌，推进林果种植与乡村旅游、文化体验融合发展。</w:t>
      </w:r>
    </w:p>
    <w:p w14:paraId="61799B91">
      <w:r>
        <w:rPr>
          <w:rFonts w:hint="eastAsia"/>
        </w:rPr>
        <w:t>打造“县域乡村文旅融合发展先行区”。依托沙尖子镇现有旅游资源，深入挖掘自然风光和人文历史，将民俗文化融入旅游发展，提升旅游功能品质、服务品质、文化品质、生态品质，全面推动沙尖子镇文旅融合发展。</w:t>
      </w:r>
    </w:p>
    <w:p w14:paraId="1151E338">
      <w:pPr>
        <w:pStyle w:val="3"/>
        <w:numPr>
          <w:ilvl w:val="0"/>
          <w:numId w:val="7"/>
        </w:numPr>
        <w:rPr>
          <w:rFonts w:ascii="Times New Roman" w:hAnsi="Times New Roman" w:cs="Times New Roman"/>
          <w:color w:val="auto"/>
        </w:rPr>
      </w:pPr>
      <w:bookmarkStart w:id="40" w:name="_Toc11865"/>
      <w:bookmarkStart w:id="41" w:name="_Toc4133"/>
      <w:bookmarkStart w:id="42" w:name="_Toc3512"/>
      <w:r>
        <w:rPr>
          <w:rFonts w:hint="eastAsia" w:ascii="Times New Roman" w:hAnsi="Times New Roman" w:cs="Times New Roman"/>
          <w:color w:val="auto"/>
        </w:rPr>
        <w:t>国土空间开发保护目标</w:t>
      </w:r>
      <w:bookmarkEnd w:id="40"/>
      <w:bookmarkEnd w:id="41"/>
      <w:bookmarkEnd w:id="42"/>
    </w:p>
    <w:p w14:paraId="0D869125">
      <w:pPr>
        <w:pStyle w:val="4"/>
        <w:numPr>
          <w:ilvl w:val="0"/>
          <w:numId w:val="9"/>
        </w:numPr>
        <w:rPr>
          <w:rFonts w:hint="eastAsia"/>
        </w:rPr>
      </w:pPr>
      <w:r>
        <w:rPr>
          <w:rFonts w:hint="eastAsia"/>
        </w:rPr>
        <w:t>国土空间开发保护目标</w:t>
      </w:r>
    </w:p>
    <w:p w14:paraId="7E7AFBF3">
      <w:r>
        <w:rPr>
          <w:rFonts w:hint="eastAsia"/>
        </w:rPr>
        <w:t>总体目标：以人民对美好生活的向往为目标，坚持增进人民福祉，增强国土空间魅力，提升国土空间治理体系和治理能力现代化水平，建设粮食与生态安全稳固，环境质量不断提升，生态修复卓有成效，人与自然更加和谐的美丽沙尖子。</w:t>
      </w:r>
    </w:p>
    <w:p w14:paraId="4F208C5E">
      <w:r>
        <w:rPr>
          <w:rFonts w:hint="eastAsia"/>
        </w:rPr>
        <w:t>规划至</w:t>
      </w:r>
      <w:r>
        <w:t>2025年</w:t>
      </w:r>
      <w:r>
        <w:rPr>
          <w:rFonts w:hint="eastAsia"/>
        </w:rPr>
        <w:t>，</w:t>
      </w:r>
      <w:r>
        <w:t>以绿色为底蕴，彻底摆脱传统路径依赖、告别粗放发展方式，实现经济社会发展绿色转型，初步形成生态环境美、绿色发展优、开放活力足、创新能力强、营商环境好、幸福指数高的振兴发展新局面。国土空间保护水平显著提升，以国土空间规划为基础，以统一用途管制为手段的国土空间开发保护制度基本建成。</w:t>
      </w:r>
    </w:p>
    <w:p w14:paraId="2EB5CBFD">
      <w:r>
        <w:rPr>
          <w:rFonts w:hint="eastAsia"/>
        </w:rPr>
        <w:t>规划至</w:t>
      </w:r>
      <w:r>
        <w:t>2035年</w:t>
      </w:r>
      <w:r>
        <w:rPr>
          <w:rFonts w:hint="eastAsia"/>
        </w:rPr>
        <w:t>，</w:t>
      </w:r>
      <w:r>
        <w:t>主体功能明显、优势互补、高质量发展的国土空间开发保护新格局基本形成。</w:t>
      </w:r>
      <w:r>
        <w:rPr>
          <w:rFonts w:hint="eastAsia"/>
        </w:rPr>
        <w:t>城镇综合承载能力不断提升，新型城镇化和乡村振兴战略全面推进，城镇布局更加紧凑，人居环境持续改善。</w:t>
      </w:r>
      <w:r>
        <w:t>国土空间开发保护格局持续优化，以</w:t>
      </w:r>
      <w:r>
        <w:rPr>
          <w:rFonts w:hint="eastAsia"/>
        </w:rPr>
        <w:t>镇</w:t>
      </w:r>
      <w:r>
        <w:t>中心</w:t>
      </w:r>
      <w:r>
        <w:rPr>
          <w:rFonts w:hint="eastAsia"/>
        </w:rPr>
        <w:t>区</w:t>
      </w:r>
      <w:r>
        <w:t>为主体，重点</w:t>
      </w:r>
      <w:r>
        <w:rPr>
          <w:rFonts w:hint="eastAsia"/>
        </w:rPr>
        <w:t>村</w:t>
      </w:r>
      <w:r>
        <w:t>为支撑的多中心、网络化、集约式、开放式、协调式的国土空间开发保护格局基本形成。资源利用更加集约高效，资源保障能力显著提升，集约、绿色、低碳、循环的资源利用体系基本建成。</w:t>
      </w:r>
    </w:p>
    <w:p w14:paraId="0F5F7A96">
      <w:r>
        <w:rPr>
          <w:rFonts w:hint="eastAsia"/>
        </w:rPr>
        <w:t>展望至</w:t>
      </w:r>
      <w:r>
        <w:t>2050年</w:t>
      </w:r>
      <w:r>
        <w:rPr>
          <w:rFonts w:hint="eastAsia"/>
        </w:rPr>
        <w:t>，国土空间治理体系和能力实现现代化。城乡互补、区域互通、三生互动的国土空间“生命共同体”格局全面形成，生态环境进入自然良性循环。全面建成生态宜居、繁荣富裕、可持续发展的生态文明新城镇，安全、绿色、开放、智慧、富有竞争力的美丽国土，巩固沙尖子镇在桓仁县区域发展格局中的战略地位，形成对市县重大战略的强有力支撑。</w:t>
      </w:r>
      <w:bookmarkEnd w:id="31"/>
      <w:bookmarkStart w:id="43" w:name="_Toc133419320"/>
      <w:bookmarkStart w:id="44" w:name="_Toc152937190"/>
    </w:p>
    <w:p w14:paraId="5CEE7F84">
      <w:pPr>
        <w:pStyle w:val="4"/>
        <w:rPr>
          <w:rFonts w:hint="eastAsia"/>
        </w:rPr>
      </w:pPr>
      <w:r>
        <w:rPr>
          <w:rFonts w:hint="eastAsia"/>
        </w:rPr>
        <w:t>指标管控</w:t>
      </w:r>
    </w:p>
    <w:p w14:paraId="449EDF8B">
      <w:pPr>
        <w:jc w:val="left"/>
        <w:rPr>
          <w:rFonts w:ascii="仿宋_GB2312" w:hAnsi="仿宋_GB2312"/>
          <w:szCs w:val="24"/>
        </w:rPr>
      </w:pPr>
      <w:r>
        <w:rPr>
          <w:rFonts w:hint="eastAsia" w:ascii="仿宋_GB2312" w:hAnsi="仿宋_GB2312"/>
          <w:szCs w:val="24"/>
        </w:rPr>
        <w:t>本次规划在落实上位规划传导管控要求的基础上，结合沙尖子镇发展定位和规划目标，衔接乡村振兴发展战略。构建由约束性和预期性两类指标体系构成的沙尖子镇国土空间总体规划指标体系。</w:t>
      </w:r>
    </w:p>
    <w:tbl>
      <w:tblPr>
        <w:tblStyle w:val="20"/>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1"/>
        <w:gridCol w:w="2980"/>
        <w:gridCol w:w="966"/>
        <w:gridCol w:w="1298"/>
        <w:gridCol w:w="1134"/>
        <w:gridCol w:w="851"/>
        <w:gridCol w:w="848"/>
      </w:tblGrid>
      <w:tr w14:paraId="3FDE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2" w:hRule="exact"/>
          <w:jc w:val="center"/>
        </w:trPr>
        <w:tc>
          <w:tcPr>
            <w:tcW w:w="421" w:type="dxa"/>
            <w:shd w:val="clear" w:color="auto" w:fill="FFFFFF"/>
            <w:noWrap/>
            <w:vAlign w:val="center"/>
          </w:tcPr>
          <w:p w14:paraId="7BAFAA56">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编号</w:t>
            </w:r>
          </w:p>
        </w:tc>
        <w:tc>
          <w:tcPr>
            <w:tcW w:w="2980" w:type="dxa"/>
            <w:shd w:val="clear" w:color="auto" w:fill="FFFFFF"/>
            <w:noWrap/>
            <w:vAlign w:val="center"/>
          </w:tcPr>
          <w:p w14:paraId="1D268D9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指标名称</w:t>
            </w:r>
          </w:p>
        </w:tc>
        <w:tc>
          <w:tcPr>
            <w:tcW w:w="966" w:type="dxa"/>
            <w:shd w:val="clear" w:color="auto" w:fill="FFFFFF"/>
            <w:noWrap/>
            <w:vAlign w:val="center"/>
          </w:tcPr>
          <w:p w14:paraId="6B13C14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规划基期年</w:t>
            </w:r>
          </w:p>
        </w:tc>
        <w:tc>
          <w:tcPr>
            <w:tcW w:w="1298" w:type="dxa"/>
            <w:shd w:val="clear" w:color="auto" w:fill="FFFFFF"/>
            <w:noWrap/>
            <w:vAlign w:val="center"/>
          </w:tcPr>
          <w:p w14:paraId="6FEAF40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规划近期</w:t>
            </w:r>
          </w:p>
          <w:p w14:paraId="23A0503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年</w:t>
            </w:r>
          </w:p>
        </w:tc>
        <w:tc>
          <w:tcPr>
            <w:tcW w:w="1134" w:type="dxa"/>
            <w:shd w:val="clear" w:color="auto" w:fill="FFFFFF"/>
            <w:noWrap/>
            <w:vAlign w:val="center"/>
          </w:tcPr>
          <w:p w14:paraId="583307B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规划目标年</w:t>
            </w:r>
          </w:p>
        </w:tc>
        <w:tc>
          <w:tcPr>
            <w:tcW w:w="851" w:type="dxa"/>
            <w:shd w:val="clear" w:color="auto" w:fill="FFFFFF"/>
            <w:noWrap/>
            <w:vAlign w:val="center"/>
          </w:tcPr>
          <w:p w14:paraId="38BB728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指标</w:t>
            </w:r>
          </w:p>
          <w:p w14:paraId="0A25CC10">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属性</w:t>
            </w:r>
          </w:p>
        </w:tc>
        <w:tc>
          <w:tcPr>
            <w:tcW w:w="848" w:type="dxa"/>
            <w:shd w:val="clear" w:color="auto" w:fill="FFFFFF"/>
            <w:noWrap/>
            <w:vAlign w:val="center"/>
          </w:tcPr>
          <w:p w14:paraId="6712309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指标层级</w:t>
            </w:r>
          </w:p>
        </w:tc>
      </w:tr>
      <w:tr w14:paraId="2760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exact"/>
          <w:jc w:val="center"/>
        </w:trPr>
        <w:tc>
          <w:tcPr>
            <w:tcW w:w="8498" w:type="dxa"/>
            <w:gridSpan w:val="7"/>
            <w:shd w:val="clear" w:color="auto" w:fill="FFFFFF"/>
            <w:noWrap/>
            <w:vAlign w:val="center"/>
          </w:tcPr>
          <w:p w14:paraId="4559F6D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一、空间底线</w:t>
            </w:r>
          </w:p>
        </w:tc>
      </w:tr>
      <w:tr w14:paraId="4AA9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364D95D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1</w:t>
            </w:r>
          </w:p>
        </w:tc>
        <w:tc>
          <w:tcPr>
            <w:tcW w:w="2980" w:type="dxa"/>
            <w:shd w:val="clear" w:color="auto" w:fill="FFFFFF"/>
            <w:noWrap/>
            <w:vAlign w:val="center"/>
          </w:tcPr>
          <w:p w14:paraId="597B2B6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耕地保有量（公顷）</w:t>
            </w:r>
          </w:p>
        </w:tc>
        <w:tc>
          <w:tcPr>
            <w:tcW w:w="966" w:type="dxa"/>
            <w:shd w:val="clear" w:color="auto" w:fill="FFFFFF"/>
            <w:noWrap/>
            <w:vAlign w:val="center"/>
          </w:tcPr>
          <w:p w14:paraId="653D12B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1798.31</w:t>
            </w:r>
          </w:p>
        </w:tc>
        <w:tc>
          <w:tcPr>
            <w:tcW w:w="1298" w:type="dxa"/>
            <w:shd w:val="clear" w:color="auto" w:fill="FFFFFF"/>
            <w:noWrap/>
            <w:vAlign w:val="center"/>
          </w:tcPr>
          <w:p w14:paraId="7304D45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≥1798.31</w:t>
            </w:r>
          </w:p>
        </w:tc>
        <w:tc>
          <w:tcPr>
            <w:tcW w:w="1134" w:type="dxa"/>
            <w:shd w:val="clear" w:color="auto" w:fill="FFFFFF"/>
            <w:noWrap/>
            <w:vAlign w:val="center"/>
          </w:tcPr>
          <w:p w14:paraId="1B522AB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≥1798.31</w:t>
            </w:r>
          </w:p>
        </w:tc>
        <w:tc>
          <w:tcPr>
            <w:tcW w:w="851" w:type="dxa"/>
            <w:shd w:val="clear" w:color="auto" w:fill="FFFFFF"/>
            <w:noWrap/>
            <w:vAlign w:val="center"/>
          </w:tcPr>
          <w:p w14:paraId="3A3CF7D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4FFD7CC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7C3F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68BAEE4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p>
        </w:tc>
        <w:tc>
          <w:tcPr>
            <w:tcW w:w="2980" w:type="dxa"/>
            <w:shd w:val="clear" w:color="auto" w:fill="FFFFFF"/>
            <w:noWrap/>
            <w:vAlign w:val="center"/>
          </w:tcPr>
          <w:p w14:paraId="6653983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永久基本农田保护面积（公顷）</w:t>
            </w:r>
          </w:p>
        </w:tc>
        <w:tc>
          <w:tcPr>
            <w:tcW w:w="966" w:type="dxa"/>
            <w:shd w:val="clear" w:color="auto" w:fill="FFFFFF"/>
            <w:noWrap/>
            <w:vAlign w:val="center"/>
          </w:tcPr>
          <w:p w14:paraId="30037D4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1537.08</w:t>
            </w:r>
          </w:p>
        </w:tc>
        <w:tc>
          <w:tcPr>
            <w:tcW w:w="1298" w:type="dxa"/>
            <w:shd w:val="clear" w:color="auto" w:fill="FFFFFF"/>
            <w:noWrap/>
            <w:vAlign w:val="center"/>
          </w:tcPr>
          <w:p w14:paraId="10EACE7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≥1537.08</w:t>
            </w:r>
          </w:p>
        </w:tc>
        <w:tc>
          <w:tcPr>
            <w:tcW w:w="1134" w:type="dxa"/>
            <w:shd w:val="clear" w:color="auto" w:fill="FFFFFF"/>
            <w:noWrap/>
            <w:vAlign w:val="center"/>
          </w:tcPr>
          <w:p w14:paraId="1AFF566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≥1537.08</w:t>
            </w:r>
          </w:p>
        </w:tc>
        <w:tc>
          <w:tcPr>
            <w:tcW w:w="851" w:type="dxa"/>
            <w:shd w:val="clear" w:color="auto" w:fill="FFFFFF"/>
            <w:noWrap/>
            <w:vAlign w:val="center"/>
          </w:tcPr>
          <w:p w14:paraId="50A205C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72C4A01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5E6C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334E1196">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3</w:t>
            </w:r>
          </w:p>
        </w:tc>
        <w:tc>
          <w:tcPr>
            <w:tcW w:w="2980" w:type="dxa"/>
            <w:shd w:val="clear" w:color="auto" w:fill="FFFFFF"/>
            <w:noWrap/>
            <w:vAlign w:val="center"/>
          </w:tcPr>
          <w:p w14:paraId="55056BE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生态保护红线面积（公顷）</w:t>
            </w:r>
          </w:p>
        </w:tc>
        <w:tc>
          <w:tcPr>
            <w:tcW w:w="966" w:type="dxa"/>
            <w:shd w:val="clear" w:color="auto" w:fill="FFFFFF"/>
            <w:noWrap/>
            <w:vAlign w:val="center"/>
          </w:tcPr>
          <w:p w14:paraId="4C09508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10477.48</w:t>
            </w:r>
          </w:p>
        </w:tc>
        <w:tc>
          <w:tcPr>
            <w:tcW w:w="1298" w:type="dxa"/>
            <w:shd w:val="clear" w:color="auto" w:fill="FFFFFF"/>
            <w:noWrap/>
            <w:vAlign w:val="center"/>
          </w:tcPr>
          <w:p w14:paraId="1C638CE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≥10477.48</w:t>
            </w:r>
          </w:p>
        </w:tc>
        <w:tc>
          <w:tcPr>
            <w:tcW w:w="1134" w:type="dxa"/>
            <w:shd w:val="clear" w:color="auto" w:fill="FFFFFF"/>
            <w:noWrap/>
            <w:vAlign w:val="center"/>
          </w:tcPr>
          <w:p w14:paraId="3220904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≥10477.48</w:t>
            </w:r>
          </w:p>
        </w:tc>
        <w:tc>
          <w:tcPr>
            <w:tcW w:w="851" w:type="dxa"/>
            <w:shd w:val="clear" w:color="auto" w:fill="FFFFFF"/>
            <w:noWrap/>
            <w:vAlign w:val="center"/>
          </w:tcPr>
          <w:p w14:paraId="264B7C9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38F65D7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057B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exact"/>
          <w:jc w:val="center"/>
        </w:trPr>
        <w:tc>
          <w:tcPr>
            <w:tcW w:w="421" w:type="dxa"/>
            <w:shd w:val="clear" w:color="auto" w:fill="FFFFFF"/>
            <w:noWrap/>
            <w:vAlign w:val="center"/>
          </w:tcPr>
          <w:p w14:paraId="7249D45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w:t>
            </w:r>
          </w:p>
        </w:tc>
        <w:tc>
          <w:tcPr>
            <w:tcW w:w="2980" w:type="dxa"/>
            <w:shd w:val="clear" w:color="auto" w:fill="FFFFFF"/>
            <w:noWrap/>
            <w:vAlign w:val="center"/>
          </w:tcPr>
          <w:p w14:paraId="156518B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大陆自然岸线保有率（%）</w:t>
            </w:r>
          </w:p>
        </w:tc>
        <w:tc>
          <w:tcPr>
            <w:tcW w:w="966" w:type="dxa"/>
            <w:shd w:val="clear" w:color="auto" w:fill="FFFFFF"/>
            <w:noWrap/>
            <w:vAlign w:val="center"/>
          </w:tcPr>
          <w:p w14:paraId="6271834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37C675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134" w:type="dxa"/>
            <w:shd w:val="clear" w:color="auto" w:fill="FFFFFF"/>
            <w:noWrap/>
            <w:vAlign w:val="center"/>
          </w:tcPr>
          <w:p w14:paraId="53A294C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851" w:type="dxa"/>
            <w:shd w:val="clear" w:color="auto" w:fill="FFFFFF"/>
            <w:noWrap/>
            <w:vAlign w:val="center"/>
          </w:tcPr>
          <w:p w14:paraId="1F32D64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7C5289C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38C6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exact"/>
          <w:jc w:val="center"/>
        </w:trPr>
        <w:tc>
          <w:tcPr>
            <w:tcW w:w="421" w:type="dxa"/>
            <w:shd w:val="clear" w:color="auto" w:fill="FFFFFF"/>
            <w:noWrap/>
            <w:vAlign w:val="center"/>
          </w:tcPr>
          <w:p w14:paraId="6D1900A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5</w:t>
            </w:r>
          </w:p>
        </w:tc>
        <w:tc>
          <w:tcPr>
            <w:tcW w:w="2980" w:type="dxa"/>
            <w:shd w:val="clear" w:color="auto" w:fill="FFFFFF"/>
            <w:noWrap/>
            <w:vAlign w:val="center"/>
          </w:tcPr>
          <w:p w14:paraId="733A346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自然保护地陆域面积占陆域国土面积比例（%）</w:t>
            </w:r>
          </w:p>
        </w:tc>
        <w:tc>
          <w:tcPr>
            <w:tcW w:w="966" w:type="dxa"/>
            <w:shd w:val="clear" w:color="auto" w:fill="FFFFFF"/>
            <w:noWrap/>
            <w:vAlign w:val="center"/>
          </w:tcPr>
          <w:p w14:paraId="1AF8F61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0.24</w:t>
            </w:r>
          </w:p>
        </w:tc>
        <w:tc>
          <w:tcPr>
            <w:tcW w:w="1298" w:type="dxa"/>
            <w:shd w:val="clear" w:color="auto" w:fill="FFFFFF"/>
            <w:noWrap/>
            <w:vAlign w:val="center"/>
          </w:tcPr>
          <w:p w14:paraId="5C066DE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0.24</w:t>
            </w:r>
          </w:p>
        </w:tc>
        <w:tc>
          <w:tcPr>
            <w:tcW w:w="1134" w:type="dxa"/>
            <w:shd w:val="clear" w:color="auto" w:fill="FFFFFF"/>
            <w:noWrap/>
            <w:vAlign w:val="center"/>
          </w:tcPr>
          <w:p w14:paraId="7DB3400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0.24</w:t>
            </w:r>
          </w:p>
        </w:tc>
        <w:tc>
          <w:tcPr>
            <w:tcW w:w="851" w:type="dxa"/>
            <w:shd w:val="clear" w:color="auto" w:fill="FFFFFF"/>
            <w:noWrap/>
            <w:vAlign w:val="center"/>
          </w:tcPr>
          <w:p w14:paraId="60AC828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5518F047">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4075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3" w:hRule="exact"/>
          <w:jc w:val="center"/>
        </w:trPr>
        <w:tc>
          <w:tcPr>
            <w:tcW w:w="421" w:type="dxa"/>
            <w:shd w:val="clear" w:color="auto" w:fill="FFFFFF"/>
            <w:noWrap/>
            <w:vAlign w:val="center"/>
          </w:tcPr>
          <w:p w14:paraId="393C4EC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6</w:t>
            </w:r>
          </w:p>
        </w:tc>
        <w:tc>
          <w:tcPr>
            <w:tcW w:w="2980" w:type="dxa"/>
            <w:shd w:val="clear" w:color="auto" w:fill="FFFFFF"/>
            <w:noWrap/>
            <w:vAlign w:val="center"/>
          </w:tcPr>
          <w:p w14:paraId="59A82AC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森林覆盖率（%）</w:t>
            </w:r>
          </w:p>
        </w:tc>
        <w:tc>
          <w:tcPr>
            <w:tcW w:w="966" w:type="dxa"/>
            <w:shd w:val="clear" w:color="auto" w:fill="FFFFFF"/>
            <w:noWrap/>
            <w:vAlign w:val="center"/>
          </w:tcPr>
          <w:p w14:paraId="237DC40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2AD5E8B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6B4D290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0A2B605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3D1A993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788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1" w:hRule="exact"/>
          <w:jc w:val="center"/>
        </w:trPr>
        <w:tc>
          <w:tcPr>
            <w:tcW w:w="421" w:type="dxa"/>
            <w:shd w:val="clear" w:color="auto" w:fill="FFFFFF"/>
            <w:noWrap/>
            <w:vAlign w:val="center"/>
          </w:tcPr>
          <w:p w14:paraId="6D43E68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7</w:t>
            </w:r>
          </w:p>
        </w:tc>
        <w:tc>
          <w:tcPr>
            <w:tcW w:w="2980" w:type="dxa"/>
            <w:shd w:val="clear" w:color="auto" w:fill="FFFFFF"/>
            <w:noWrap/>
            <w:vAlign w:val="center"/>
          </w:tcPr>
          <w:p w14:paraId="60F035D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林地保有率（%）</w:t>
            </w:r>
          </w:p>
        </w:tc>
        <w:tc>
          <w:tcPr>
            <w:tcW w:w="966" w:type="dxa"/>
            <w:shd w:val="clear" w:color="auto" w:fill="FFFFFF"/>
            <w:noWrap/>
            <w:vAlign w:val="center"/>
          </w:tcPr>
          <w:p w14:paraId="7A4D6C2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073B6DE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0DF457C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71D8B98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22530F8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1EB1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7" w:hRule="exact"/>
          <w:jc w:val="center"/>
        </w:trPr>
        <w:tc>
          <w:tcPr>
            <w:tcW w:w="421" w:type="dxa"/>
            <w:shd w:val="clear" w:color="auto" w:fill="FFFFFF"/>
            <w:noWrap/>
            <w:vAlign w:val="center"/>
          </w:tcPr>
          <w:p w14:paraId="6C3474C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8</w:t>
            </w:r>
          </w:p>
        </w:tc>
        <w:tc>
          <w:tcPr>
            <w:tcW w:w="2980" w:type="dxa"/>
            <w:shd w:val="clear" w:color="auto" w:fill="FFFFFF"/>
            <w:noWrap/>
            <w:vAlign w:val="center"/>
          </w:tcPr>
          <w:p w14:paraId="33701DC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湿地保护率（%）</w:t>
            </w:r>
          </w:p>
        </w:tc>
        <w:tc>
          <w:tcPr>
            <w:tcW w:w="966" w:type="dxa"/>
            <w:shd w:val="clear" w:color="auto" w:fill="FFFFFF"/>
            <w:noWrap/>
            <w:vAlign w:val="center"/>
          </w:tcPr>
          <w:p w14:paraId="6F342DE4">
            <w:pPr>
              <w:widowControl w:val="0"/>
              <w:adjustRightInd/>
              <w:snapToGrid/>
              <w:spacing w:line="240" w:lineRule="auto"/>
              <w:ind w:firstLine="0" w:firstLineChars="0"/>
              <w:jc w:val="center"/>
              <w:rPr>
                <w:rFonts w:eastAsia="宋体"/>
                <w:kern w:val="0"/>
                <w:sz w:val="24"/>
                <w:szCs w:val="24"/>
              </w:rPr>
            </w:pPr>
            <w:r>
              <w:rPr>
                <w:rFonts w:hint="eastAsia" w:eastAsia="宋体"/>
                <w:kern w:val="0"/>
                <w:sz w:val="24"/>
                <w:szCs w:val="24"/>
              </w:rPr>
              <w:t>——</w:t>
            </w:r>
          </w:p>
        </w:tc>
        <w:tc>
          <w:tcPr>
            <w:tcW w:w="1298" w:type="dxa"/>
            <w:shd w:val="clear" w:color="auto" w:fill="FFFFFF"/>
            <w:noWrap/>
            <w:vAlign w:val="center"/>
          </w:tcPr>
          <w:p w14:paraId="3FD17DA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62CEA3B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2C6BB63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3B39424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5C9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86" w:hRule="exact"/>
          <w:jc w:val="center"/>
        </w:trPr>
        <w:tc>
          <w:tcPr>
            <w:tcW w:w="421" w:type="dxa"/>
            <w:shd w:val="clear" w:color="auto" w:fill="FFFFFF"/>
            <w:noWrap/>
            <w:vAlign w:val="center"/>
          </w:tcPr>
          <w:p w14:paraId="1806881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9</w:t>
            </w:r>
          </w:p>
        </w:tc>
        <w:tc>
          <w:tcPr>
            <w:tcW w:w="2980" w:type="dxa"/>
            <w:shd w:val="clear" w:color="auto" w:fill="FFFFFF"/>
            <w:noWrap/>
            <w:vAlign w:val="center"/>
          </w:tcPr>
          <w:p w14:paraId="4DA025B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水域空间保有量（公顷）</w:t>
            </w:r>
          </w:p>
        </w:tc>
        <w:tc>
          <w:tcPr>
            <w:tcW w:w="966" w:type="dxa"/>
            <w:shd w:val="clear" w:color="auto" w:fill="FFFFFF"/>
            <w:noWrap/>
            <w:vAlign w:val="center"/>
          </w:tcPr>
          <w:p w14:paraId="13D38FE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298" w:type="dxa"/>
            <w:shd w:val="clear" w:color="auto" w:fill="FFFFFF"/>
            <w:noWrap/>
            <w:vAlign w:val="center"/>
          </w:tcPr>
          <w:p w14:paraId="36449A7D">
            <w:pPr>
              <w:widowControl w:val="0"/>
              <w:adjustRightInd/>
              <w:snapToGrid/>
              <w:spacing w:line="240" w:lineRule="auto"/>
              <w:ind w:firstLine="0" w:firstLineChars="0"/>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00E773C6">
            <w:pPr>
              <w:widowControl w:val="0"/>
              <w:adjustRightInd/>
              <w:snapToGrid/>
              <w:spacing w:line="240" w:lineRule="auto"/>
              <w:ind w:firstLine="0" w:firstLineChars="0"/>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4A51158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23B4728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2084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shd w:val="clear" w:color="auto" w:fill="FFFFFF"/>
            <w:noWrap/>
            <w:vAlign w:val="center"/>
          </w:tcPr>
          <w:p w14:paraId="53218A3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1</w:t>
            </w:r>
            <w:r>
              <w:rPr>
                <w:rFonts w:ascii="仿宋" w:eastAsia="仿宋"/>
                <w:kern w:val="0"/>
                <w:sz w:val="21"/>
                <w:lang w:bidi="zh-CN"/>
              </w:rPr>
              <w:t>0</w:t>
            </w:r>
          </w:p>
        </w:tc>
        <w:tc>
          <w:tcPr>
            <w:tcW w:w="2980" w:type="dxa"/>
            <w:shd w:val="clear" w:color="auto" w:fill="FFFFFF"/>
            <w:noWrap/>
            <w:vAlign w:val="center"/>
          </w:tcPr>
          <w:p w14:paraId="48C080D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城镇开发边界扩展倍数</w:t>
            </w:r>
          </w:p>
        </w:tc>
        <w:tc>
          <w:tcPr>
            <w:tcW w:w="966" w:type="dxa"/>
            <w:shd w:val="clear" w:color="auto" w:fill="FFFFFF"/>
            <w:noWrap/>
            <w:vAlign w:val="center"/>
          </w:tcPr>
          <w:p w14:paraId="1C1C045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298" w:type="dxa"/>
            <w:shd w:val="clear" w:color="auto" w:fill="FFFFFF"/>
            <w:noWrap/>
            <w:vAlign w:val="center"/>
          </w:tcPr>
          <w:p w14:paraId="79E01D1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w:t>
            </w:r>
          </w:p>
        </w:tc>
        <w:tc>
          <w:tcPr>
            <w:tcW w:w="1134" w:type="dxa"/>
            <w:shd w:val="clear" w:color="auto" w:fill="FFFFFF"/>
            <w:noWrap/>
            <w:vAlign w:val="center"/>
          </w:tcPr>
          <w:p w14:paraId="25C96CE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w:t>
            </w:r>
          </w:p>
        </w:tc>
        <w:tc>
          <w:tcPr>
            <w:tcW w:w="851" w:type="dxa"/>
            <w:shd w:val="clear" w:color="auto" w:fill="FFFFFF"/>
            <w:noWrap/>
            <w:vAlign w:val="center"/>
          </w:tcPr>
          <w:p w14:paraId="3B648AF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1B3377B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0D67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249914BD">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11</w:t>
            </w:r>
          </w:p>
        </w:tc>
        <w:tc>
          <w:tcPr>
            <w:tcW w:w="2980" w:type="dxa"/>
            <w:shd w:val="clear" w:color="auto" w:fill="FFFFFF"/>
            <w:noWrap/>
            <w:vAlign w:val="center"/>
          </w:tcPr>
          <w:p w14:paraId="1FBD49D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村庄建设边界划定面积（公顷）</w:t>
            </w:r>
          </w:p>
        </w:tc>
        <w:tc>
          <w:tcPr>
            <w:tcW w:w="966" w:type="dxa"/>
            <w:shd w:val="clear" w:color="auto" w:fill="FFFFFF"/>
            <w:noWrap/>
            <w:vAlign w:val="center"/>
          </w:tcPr>
          <w:p w14:paraId="3BC672E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288.51</w:t>
            </w:r>
          </w:p>
        </w:tc>
        <w:tc>
          <w:tcPr>
            <w:tcW w:w="1298" w:type="dxa"/>
            <w:shd w:val="clear" w:color="auto" w:fill="FFFFFF"/>
            <w:noWrap/>
            <w:vAlign w:val="center"/>
          </w:tcPr>
          <w:p w14:paraId="4732F1C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288.51</w:t>
            </w:r>
          </w:p>
        </w:tc>
        <w:tc>
          <w:tcPr>
            <w:tcW w:w="1134" w:type="dxa"/>
            <w:shd w:val="clear" w:color="auto" w:fill="FFFFFF"/>
            <w:noWrap/>
            <w:vAlign w:val="center"/>
          </w:tcPr>
          <w:p w14:paraId="0872C57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288.51</w:t>
            </w:r>
          </w:p>
        </w:tc>
        <w:tc>
          <w:tcPr>
            <w:tcW w:w="851" w:type="dxa"/>
            <w:shd w:val="clear" w:color="auto" w:fill="FFFFFF"/>
            <w:noWrap/>
            <w:vAlign w:val="center"/>
          </w:tcPr>
          <w:p w14:paraId="360E8CC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673C3FC7">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4560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7" w:hRule="exact"/>
          <w:jc w:val="center"/>
        </w:trPr>
        <w:tc>
          <w:tcPr>
            <w:tcW w:w="421" w:type="dxa"/>
            <w:shd w:val="clear" w:color="auto" w:fill="FFFFFF"/>
            <w:noWrap/>
            <w:vAlign w:val="center"/>
          </w:tcPr>
          <w:p w14:paraId="5E995B95">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12</w:t>
            </w:r>
          </w:p>
        </w:tc>
        <w:tc>
          <w:tcPr>
            <w:tcW w:w="2980" w:type="dxa"/>
            <w:shd w:val="clear" w:color="auto" w:fill="FFFFFF"/>
            <w:noWrap/>
            <w:vAlign w:val="center"/>
          </w:tcPr>
          <w:p w14:paraId="3C5B553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自然和文化遗产（处）</w:t>
            </w:r>
          </w:p>
        </w:tc>
        <w:tc>
          <w:tcPr>
            <w:tcW w:w="966" w:type="dxa"/>
            <w:shd w:val="clear" w:color="auto" w:fill="FFFFFF"/>
            <w:noWrap/>
            <w:vAlign w:val="center"/>
          </w:tcPr>
          <w:p w14:paraId="16E21DD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w:t>
            </w:r>
          </w:p>
        </w:tc>
        <w:tc>
          <w:tcPr>
            <w:tcW w:w="1298" w:type="dxa"/>
            <w:shd w:val="clear" w:color="auto" w:fill="FFFFFF"/>
            <w:noWrap/>
            <w:vAlign w:val="center"/>
          </w:tcPr>
          <w:p w14:paraId="7BA0882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w:t>
            </w:r>
          </w:p>
        </w:tc>
        <w:tc>
          <w:tcPr>
            <w:tcW w:w="1134" w:type="dxa"/>
            <w:shd w:val="clear" w:color="auto" w:fill="FFFFFF"/>
            <w:noWrap/>
            <w:vAlign w:val="center"/>
          </w:tcPr>
          <w:p w14:paraId="5894AE2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w:t>
            </w:r>
          </w:p>
        </w:tc>
        <w:tc>
          <w:tcPr>
            <w:tcW w:w="851" w:type="dxa"/>
            <w:shd w:val="clear" w:color="auto" w:fill="FFFFFF"/>
            <w:noWrap/>
            <w:vAlign w:val="center"/>
          </w:tcPr>
          <w:p w14:paraId="5AE970B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4896344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EA8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exact"/>
          <w:jc w:val="center"/>
        </w:trPr>
        <w:tc>
          <w:tcPr>
            <w:tcW w:w="8498" w:type="dxa"/>
            <w:gridSpan w:val="7"/>
            <w:shd w:val="clear" w:color="auto" w:fill="FFFFFF"/>
            <w:noWrap/>
            <w:vAlign w:val="center"/>
          </w:tcPr>
          <w:p w14:paraId="291390D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二、空间结构与效率</w:t>
            </w:r>
          </w:p>
        </w:tc>
      </w:tr>
      <w:tr w14:paraId="25FC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2" w:hRule="exact"/>
          <w:jc w:val="center"/>
        </w:trPr>
        <w:tc>
          <w:tcPr>
            <w:tcW w:w="421" w:type="dxa"/>
            <w:shd w:val="clear" w:color="auto" w:fill="FFFFFF"/>
            <w:noWrap/>
            <w:vAlign w:val="center"/>
          </w:tcPr>
          <w:p w14:paraId="45B523CD">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13</w:t>
            </w:r>
          </w:p>
        </w:tc>
        <w:tc>
          <w:tcPr>
            <w:tcW w:w="2980" w:type="dxa"/>
            <w:shd w:val="clear" w:color="auto" w:fill="FFFFFF"/>
            <w:noWrap/>
            <w:vAlign w:val="center"/>
          </w:tcPr>
          <w:p w14:paraId="512B5AB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人均城镇建设用地面积（平方米）</w:t>
            </w:r>
          </w:p>
        </w:tc>
        <w:tc>
          <w:tcPr>
            <w:tcW w:w="966" w:type="dxa"/>
            <w:shd w:val="clear" w:color="auto" w:fill="FFFFFF"/>
            <w:noWrap/>
            <w:vAlign w:val="center"/>
          </w:tcPr>
          <w:p w14:paraId="074335B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298" w:type="dxa"/>
            <w:shd w:val="clear" w:color="auto" w:fill="FFFFFF"/>
            <w:noWrap/>
            <w:vAlign w:val="center"/>
          </w:tcPr>
          <w:p w14:paraId="38712352">
            <w:pPr>
              <w:widowControl w:val="0"/>
              <w:adjustRightInd/>
              <w:snapToGrid/>
              <w:spacing w:line="240" w:lineRule="auto"/>
              <w:ind w:firstLine="0" w:firstLineChars="0"/>
              <w:jc w:val="center"/>
              <w:rPr>
                <w:rFonts w:ascii="仿宋"/>
                <w:kern w:val="0"/>
                <w:sz w:val="21"/>
                <w:lang w:bidi="zh-CN"/>
              </w:rPr>
            </w:pPr>
            <w:r>
              <w:rPr>
                <w:rFonts w:cs="宋体"/>
                <w:kern w:val="0"/>
                <w:sz w:val="21"/>
                <w:szCs w:val="21"/>
              </w:rPr>
              <w:t>≤</w:t>
            </w:r>
            <w:r>
              <w:rPr>
                <w:rFonts w:hint="eastAsia" w:cs="宋体"/>
                <w:kern w:val="0"/>
                <w:sz w:val="21"/>
                <w:szCs w:val="21"/>
              </w:rPr>
              <w:t>66</w:t>
            </w:r>
          </w:p>
        </w:tc>
        <w:tc>
          <w:tcPr>
            <w:tcW w:w="1134" w:type="dxa"/>
            <w:shd w:val="clear" w:color="auto" w:fill="FFFFFF"/>
            <w:noWrap/>
            <w:vAlign w:val="center"/>
          </w:tcPr>
          <w:p w14:paraId="6764D934">
            <w:pPr>
              <w:widowControl w:val="0"/>
              <w:adjustRightInd/>
              <w:snapToGrid/>
              <w:spacing w:line="240" w:lineRule="auto"/>
              <w:ind w:firstLine="0" w:firstLineChars="0"/>
              <w:jc w:val="center"/>
              <w:rPr>
                <w:rFonts w:ascii="仿宋"/>
                <w:kern w:val="0"/>
                <w:sz w:val="21"/>
                <w:lang w:bidi="zh-CN"/>
              </w:rPr>
            </w:pPr>
            <w:r>
              <w:rPr>
                <w:rFonts w:cs="宋体"/>
                <w:kern w:val="0"/>
                <w:sz w:val="21"/>
                <w:szCs w:val="21"/>
              </w:rPr>
              <w:t>≤</w:t>
            </w:r>
            <w:r>
              <w:rPr>
                <w:rFonts w:hint="eastAsia" w:cs="宋体"/>
                <w:kern w:val="0"/>
                <w:sz w:val="21"/>
                <w:szCs w:val="21"/>
              </w:rPr>
              <w:t>78</w:t>
            </w:r>
          </w:p>
        </w:tc>
        <w:tc>
          <w:tcPr>
            <w:tcW w:w="851" w:type="dxa"/>
            <w:shd w:val="clear" w:color="auto" w:fill="FFFFFF"/>
            <w:noWrap/>
            <w:vAlign w:val="center"/>
          </w:tcPr>
          <w:p w14:paraId="22ED869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约束性</w:t>
            </w:r>
          </w:p>
        </w:tc>
        <w:tc>
          <w:tcPr>
            <w:tcW w:w="848" w:type="dxa"/>
            <w:shd w:val="clear" w:color="auto" w:fill="FFFFFF"/>
            <w:noWrap/>
            <w:vAlign w:val="center"/>
          </w:tcPr>
          <w:p w14:paraId="0D52365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56B1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6" w:hRule="exact"/>
          <w:jc w:val="center"/>
        </w:trPr>
        <w:tc>
          <w:tcPr>
            <w:tcW w:w="421" w:type="dxa"/>
            <w:shd w:val="clear" w:color="auto" w:fill="FFFFFF"/>
            <w:noWrap/>
            <w:vAlign w:val="center"/>
          </w:tcPr>
          <w:p w14:paraId="5C519720">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14</w:t>
            </w:r>
          </w:p>
        </w:tc>
        <w:tc>
          <w:tcPr>
            <w:tcW w:w="2980" w:type="dxa"/>
            <w:shd w:val="clear" w:color="auto" w:fill="FFFFFF"/>
            <w:noWrap/>
            <w:vAlign w:val="center"/>
          </w:tcPr>
          <w:p w14:paraId="411FA0D5">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人均应急避难场所面积（平方米）</w:t>
            </w:r>
          </w:p>
        </w:tc>
        <w:tc>
          <w:tcPr>
            <w:tcW w:w="966" w:type="dxa"/>
            <w:shd w:val="clear" w:color="auto" w:fill="FFFFFF"/>
            <w:noWrap/>
            <w:vAlign w:val="center"/>
          </w:tcPr>
          <w:p w14:paraId="7569EF0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0.49</w:t>
            </w:r>
          </w:p>
        </w:tc>
        <w:tc>
          <w:tcPr>
            <w:tcW w:w="1298" w:type="dxa"/>
            <w:shd w:val="clear" w:color="auto" w:fill="FFFFFF"/>
            <w:noWrap/>
            <w:vAlign w:val="center"/>
          </w:tcPr>
          <w:p w14:paraId="7C03F612">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1134" w:type="dxa"/>
            <w:shd w:val="clear" w:color="auto" w:fill="FFFFFF"/>
            <w:noWrap/>
            <w:vAlign w:val="center"/>
          </w:tcPr>
          <w:p w14:paraId="3F040D98">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851" w:type="dxa"/>
            <w:shd w:val="clear" w:color="auto" w:fill="FFFFFF"/>
            <w:noWrap/>
            <w:vAlign w:val="center"/>
          </w:tcPr>
          <w:p w14:paraId="198A603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6C997884">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3BE9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7" w:hRule="exact"/>
          <w:jc w:val="center"/>
        </w:trPr>
        <w:tc>
          <w:tcPr>
            <w:tcW w:w="421" w:type="dxa"/>
            <w:shd w:val="clear" w:color="auto" w:fill="FFFFFF"/>
            <w:noWrap/>
            <w:vAlign w:val="center"/>
          </w:tcPr>
          <w:p w14:paraId="690B6698">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15</w:t>
            </w:r>
          </w:p>
        </w:tc>
        <w:tc>
          <w:tcPr>
            <w:tcW w:w="2980" w:type="dxa"/>
            <w:shd w:val="clear" w:color="auto" w:fill="FFFFFF"/>
            <w:noWrap/>
            <w:vAlign w:val="center"/>
          </w:tcPr>
          <w:p w14:paraId="756BBA1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道路网密度（千米/平方千米）</w:t>
            </w:r>
          </w:p>
        </w:tc>
        <w:tc>
          <w:tcPr>
            <w:tcW w:w="966" w:type="dxa"/>
            <w:shd w:val="clear" w:color="auto" w:fill="FFFFFF"/>
            <w:noWrap/>
            <w:vAlign w:val="center"/>
          </w:tcPr>
          <w:p w14:paraId="40CE311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3.97</w:t>
            </w:r>
          </w:p>
        </w:tc>
        <w:tc>
          <w:tcPr>
            <w:tcW w:w="1298" w:type="dxa"/>
            <w:shd w:val="clear" w:color="auto" w:fill="FFFFFF"/>
            <w:noWrap/>
            <w:vAlign w:val="center"/>
          </w:tcPr>
          <w:p w14:paraId="413EE0A7">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≥6</w:t>
            </w:r>
          </w:p>
        </w:tc>
        <w:tc>
          <w:tcPr>
            <w:tcW w:w="1134" w:type="dxa"/>
            <w:shd w:val="clear" w:color="auto" w:fill="FFFFFF"/>
            <w:noWrap/>
            <w:vAlign w:val="center"/>
          </w:tcPr>
          <w:p w14:paraId="243D4C93">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w:t>
            </w:r>
          </w:p>
        </w:tc>
        <w:tc>
          <w:tcPr>
            <w:tcW w:w="851" w:type="dxa"/>
            <w:shd w:val="clear" w:color="auto" w:fill="FFFFFF"/>
            <w:noWrap/>
            <w:vAlign w:val="center"/>
          </w:tcPr>
          <w:p w14:paraId="5EAF5813">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约束性</w:t>
            </w:r>
          </w:p>
        </w:tc>
        <w:tc>
          <w:tcPr>
            <w:tcW w:w="848" w:type="dxa"/>
            <w:shd w:val="clear" w:color="auto" w:fill="FFFFFF"/>
            <w:noWrap/>
            <w:vAlign w:val="center"/>
          </w:tcPr>
          <w:p w14:paraId="07D2C55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0891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07B1B93E">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16</w:t>
            </w:r>
          </w:p>
        </w:tc>
        <w:tc>
          <w:tcPr>
            <w:tcW w:w="2980" w:type="dxa"/>
            <w:shd w:val="clear" w:color="auto" w:fill="FFFFFF"/>
            <w:noWrap/>
            <w:vAlign w:val="center"/>
          </w:tcPr>
          <w:p w14:paraId="481C394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每万元地区生产总值用水下降（%）</w:t>
            </w:r>
          </w:p>
        </w:tc>
        <w:tc>
          <w:tcPr>
            <w:tcW w:w="966" w:type="dxa"/>
            <w:shd w:val="clear" w:color="auto" w:fill="FFFFFF"/>
            <w:noWrap/>
            <w:vAlign w:val="center"/>
          </w:tcPr>
          <w:p w14:paraId="7DCECDC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01BA56B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≥14</w:t>
            </w:r>
          </w:p>
        </w:tc>
        <w:tc>
          <w:tcPr>
            <w:tcW w:w="1134" w:type="dxa"/>
            <w:shd w:val="clear" w:color="auto" w:fill="FFFFFF"/>
            <w:noWrap/>
            <w:vAlign w:val="center"/>
          </w:tcPr>
          <w:p w14:paraId="649C8BB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64A87C9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2EBFA10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70AC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5E33EDBF">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17</w:t>
            </w:r>
          </w:p>
        </w:tc>
        <w:tc>
          <w:tcPr>
            <w:tcW w:w="2980" w:type="dxa"/>
            <w:shd w:val="clear" w:color="auto" w:fill="FFFFFF"/>
            <w:noWrap/>
            <w:vAlign w:val="center"/>
          </w:tcPr>
          <w:p w14:paraId="0934AF9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单位地区生产总值建设用地使用面积下降（</w:t>
            </w:r>
            <w:r>
              <w:rPr>
                <w:rFonts w:ascii="仿宋" w:eastAsia="仿宋"/>
                <w:kern w:val="0"/>
                <w:sz w:val="21"/>
                <w:lang w:bidi="zh-CN"/>
              </w:rPr>
              <w:t>%</w:t>
            </w:r>
            <w:r>
              <w:rPr>
                <w:rFonts w:hint="eastAsia" w:ascii="仿宋" w:eastAsia="仿宋"/>
                <w:kern w:val="0"/>
                <w:sz w:val="21"/>
                <w:lang w:bidi="zh-CN"/>
              </w:rPr>
              <w:t>）</w:t>
            </w:r>
          </w:p>
        </w:tc>
        <w:tc>
          <w:tcPr>
            <w:tcW w:w="966" w:type="dxa"/>
            <w:shd w:val="clear" w:color="auto" w:fill="FFFFFF"/>
            <w:noWrap/>
            <w:vAlign w:val="center"/>
          </w:tcPr>
          <w:p w14:paraId="45415A0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w:t>
            </w:r>
          </w:p>
        </w:tc>
        <w:tc>
          <w:tcPr>
            <w:tcW w:w="1298" w:type="dxa"/>
            <w:shd w:val="clear" w:color="auto" w:fill="FFFFFF"/>
            <w:noWrap/>
            <w:vAlign w:val="center"/>
          </w:tcPr>
          <w:p w14:paraId="7728538D">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1134" w:type="dxa"/>
            <w:shd w:val="clear" w:color="auto" w:fill="FFFFFF"/>
            <w:noWrap/>
            <w:vAlign w:val="center"/>
          </w:tcPr>
          <w:p w14:paraId="611A363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依据上级下达任务确定</w:t>
            </w:r>
          </w:p>
        </w:tc>
        <w:tc>
          <w:tcPr>
            <w:tcW w:w="851" w:type="dxa"/>
            <w:shd w:val="clear" w:color="auto" w:fill="FFFFFF"/>
            <w:noWrap/>
            <w:vAlign w:val="center"/>
          </w:tcPr>
          <w:p w14:paraId="459ECEB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预期性</w:t>
            </w:r>
          </w:p>
        </w:tc>
        <w:tc>
          <w:tcPr>
            <w:tcW w:w="848" w:type="dxa"/>
            <w:shd w:val="clear" w:color="auto" w:fill="FFFFFF"/>
            <w:noWrap/>
            <w:vAlign w:val="center"/>
          </w:tcPr>
          <w:p w14:paraId="786C600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全域</w:t>
            </w:r>
          </w:p>
        </w:tc>
      </w:tr>
      <w:tr w14:paraId="3DE8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8498" w:type="dxa"/>
            <w:gridSpan w:val="7"/>
            <w:shd w:val="clear" w:color="auto" w:fill="FFFFFF"/>
            <w:noWrap/>
            <w:vAlign w:val="center"/>
          </w:tcPr>
          <w:p w14:paraId="2B60DC1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三、空间品质</w:t>
            </w:r>
          </w:p>
        </w:tc>
      </w:tr>
      <w:tr w14:paraId="1924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0" w:hRule="exact"/>
          <w:jc w:val="center"/>
        </w:trPr>
        <w:tc>
          <w:tcPr>
            <w:tcW w:w="421" w:type="dxa"/>
            <w:shd w:val="clear" w:color="auto" w:fill="FFFFFF"/>
            <w:noWrap/>
            <w:vAlign w:val="center"/>
          </w:tcPr>
          <w:p w14:paraId="18748F1F">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18</w:t>
            </w:r>
          </w:p>
        </w:tc>
        <w:tc>
          <w:tcPr>
            <w:tcW w:w="2980" w:type="dxa"/>
            <w:shd w:val="clear" w:color="auto" w:fill="FFFFFF"/>
            <w:noWrap/>
            <w:vAlign w:val="center"/>
          </w:tcPr>
          <w:p w14:paraId="4AA35720">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公园绿地、广场步行5分钟覆盖率（%）</w:t>
            </w:r>
          </w:p>
          <w:p w14:paraId="77524FAC">
            <w:pPr>
              <w:widowControl w:val="0"/>
              <w:adjustRightInd/>
              <w:snapToGrid/>
              <w:spacing w:line="240" w:lineRule="auto"/>
              <w:ind w:firstLine="0" w:firstLineChars="0"/>
              <w:jc w:val="center"/>
              <w:rPr>
                <w:rFonts w:ascii="仿宋" w:eastAsia="仿宋"/>
                <w:sz w:val="21"/>
                <w:lang w:bidi="zh-CN"/>
              </w:rPr>
            </w:pPr>
          </w:p>
        </w:tc>
        <w:tc>
          <w:tcPr>
            <w:tcW w:w="966" w:type="dxa"/>
            <w:shd w:val="clear" w:color="auto" w:fill="FFFFFF"/>
            <w:noWrap/>
            <w:vAlign w:val="center"/>
          </w:tcPr>
          <w:p w14:paraId="2BC76CA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32.64</w:t>
            </w:r>
          </w:p>
        </w:tc>
        <w:tc>
          <w:tcPr>
            <w:tcW w:w="1298" w:type="dxa"/>
            <w:shd w:val="clear" w:color="auto" w:fill="FFFFFF"/>
            <w:noWrap/>
            <w:vAlign w:val="center"/>
          </w:tcPr>
          <w:p w14:paraId="1C9FFD31">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≥45</w:t>
            </w:r>
          </w:p>
        </w:tc>
        <w:tc>
          <w:tcPr>
            <w:tcW w:w="1134" w:type="dxa"/>
            <w:shd w:val="clear" w:color="auto" w:fill="FFFFFF"/>
            <w:noWrap/>
            <w:vAlign w:val="center"/>
          </w:tcPr>
          <w:p w14:paraId="40C0EEF5">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≥75</w:t>
            </w:r>
          </w:p>
        </w:tc>
        <w:tc>
          <w:tcPr>
            <w:tcW w:w="851" w:type="dxa"/>
            <w:shd w:val="clear" w:color="auto" w:fill="FFFFFF"/>
            <w:noWrap/>
            <w:vAlign w:val="center"/>
          </w:tcPr>
          <w:p w14:paraId="449C02A6">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约束性</w:t>
            </w:r>
          </w:p>
        </w:tc>
        <w:tc>
          <w:tcPr>
            <w:tcW w:w="848" w:type="dxa"/>
            <w:shd w:val="clear" w:color="auto" w:fill="FFFFFF"/>
            <w:noWrap/>
            <w:vAlign w:val="center"/>
          </w:tcPr>
          <w:p w14:paraId="301E6562">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0D67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6" w:hRule="atLeast"/>
          <w:jc w:val="center"/>
        </w:trPr>
        <w:tc>
          <w:tcPr>
            <w:tcW w:w="421" w:type="dxa"/>
            <w:vMerge w:val="restart"/>
            <w:shd w:val="clear" w:color="auto" w:fill="FFFFFF"/>
            <w:noWrap/>
            <w:vAlign w:val="center"/>
          </w:tcPr>
          <w:p w14:paraId="1DE89277">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19</w:t>
            </w:r>
          </w:p>
        </w:tc>
        <w:tc>
          <w:tcPr>
            <w:tcW w:w="2980" w:type="dxa"/>
            <w:shd w:val="clear" w:color="auto" w:fill="FFFFFF"/>
            <w:noWrap/>
            <w:vAlign w:val="center"/>
          </w:tcPr>
          <w:p w14:paraId="7E47B060">
            <w:pPr>
              <w:widowControl w:val="0"/>
              <w:adjustRightInd/>
              <w:snapToGrid/>
              <w:spacing w:line="240" w:lineRule="auto"/>
              <w:ind w:firstLine="0" w:firstLineChars="0"/>
              <w:jc w:val="center"/>
              <w:rPr>
                <w:rFonts w:ascii="仿宋" w:eastAsia="仿宋"/>
                <w:sz w:val="21"/>
                <w:lang w:bidi="zh-CN"/>
              </w:rPr>
            </w:pPr>
            <w:r>
              <w:rPr>
                <w:rFonts w:hint="eastAsia"/>
                <w:bCs/>
                <w:sz w:val="21"/>
                <w:szCs w:val="21"/>
              </w:rPr>
              <w:t>医疗卫生服务设施步行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1F464837">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46.53</w:t>
            </w:r>
          </w:p>
        </w:tc>
        <w:tc>
          <w:tcPr>
            <w:tcW w:w="1298" w:type="dxa"/>
            <w:shd w:val="clear" w:color="auto" w:fill="FFFFFF"/>
            <w:noWrap/>
            <w:vAlign w:val="center"/>
          </w:tcPr>
          <w:p w14:paraId="664D2AD6">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≥55</w:t>
            </w:r>
          </w:p>
        </w:tc>
        <w:tc>
          <w:tcPr>
            <w:tcW w:w="1134" w:type="dxa"/>
            <w:shd w:val="clear" w:color="auto" w:fill="FFFFFF"/>
            <w:noWrap/>
            <w:vAlign w:val="center"/>
          </w:tcPr>
          <w:p w14:paraId="3971512C">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4B43E15F">
            <w:pPr>
              <w:widowControl w:val="0"/>
              <w:adjustRightInd/>
              <w:snapToGrid/>
              <w:spacing w:line="240" w:lineRule="auto"/>
              <w:ind w:firstLine="0" w:firstLineChars="0"/>
              <w:jc w:val="center"/>
              <w:rPr>
                <w:rFonts w:ascii="仿宋" w:eastAsia="仿宋"/>
                <w:sz w:val="21"/>
                <w:lang w:bidi="zh-CN"/>
              </w:rPr>
            </w:pPr>
            <w:r>
              <w:rPr>
                <w:rFonts w:hint="eastAsia"/>
                <w:bCs/>
                <w:sz w:val="21"/>
                <w:szCs w:val="21"/>
              </w:rPr>
              <w:t>预期性</w:t>
            </w:r>
          </w:p>
        </w:tc>
        <w:tc>
          <w:tcPr>
            <w:tcW w:w="848" w:type="dxa"/>
            <w:shd w:val="clear" w:color="auto" w:fill="FFFFFF"/>
            <w:noWrap/>
            <w:vAlign w:val="center"/>
          </w:tcPr>
          <w:p w14:paraId="0629D1EE">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5BA2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3" w:hRule="exact"/>
          <w:jc w:val="center"/>
        </w:trPr>
        <w:tc>
          <w:tcPr>
            <w:tcW w:w="421" w:type="dxa"/>
            <w:vMerge w:val="continue"/>
            <w:shd w:val="clear" w:color="auto" w:fill="FFFFFF"/>
            <w:noWrap/>
            <w:vAlign w:val="center"/>
          </w:tcPr>
          <w:p w14:paraId="50A1149D">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4EA0B881">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养老设施步行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06D3152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39</w:t>
            </w:r>
          </w:p>
        </w:tc>
        <w:tc>
          <w:tcPr>
            <w:tcW w:w="1298" w:type="dxa"/>
            <w:shd w:val="clear" w:color="auto" w:fill="FFFFFF"/>
            <w:noWrap/>
            <w:vAlign w:val="center"/>
          </w:tcPr>
          <w:p w14:paraId="6ADFC01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≥38</w:t>
            </w:r>
          </w:p>
        </w:tc>
        <w:tc>
          <w:tcPr>
            <w:tcW w:w="1134" w:type="dxa"/>
            <w:shd w:val="clear" w:color="auto" w:fill="FFFFFF"/>
            <w:noWrap/>
            <w:vAlign w:val="center"/>
          </w:tcPr>
          <w:p w14:paraId="24D9891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≥80</w:t>
            </w:r>
          </w:p>
        </w:tc>
        <w:tc>
          <w:tcPr>
            <w:tcW w:w="851" w:type="dxa"/>
            <w:shd w:val="clear" w:color="auto" w:fill="FFFFFF"/>
            <w:noWrap/>
            <w:vAlign w:val="center"/>
          </w:tcPr>
          <w:p w14:paraId="486D7466">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2A17519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49F2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2" w:hRule="exact"/>
          <w:jc w:val="center"/>
        </w:trPr>
        <w:tc>
          <w:tcPr>
            <w:tcW w:w="421" w:type="dxa"/>
            <w:vMerge w:val="continue"/>
            <w:shd w:val="clear" w:color="auto" w:fill="FFFFFF"/>
            <w:noWrap/>
            <w:vAlign w:val="center"/>
          </w:tcPr>
          <w:p w14:paraId="08A26E0B">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5A645311">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教育设施步行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55D3A06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81</w:t>
            </w:r>
          </w:p>
        </w:tc>
        <w:tc>
          <w:tcPr>
            <w:tcW w:w="1298" w:type="dxa"/>
            <w:shd w:val="clear" w:color="auto" w:fill="FFFFFF"/>
            <w:noWrap/>
            <w:vAlign w:val="center"/>
          </w:tcPr>
          <w:p w14:paraId="32BE22A1">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≥85</w:t>
            </w:r>
          </w:p>
        </w:tc>
        <w:tc>
          <w:tcPr>
            <w:tcW w:w="1134" w:type="dxa"/>
            <w:shd w:val="clear" w:color="auto" w:fill="FFFFFF"/>
            <w:noWrap/>
            <w:vAlign w:val="center"/>
          </w:tcPr>
          <w:p w14:paraId="43435AB2">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≥85</w:t>
            </w:r>
          </w:p>
        </w:tc>
        <w:tc>
          <w:tcPr>
            <w:tcW w:w="851" w:type="dxa"/>
            <w:shd w:val="clear" w:color="auto" w:fill="FFFFFF"/>
            <w:noWrap/>
            <w:vAlign w:val="center"/>
          </w:tcPr>
          <w:p w14:paraId="09FB4133">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0700EF8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722C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2" w:hRule="exact"/>
          <w:jc w:val="center"/>
        </w:trPr>
        <w:tc>
          <w:tcPr>
            <w:tcW w:w="421" w:type="dxa"/>
            <w:vMerge w:val="continue"/>
            <w:shd w:val="clear" w:color="auto" w:fill="FFFFFF"/>
            <w:noWrap/>
            <w:vAlign w:val="center"/>
          </w:tcPr>
          <w:p w14:paraId="692175A3">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43AAEDD1">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文化活动设施步行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0F725195">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50.21</w:t>
            </w:r>
          </w:p>
        </w:tc>
        <w:tc>
          <w:tcPr>
            <w:tcW w:w="1298" w:type="dxa"/>
            <w:shd w:val="clear" w:color="auto" w:fill="FFFFFF"/>
            <w:noWrap/>
            <w:vAlign w:val="center"/>
          </w:tcPr>
          <w:p w14:paraId="2FB06EC3">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≥55</w:t>
            </w:r>
          </w:p>
        </w:tc>
        <w:tc>
          <w:tcPr>
            <w:tcW w:w="1134" w:type="dxa"/>
            <w:shd w:val="clear" w:color="auto" w:fill="FFFFFF"/>
            <w:noWrap/>
            <w:vAlign w:val="center"/>
          </w:tcPr>
          <w:p w14:paraId="1E95FA12">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7AA74619">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7E392AC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47A4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9" w:hRule="exact"/>
          <w:jc w:val="center"/>
        </w:trPr>
        <w:tc>
          <w:tcPr>
            <w:tcW w:w="421" w:type="dxa"/>
            <w:vMerge w:val="continue"/>
            <w:shd w:val="clear" w:color="auto" w:fill="FFFFFF"/>
            <w:noWrap/>
            <w:vAlign w:val="center"/>
          </w:tcPr>
          <w:p w14:paraId="2691199E">
            <w:pPr>
              <w:widowControl w:val="0"/>
              <w:adjustRightInd/>
              <w:snapToGrid/>
              <w:spacing w:line="240" w:lineRule="auto"/>
              <w:ind w:firstLine="0" w:firstLineChars="0"/>
              <w:jc w:val="center"/>
              <w:rPr>
                <w:rFonts w:ascii="仿宋" w:eastAsia="仿宋"/>
                <w:kern w:val="0"/>
                <w:sz w:val="21"/>
                <w:lang w:bidi="zh-CN"/>
              </w:rPr>
            </w:pPr>
          </w:p>
        </w:tc>
        <w:tc>
          <w:tcPr>
            <w:tcW w:w="2980" w:type="dxa"/>
            <w:shd w:val="clear" w:color="auto" w:fill="FFFFFF"/>
            <w:noWrap/>
            <w:vAlign w:val="center"/>
          </w:tcPr>
          <w:p w14:paraId="27908310">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体育设施步行</w:t>
            </w:r>
            <w:r>
              <w:rPr>
                <w:bCs/>
                <w:sz w:val="21"/>
                <w:szCs w:val="21"/>
              </w:rPr>
              <w:t>15</w:t>
            </w:r>
            <w:r>
              <w:rPr>
                <w:rFonts w:hint="eastAsia"/>
                <w:bCs/>
                <w:sz w:val="21"/>
                <w:szCs w:val="21"/>
              </w:rPr>
              <w:t>分钟覆盖率（</w:t>
            </w:r>
            <w:r>
              <w:rPr>
                <w:bCs/>
                <w:sz w:val="21"/>
                <w:szCs w:val="21"/>
              </w:rPr>
              <w:t>%</w:t>
            </w:r>
            <w:r>
              <w:rPr>
                <w:rFonts w:hint="eastAsia"/>
                <w:bCs/>
                <w:sz w:val="21"/>
                <w:szCs w:val="21"/>
              </w:rPr>
              <w:t>）</w:t>
            </w:r>
          </w:p>
        </w:tc>
        <w:tc>
          <w:tcPr>
            <w:tcW w:w="966" w:type="dxa"/>
            <w:shd w:val="clear" w:color="auto" w:fill="FFFFFF"/>
            <w:noWrap/>
            <w:vAlign w:val="center"/>
          </w:tcPr>
          <w:p w14:paraId="6E00CD4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56.51</w:t>
            </w:r>
          </w:p>
        </w:tc>
        <w:tc>
          <w:tcPr>
            <w:tcW w:w="1298" w:type="dxa"/>
            <w:shd w:val="clear" w:color="auto" w:fill="FFFFFF"/>
            <w:noWrap/>
            <w:vAlign w:val="center"/>
          </w:tcPr>
          <w:p w14:paraId="2FD04682">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≥48</w:t>
            </w:r>
          </w:p>
        </w:tc>
        <w:tc>
          <w:tcPr>
            <w:tcW w:w="1134" w:type="dxa"/>
            <w:shd w:val="clear" w:color="auto" w:fill="FFFFFF"/>
            <w:noWrap/>
            <w:vAlign w:val="center"/>
          </w:tcPr>
          <w:p w14:paraId="642DACBC">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≥70</w:t>
            </w:r>
          </w:p>
        </w:tc>
        <w:tc>
          <w:tcPr>
            <w:tcW w:w="851" w:type="dxa"/>
            <w:shd w:val="clear" w:color="auto" w:fill="FFFFFF"/>
            <w:noWrap/>
            <w:vAlign w:val="center"/>
          </w:tcPr>
          <w:p w14:paraId="47489B63">
            <w:pPr>
              <w:widowControl w:val="0"/>
              <w:adjustRightInd/>
              <w:snapToGrid/>
              <w:spacing w:line="240" w:lineRule="auto"/>
              <w:ind w:firstLine="0" w:firstLineChars="0"/>
              <w:jc w:val="center"/>
              <w:rPr>
                <w:rFonts w:ascii="仿宋" w:eastAsia="仿宋"/>
                <w:kern w:val="0"/>
                <w:sz w:val="21"/>
                <w:lang w:bidi="zh-CN"/>
              </w:rPr>
            </w:pPr>
            <w:r>
              <w:rPr>
                <w:rFonts w:hint="eastAsia"/>
                <w:bCs/>
                <w:sz w:val="21"/>
                <w:szCs w:val="21"/>
              </w:rPr>
              <w:t>预期性</w:t>
            </w:r>
          </w:p>
        </w:tc>
        <w:tc>
          <w:tcPr>
            <w:tcW w:w="848" w:type="dxa"/>
            <w:shd w:val="clear" w:color="auto" w:fill="FFFFFF"/>
            <w:noWrap/>
            <w:vAlign w:val="center"/>
          </w:tcPr>
          <w:p w14:paraId="477DFECE">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镇中心</w:t>
            </w:r>
          </w:p>
        </w:tc>
      </w:tr>
      <w:tr w14:paraId="5148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6" w:hRule="exact"/>
          <w:jc w:val="center"/>
        </w:trPr>
        <w:tc>
          <w:tcPr>
            <w:tcW w:w="421" w:type="dxa"/>
            <w:shd w:val="clear" w:color="auto" w:fill="FFFFFF"/>
            <w:noWrap/>
            <w:vAlign w:val="center"/>
          </w:tcPr>
          <w:p w14:paraId="1E91B29E">
            <w:pPr>
              <w:widowControl w:val="0"/>
              <w:adjustRightInd/>
              <w:snapToGrid/>
              <w:spacing w:line="240" w:lineRule="auto"/>
              <w:ind w:firstLine="0" w:firstLineChars="0"/>
              <w:jc w:val="center"/>
              <w:rPr>
                <w:rFonts w:ascii="仿宋" w:eastAsia="仿宋"/>
                <w:sz w:val="21"/>
                <w:lang w:bidi="zh-CN"/>
              </w:rPr>
            </w:pPr>
            <w:r>
              <w:rPr>
                <w:rFonts w:ascii="仿宋" w:eastAsia="仿宋"/>
                <w:kern w:val="0"/>
                <w:sz w:val="21"/>
                <w:lang w:bidi="zh-CN"/>
              </w:rPr>
              <w:t>20</w:t>
            </w:r>
          </w:p>
        </w:tc>
        <w:tc>
          <w:tcPr>
            <w:tcW w:w="2980" w:type="dxa"/>
            <w:shd w:val="clear" w:color="auto" w:fill="FFFFFF"/>
            <w:noWrap/>
            <w:vAlign w:val="center"/>
          </w:tcPr>
          <w:p w14:paraId="567E259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每千名老年人拥有养老床位数（张）</w:t>
            </w:r>
          </w:p>
        </w:tc>
        <w:tc>
          <w:tcPr>
            <w:tcW w:w="966" w:type="dxa"/>
            <w:shd w:val="clear" w:color="auto" w:fill="FFFFFF"/>
            <w:noWrap/>
            <w:vAlign w:val="center"/>
          </w:tcPr>
          <w:p w14:paraId="407636E1">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10.08</w:t>
            </w:r>
          </w:p>
        </w:tc>
        <w:tc>
          <w:tcPr>
            <w:tcW w:w="1298" w:type="dxa"/>
            <w:shd w:val="clear" w:color="auto" w:fill="FFFFFF"/>
            <w:noWrap/>
            <w:vAlign w:val="center"/>
          </w:tcPr>
          <w:p w14:paraId="122421B8">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≥15</w:t>
            </w:r>
          </w:p>
        </w:tc>
        <w:tc>
          <w:tcPr>
            <w:tcW w:w="1134" w:type="dxa"/>
            <w:shd w:val="clear" w:color="auto" w:fill="FFFFFF"/>
            <w:noWrap/>
            <w:vAlign w:val="center"/>
          </w:tcPr>
          <w:p w14:paraId="0F2E4A5E">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≥30</w:t>
            </w:r>
          </w:p>
        </w:tc>
        <w:tc>
          <w:tcPr>
            <w:tcW w:w="851" w:type="dxa"/>
            <w:shd w:val="clear" w:color="auto" w:fill="FFFFFF"/>
            <w:noWrap/>
            <w:vAlign w:val="center"/>
          </w:tcPr>
          <w:p w14:paraId="7DE7A64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3AE3D3F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68B0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0" w:hRule="exact"/>
          <w:jc w:val="center"/>
        </w:trPr>
        <w:tc>
          <w:tcPr>
            <w:tcW w:w="421" w:type="dxa"/>
            <w:shd w:val="clear" w:color="auto" w:fill="FFFFFF"/>
            <w:noWrap/>
            <w:vAlign w:val="center"/>
          </w:tcPr>
          <w:p w14:paraId="54813733">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1</w:t>
            </w:r>
          </w:p>
        </w:tc>
        <w:tc>
          <w:tcPr>
            <w:tcW w:w="2980" w:type="dxa"/>
            <w:shd w:val="clear" w:color="auto" w:fill="FFFFFF"/>
            <w:noWrap/>
            <w:vAlign w:val="center"/>
          </w:tcPr>
          <w:p w14:paraId="7C2F7B03">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每千人口医疗卫生机构床位数（张）</w:t>
            </w:r>
          </w:p>
        </w:tc>
        <w:tc>
          <w:tcPr>
            <w:tcW w:w="966" w:type="dxa"/>
            <w:shd w:val="clear" w:color="auto" w:fill="FFFFFF"/>
            <w:noWrap/>
            <w:vAlign w:val="center"/>
          </w:tcPr>
          <w:p w14:paraId="448F19F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6.72</w:t>
            </w:r>
          </w:p>
        </w:tc>
        <w:tc>
          <w:tcPr>
            <w:tcW w:w="1298" w:type="dxa"/>
            <w:shd w:val="clear" w:color="auto" w:fill="FFFFFF"/>
            <w:noWrap/>
            <w:vAlign w:val="center"/>
          </w:tcPr>
          <w:p w14:paraId="40E45746">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1134" w:type="dxa"/>
            <w:shd w:val="clear" w:color="auto" w:fill="FFFFFF"/>
            <w:noWrap/>
            <w:vAlign w:val="center"/>
          </w:tcPr>
          <w:p w14:paraId="12F4EEE6">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851" w:type="dxa"/>
            <w:shd w:val="clear" w:color="auto" w:fill="FFFFFF"/>
            <w:noWrap/>
            <w:vAlign w:val="center"/>
          </w:tcPr>
          <w:p w14:paraId="597DB88F">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471E18F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全域</w:t>
            </w:r>
          </w:p>
        </w:tc>
      </w:tr>
      <w:tr w14:paraId="174C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5" w:hRule="exact"/>
          <w:jc w:val="center"/>
        </w:trPr>
        <w:tc>
          <w:tcPr>
            <w:tcW w:w="421" w:type="dxa"/>
            <w:shd w:val="clear" w:color="auto" w:fill="FFFFFF"/>
            <w:noWrap/>
            <w:vAlign w:val="center"/>
          </w:tcPr>
          <w:p w14:paraId="60A2006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2</w:t>
            </w:r>
          </w:p>
        </w:tc>
        <w:tc>
          <w:tcPr>
            <w:tcW w:w="2980" w:type="dxa"/>
            <w:shd w:val="clear" w:color="auto" w:fill="FFFFFF"/>
            <w:noWrap/>
            <w:vAlign w:val="center"/>
          </w:tcPr>
          <w:p w14:paraId="41F72818">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人均体育用地面积（平方米）</w:t>
            </w:r>
          </w:p>
        </w:tc>
        <w:tc>
          <w:tcPr>
            <w:tcW w:w="966" w:type="dxa"/>
            <w:shd w:val="clear" w:color="auto" w:fill="FFFFFF"/>
            <w:noWrap/>
            <w:vAlign w:val="center"/>
          </w:tcPr>
          <w:p w14:paraId="41C9FA0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0.08</w:t>
            </w:r>
          </w:p>
        </w:tc>
        <w:tc>
          <w:tcPr>
            <w:tcW w:w="1298" w:type="dxa"/>
            <w:shd w:val="clear" w:color="auto" w:fill="FFFFFF"/>
            <w:noWrap/>
            <w:vAlign w:val="center"/>
          </w:tcPr>
          <w:p w14:paraId="7C89F286">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≥0.1</w:t>
            </w:r>
          </w:p>
        </w:tc>
        <w:tc>
          <w:tcPr>
            <w:tcW w:w="1134" w:type="dxa"/>
            <w:shd w:val="clear" w:color="auto" w:fill="FFFFFF"/>
            <w:noWrap/>
            <w:vAlign w:val="center"/>
          </w:tcPr>
          <w:p w14:paraId="5329F4EA">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≥0.6</w:t>
            </w:r>
          </w:p>
        </w:tc>
        <w:tc>
          <w:tcPr>
            <w:tcW w:w="851" w:type="dxa"/>
            <w:shd w:val="clear" w:color="auto" w:fill="FFFFFF"/>
            <w:noWrap/>
            <w:vAlign w:val="center"/>
          </w:tcPr>
          <w:p w14:paraId="0BA5A721">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6D09429A">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289F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6" w:hRule="exact"/>
          <w:jc w:val="center"/>
        </w:trPr>
        <w:tc>
          <w:tcPr>
            <w:tcW w:w="421" w:type="dxa"/>
            <w:shd w:val="clear" w:color="auto" w:fill="FFFFFF"/>
            <w:noWrap/>
            <w:vAlign w:val="center"/>
          </w:tcPr>
          <w:p w14:paraId="7D730F9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2</w:t>
            </w:r>
            <w:r>
              <w:rPr>
                <w:rFonts w:ascii="仿宋" w:eastAsia="仿宋"/>
                <w:kern w:val="0"/>
                <w:sz w:val="21"/>
                <w:lang w:bidi="zh-CN"/>
              </w:rPr>
              <w:t>3</w:t>
            </w:r>
          </w:p>
        </w:tc>
        <w:tc>
          <w:tcPr>
            <w:tcW w:w="2980" w:type="dxa"/>
            <w:shd w:val="clear" w:color="auto" w:fill="FFFFFF"/>
            <w:noWrap/>
            <w:vAlign w:val="center"/>
          </w:tcPr>
          <w:p w14:paraId="422AB04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人均公园绿地面积（平方米）</w:t>
            </w:r>
          </w:p>
        </w:tc>
        <w:tc>
          <w:tcPr>
            <w:tcW w:w="966" w:type="dxa"/>
            <w:shd w:val="clear" w:color="auto" w:fill="FFFFFF"/>
            <w:noWrap/>
            <w:vAlign w:val="center"/>
          </w:tcPr>
          <w:p w14:paraId="7AB9A77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1.56</w:t>
            </w:r>
          </w:p>
        </w:tc>
        <w:tc>
          <w:tcPr>
            <w:tcW w:w="1298" w:type="dxa"/>
            <w:shd w:val="clear" w:color="auto" w:fill="FFFFFF"/>
            <w:noWrap/>
            <w:vAlign w:val="center"/>
          </w:tcPr>
          <w:p w14:paraId="3F5ACDAF">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≥2</w:t>
            </w:r>
          </w:p>
        </w:tc>
        <w:tc>
          <w:tcPr>
            <w:tcW w:w="1134" w:type="dxa"/>
            <w:shd w:val="clear" w:color="auto" w:fill="FFFFFF"/>
            <w:noWrap/>
            <w:vAlign w:val="center"/>
          </w:tcPr>
          <w:p w14:paraId="19918ED0">
            <w:pPr>
              <w:widowControl w:val="0"/>
              <w:adjustRightInd/>
              <w:snapToGrid/>
              <w:spacing w:line="240" w:lineRule="auto"/>
              <w:ind w:firstLine="0" w:firstLineChars="0"/>
              <w:jc w:val="center"/>
              <w:rPr>
                <w:rFonts w:ascii="仿宋" w:eastAsia="仿宋"/>
                <w:kern w:val="0"/>
                <w:sz w:val="21"/>
                <w:lang w:bidi="zh-CN"/>
              </w:rPr>
            </w:pPr>
            <w:r>
              <w:rPr>
                <w:rFonts w:cs="宋体"/>
                <w:kern w:val="0"/>
                <w:sz w:val="21"/>
                <w:szCs w:val="21"/>
              </w:rPr>
              <w:t>≥8</w:t>
            </w:r>
          </w:p>
        </w:tc>
        <w:tc>
          <w:tcPr>
            <w:tcW w:w="851" w:type="dxa"/>
            <w:shd w:val="clear" w:color="auto" w:fill="FFFFFF"/>
            <w:noWrap/>
            <w:vAlign w:val="center"/>
          </w:tcPr>
          <w:p w14:paraId="00208C0C">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7BA94A99">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r w14:paraId="426D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1" w:hRule="exact"/>
          <w:jc w:val="center"/>
        </w:trPr>
        <w:tc>
          <w:tcPr>
            <w:tcW w:w="421" w:type="dxa"/>
            <w:shd w:val="clear" w:color="auto" w:fill="FFFFFF"/>
            <w:noWrap/>
            <w:vAlign w:val="center"/>
          </w:tcPr>
          <w:p w14:paraId="1601916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2</w:t>
            </w:r>
            <w:r>
              <w:rPr>
                <w:rFonts w:ascii="仿宋" w:eastAsia="仿宋"/>
                <w:kern w:val="0"/>
                <w:sz w:val="21"/>
                <w:lang w:bidi="zh-CN"/>
              </w:rPr>
              <w:t>4</w:t>
            </w:r>
          </w:p>
          <w:p w14:paraId="55350F50">
            <w:pPr>
              <w:widowControl w:val="0"/>
              <w:adjustRightInd/>
              <w:snapToGrid/>
              <w:spacing w:line="240" w:lineRule="auto"/>
              <w:ind w:firstLine="0" w:firstLineChars="0"/>
              <w:jc w:val="center"/>
              <w:rPr>
                <w:rFonts w:ascii="仿宋" w:eastAsia="仿宋"/>
                <w:sz w:val="21"/>
                <w:lang w:bidi="zh-CN"/>
              </w:rPr>
            </w:pPr>
          </w:p>
        </w:tc>
        <w:tc>
          <w:tcPr>
            <w:tcW w:w="2980" w:type="dxa"/>
            <w:shd w:val="clear" w:color="auto" w:fill="FFFFFF"/>
            <w:noWrap/>
            <w:vAlign w:val="center"/>
          </w:tcPr>
          <w:p w14:paraId="6F994E8B">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农村生活垃圾处理率（%）</w:t>
            </w:r>
          </w:p>
        </w:tc>
        <w:tc>
          <w:tcPr>
            <w:tcW w:w="966" w:type="dxa"/>
            <w:shd w:val="clear" w:color="auto" w:fill="FFFFFF"/>
            <w:noWrap/>
            <w:vAlign w:val="center"/>
          </w:tcPr>
          <w:p w14:paraId="67672C92">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52</w:t>
            </w:r>
          </w:p>
        </w:tc>
        <w:tc>
          <w:tcPr>
            <w:tcW w:w="1298" w:type="dxa"/>
            <w:shd w:val="clear" w:color="auto" w:fill="FFFFFF"/>
            <w:noWrap/>
            <w:vAlign w:val="center"/>
          </w:tcPr>
          <w:p w14:paraId="7C25C37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60</w:t>
            </w:r>
          </w:p>
        </w:tc>
        <w:tc>
          <w:tcPr>
            <w:tcW w:w="1134" w:type="dxa"/>
            <w:shd w:val="clear" w:color="auto" w:fill="FFFFFF"/>
            <w:noWrap/>
            <w:vAlign w:val="center"/>
          </w:tcPr>
          <w:p w14:paraId="4FC891A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75</w:t>
            </w:r>
          </w:p>
        </w:tc>
        <w:tc>
          <w:tcPr>
            <w:tcW w:w="851" w:type="dxa"/>
            <w:shd w:val="clear" w:color="auto" w:fill="FFFFFF"/>
            <w:noWrap/>
            <w:vAlign w:val="center"/>
          </w:tcPr>
          <w:p w14:paraId="5C89BE50">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预期性</w:t>
            </w:r>
          </w:p>
        </w:tc>
        <w:tc>
          <w:tcPr>
            <w:tcW w:w="848" w:type="dxa"/>
            <w:shd w:val="clear" w:color="auto" w:fill="FFFFFF"/>
            <w:noWrap/>
            <w:vAlign w:val="center"/>
          </w:tcPr>
          <w:p w14:paraId="2B56F7CD">
            <w:pPr>
              <w:widowControl w:val="0"/>
              <w:adjustRightInd/>
              <w:snapToGrid/>
              <w:spacing w:line="240" w:lineRule="auto"/>
              <w:ind w:firstLine="0" w:firstLineChars="0"/>
              <w:jc w:val="center"/>
              <w:rPr>
                <w:rFonts w:ascii="仿宋" w:eastAsia="仿宋"/>
                <w:sz w:val="21"/>
                <w:lang w:bidi="zh-CN"/>
              </w:rPr>
            </w:pPr>
            <w:r>
              <w:rPr>
                <w:rFonts w:hint="eastAsia" w:ascii="仿宋" w:eastAsia="仿宋"/>
                <w:kern w:val="0"/>
                <w:sz w:val="21"/>
                <w:lang w:bidi="zh-CN"/>
              </w:rPr>
              <w:t>镇中心</w:t>
            </w:r>
          </w:p>
        </w:tc>
      </w:tr>
    </w:tbl>
    <w:p w14:paraId="54E07F89">
      <w:pPr>
        <w:jc w:val="left"/>
        <w:rPr>
          <w:rFonts w:hint="eastAsia" w:ascii="仿宋_GB2312" w:hAnsi="仿宋_GB2312"/>
          <w:szCs w:val="24"/>
        </w:rPr>
      </w:pPr>
    </w:p>
    <w:p w14:paraId="006D9A3B">
      <w:pPr>
        <w:pStyle w:val="2"/>
        <w:spacing w:after="360"/>
        <w:rPr>
          <w:rFonts w:hint="eastAsia" w:ascii="方正小标宋简体" w:hAnsi="方正小标宋简体" w:cs="方正小标宋简体"/>
        </w:rPr>
      </w:pPr>
      <w:bookmarkStart w:id="45" w:name="_Toc14388"/>
      <w:bookmarkStart w:id="46" w:name="_Toc4192"/>
      <w:bookmarkStart w:id="47" w:name="_Toc32332"/>
      <w:r>
        <w:rPr>
          <w:rFonts w:hint="eastAsia" w:ascii="方正小标宋简体" w:hAnsi="方正小标宋简体" w:cs="方正小标宋简体"/>
        </w:rPr>
        <w:t>第四章 国土空间开发保护格局</w:t>
      </w:r>
      <w:bookmarkEnd w:id="43"/>
      <w:bookmarkEnd w:id="44"/>
      <w:bookmarkEnd w:id="45"/>
      <w:bookmarkEnd w:id="46"/>
      <w:bookmarkEnd w:id="47"/>
    </w:p>
    <w:p w14:paraId="07C283F5">
      <w:pPr>
        <w:pStyle w:val="3"/>
        <w:numPr>
          <w:ilvl w:val="0"/>
          <w:numId w:val="10"/>
        </w:numPr>
        <w:rPr>
          <w:rFonts w:ascii="Times New Roman" w:hAnsi="Times New Roman" w:cs="Times New Roman"/>
          <w:color w:val="auto"/>
        </w:rPr>
      </w:pPr>
      <w:bookmarkStart w:id="48" w:name="_Toc16511"/>
      <w:bookmarkStart w:id="49" w:name="_Toc152937191"/>
      <w:bookmarkStart w:id="50" w:name="_Toc13353"/>
      <w:bookmarkStart w:id="51" w:name="_Toc3511"/>
      <w:bookmarkStart w:id="52" w:name="_Toc133419321"/>
      <w:bookmarkStart w:id="53" w:name="_Toc381621"/>
      <w:r>
        <w:rPr>
          <w:rFonts w:hint="eastAsia" w:ascii="Times New Roman" w:hAnsi="Times New Roman" w:cs="Times New Roman"/>
          <w:color w:val="auto"/>
        </w:rPr>
        <w:t>国土空间总体格局</w:t>
      </w:r>
      <w:bookmarkEnd w:id="48"/>
      <w:bookmarkEnd w:id="49"/>
      <w:bookmarkEnd w:id="50"/>
      <w:bookmarkEnd w:id="51"/>
    </w:p>
    <w:p w14:paraId="4C4CFC29">
      <w:pPr>
        <w:pStyle w:val="4"/>
        <w:numPr>
          <w:ilvl w:val="0"/>
          <w:numId w:val="11"/>
        </w:numPr>
        <w:rPr>
          <w:rFonts w:hint="eastAsia"/>
        </w:rPr>
      </w:pPr>
      <w:r>
        <w:rPr>
          <w:rFonts w:hint="eastAsia"/>
        </w:rPr>
        <w:t>彰显美丽沙尖子国土空间格局</w:t>
      </w:r>
    </w:p>
    <w:p w14:paraId="4072920A">
      <w:r>
        <w:t>以辽宁省</w:t>
      </w:r>
      <w:r>
        <w:rPr>
          <w:rFonts w:hint="eastAsia"/>
        </w:rPr>
        <w:t>“</w:t>
      </w:r>
      <w:r>
        <w:t>一圈一带两区</w:t>
      </w:r>
      <w:r>
        <w:rPr>
          <w:rFonts w:hint="eastAsia"/>
        </w:rPr>
        <w:t>”</w:t>
      </w:r>
      <w:r>
        <w:t>区域发展</w:t>
      </w:r>
      <w:r>
        <w:rPr>
          <w:rFonts w:hint="eastAsia"/>
        </w:rPr>
        <w:t>布局</w:t>
      </w:r>
      <w:r>
        <w:t>为引领，</w:t>
      </w:r>
      <w:r>
        <w:rPr>
          <w:rFonts w:hint="eastAsia"/>
        </w:rPr>
        <w:t>以桓仁县“一核、一心、四副、两轴、三区”</w:t>
      </w:r>
      <w:r>
        <w:t>的国土空间格局</w:t>
      </w:r>
      <w:r>
        <w:rPr>
          <w:rFonts w:hint="eastAsia"/>
        </w:rPr>
        <w:t>为依托</w:t>
      </w:r>
      <w:r>
        <w:t>，构建分区合理、中心明确、结构清晰、网络完善、设施健全、魅力彰显、安全韧性的国土空间开发保护总体格局。</w:t>
      </w:r>
      <w:r>
        <w:rPr>
          <w:rFonts w:hint="eastAsia"/>
        </w:rPr>
        <w:t>规划沙尖子镇总体空间格局为“一核双心、两轴三区”。详见附图全域国土空间总体格局规划图。</w:t>
      </w:r>
    </w:p>
    <w:p w14:paraId="06596367">
      <w:r>
        <w:rPr>
          <w:rFonts w:hint="eastAsia"/>
        </w:rPr>
        <w:t>“一核”：即镇域集中发展核，依托现状镇政府驻地，打造社会、经济、文化发展的核心，集中进行建设和发展，通过优化资源配置和提升基础设施建设水平，带动整个镇域的社会经济协调发展。</w:t>
      </w:r>
    </w:p>
    <w:p w14:paraId="2E470AC2">
      <w:r>
        <w:rPr>
          <w:rFonts w:hint="eastAsia"/>
        </w:rPr>
        <w:t>“双心”：即以闹枝沟村、沙尖子村为沙尖子镇重点发展副中心，辐射带动周边乡村一二三产融合发展。</w:t>
      </w:r>
    </w:p>
    <w:p w14:paraId="767491FC">
      <w:r>
        <w:rPr>
          <w:rFonts w:hint="eastAsia"/>
        </w:rPr>
        <w:t>“两轴”：即沿集本线和主要村路打造的镇域发展主次轴，既是连接镇中心区与外界的纽带，又可以通过副中心带动周边各村屯的发展，达到以线连点，以点带面的镇村空间结构，带动全镇经济均衡发展。</w:t>
      </w:r>
    </w:p>
    <w:p w14:paraId="711164C2">
      <w:r>
        <w:rPr>
          <w:rFonts w:hint="eastAsia"/>
        </w:rPr>
        <w:t>“三区”：分别为南部乡村旅游集中发展区、中部山林经济发展区、北部生态保育区。</w:t>
      </w:r>
    </w:p>
    <w:bookmarkEnd w:id="52"/>
    <w:p w14:paraId="43535C30">
      <w:pPr>
        <w:pStyle w:val="3"/>
        <w:numPr>
          <w:ilvl w:val="0"/>
          <w:numId w:val="10"/>
        </w:numPr>
        <w:rPr>
          <w:rFonts w:ascii="Times New Roman" w:hAnsi="Times New Roman" w:cs="Times New Roman"/>
          <w:color w:val="auto"/>
        </w:rPr>
      </w:pPr>
      <w:bookmarkStart w:id="54" w:name="_Toc152937192"/>
      <w:bookmarkStart w:id="55" w:name="_Toc27765"/>
      <w:bookmarkStart w:id="56" w:name="_Toc25292"/>
      <w:bookmarkStart w:id="57" w:name="_Toc2808"/>
      <w:r>
        <w:rPr>
          <w:rFonts w:hint="eastAsia" w:ascii="Times New Roman" w:hAnsi="Times New Roman" w:cs="Times New Roman"/>
          <w:color w:val="auto"/>
        </w:rPr>
        <w:t>重要</w:t>
      </w:r>
      <w:bookmarkEnd w:id="54"/>
      <w:r>
        <w:rPr>
          <w:rFonts w:hint="eastAsia" w:ascii="Times New Roman" w:hAnsi="Times New Roman" w:cs="Times New Roman"/>
          <w:color w:val="auto"/>
        </w:rPr>
        <w:t>控制线划定</w:t>
      </w:r>
      <w:bookmarkEnd w:id="55"/>
      <w:bookmarkEnd w:id="56"/>
      <w:bookmarkEnd w:id="57"/>
    </w:p>
    <w:p w14:paraId="70048510">
      <w:pPr>
        <w:pStyle w:val="4"/>
        <w:numPr>
          <w:ilvl w:val="0"/>
          <w:numId w:val="12"/>
        </w:numPr>
        <w:rPr>
          <w:rFonts w:hint="eastAsia"/>
        </w:rPr>
      </w:pPr>
      <w:bookmarkStart w:id="58" w:name="_Toc381627"/>
      <w:bookmarkStart w:id="59" w:name="_Toc381628"/>
      <w:r>
        <w:rPr>
          <w:rFonts w:hint="eastAsia"/>
        </w:rPr>
        <w:t>耕地和永久基本农田保护红线</w:t>
      </w:r>
    </w:p>
    <w:p w14:paraId="787198AA">
      <w:r>
        <w:rPr>
          <w:rFonts w:hint="eastAsia"/>
        </w:rPr>
        <w:t>落实最严格的耕地保护制度，现状耕地应划尽划、应保尽保，优先确定耕地保护目标</w:t>
      </w:r>
      <w:r>
        <w:t>，</w:t>
      </w:r>
      <w:r>
        <w:rPr>
          <w:rFonts w:hint="eastAsia"/>
          <w:u w:val="single"/>
        </w:rPr>
        <w:t>划定</w:t>
      </w:r>
      <w:r>
        <w:rPr>
          <w:u w:val="single"/>
        </w:rPr>
        <w:t>耕地保护目标</w:t>
      </w:r>
      <w:bookmarkStart w:id="60" w:name="OLE_LINK30"/>
      <w:r>
        <w:rPr>
          <w:rFonts w:hint="eastAsia"/>
          <w:u w:val="single"/>
        </w:rPr>
        <w:t>1798.31</w:t>
      </w:r>
      <w:bookmarkEnd w:id="60"/>
      <w:r>
        <w:rPr>
          <w:u w:val="single"/>
        </w:rPr>
        <w:t>公顷</w:t>
      </w:r>
      <w:r>
        <w:t>，</w:t>
      </w:r>
      <w:r>
        <w:rPr>
          <w:rFonts w:hint="eastAsia"/>
        </w:rPr>
        <w:t>将可长期稳定利用的耕地优先划入永久基本农田实施特殊保护，将高标准农田优先划为永久基本农田，</w:t>
      </w:r>
      <w:r>
        <w:rPr>
          <w:u w:val="single"/>
        </w:rPr>
        <w:t>划定永久基本农田面积</w:t>
      </w:r>
      <w:bookmarkStart w:id="61" w:name="OLE_LINK31"/>
      <w:r>
        <w:rPr>
          <w:rFonts w:hint="eastAsia"/>
          <w:u w:val="single"/>
        </w:rPr>
        <w:t>1537.08</w:t>
      </w:r>
      <w:bookmarkEnd w:id="61"/>
      <w:r>
        <w:rPr>
          <w:u w:val="single"/>
        </w:rPr>
        <w:t>公顷</w:t>
      </w:r>
      <w:r>
        <w:t>。</w:t>
      </w:r>
      <w:r>
        <w:rPr>
          <w:rFonts w:hint="eastAsia"/>
        </w:rPr>
        <w:t>严格落实法律法规与规范性文件对耕地和永久基本农田保护红线的管控要求。</w:t>
      </w:r>
    </w:p>
    <w:p w14:paraId="38FABAA7">
      <w:pPr>
        <w:pStyle w:val="4"/>
        <w:rPr>
          <w:rFonts w:hint="eastAsia"/>
        </w:rPr>
      </w:pPr>
      <w:r>
        <w:rPr>
          <w:rFonts w:hint="eastAsia"/>
        </w:rPr>
        <w:t>生态保护红线</w:t>
      </w:r>
    </w:p>
    <w:p w14:paraId="05D76D1E">
      <w:r>
        <w:rPr>
          <w:rFonts w:hint="eastAsia"/>
        </w:rPr>
        <w:t>将整合优化后的自然保护地，生态服务功能极重要、生态极脆弱区域，以及目前基本没有人类活动、具有潜在重要生态价值的生态空间划入生态保护红线。</w:t>
      </w:r>
      <w:r>
        <w:rPr>
          <w:rFonts w:hint="eastAsia"/>
          <w:u w:val="single"/>
        </w:rPr>
        <w:t>划定生态保护红线面积</w:t>
      </w:r>
      <w:bookmarkStart w:id="62" w:name="OLE_LINK32"/>
      <w:r>
        <w:rPr>
          <w:rFonts w:hint="eastAsia"/>
          <w:u w:val="single"/>
        </w:rPr>
        <w:t>10477.48</w:t>
      </w:r>
      <w:bookmarkEnd w:id="62"/>
      <w:r>
        <w:rPr>
          <w:rFonts w:hint="eastAsia"/>
          <w:u w:val="single"/>
        </w:rPr>
        <w:t>公顷</w:t>
      </w:r>
      <w:r>
        <w:rPr>
          <w:rFonts w:hint="eastAsia"/>
        </w:rPr>
        <w:t>，主要为浑江水源涵养与生物多样性保护功能红线区。严格落实法律法规与规范性文件对生态保护红线的管控要求。</w:t>
      </w:r>
    </w:p>
    <w:bookmarkEnd w:id="58"/>
    <w:bookmarkEnd w:id="59"/>
    <w:p w14:paraId="3481C036">
      <w:pPr>
        <w:pStyle w:val="4"/>
        <w:rPr>
          <w:rFonts w:hint="eastAsia"/>
        </w:rPr>
      </w:pPr>
      <w:bookmarkStart w:id="63" w:name="_Toc381629"/>
      <w:r>
        <w:rPr>
          <w:rFonts w:hint="eastAsia"/>
        </w:rPr>
        <w:t>城镇开发边界</w:t>
      </w:r>
      <w:bookmarkEnd w:id="63"/>
    </w:p>
    <w:p w14:paraId="70B7A6D0">
      <w:r>
        <w:rPr>
          <w:rFonts w:hint="eastAsia"/>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w:t>
      </w:r>
      <w:r>
        <w:rPr>
          <w:u w:val="single"/>
        </w:rPr>
        <w:t>划定城镇开发边界面积</w:t>
      </w:r>
      <w:bookmarkStart w:id="64" w:name="OLE_LINK33"/>
      <w:r>
        <w:rPr>
          <w:rFonts w:hint="eastAsia"/>
          <w:u w:val="single"/>
        </w:rPr>
        <w:t>29.87</w:t>
      </w:r>
      <w:bookmarkEnd w:id="64"/>
      <w:r>
        <w:rPr>
          <w:u w:val="single"/>
        </w:rPr>
        <w:t>公顷，</w:t>
      </w:r>
      <w:r>
        <w:rPr>
          <w:rFonts w:hint="eastAsia"/>
          <w:u w:val="single"/>
        </w:rPr>
        <w:t>城镇开发边界扩展系数为</w:t>
      </w:r>
      <w:r>
        <w:rPr>
          <w:u w:val="single"/>
        </w:rPr>
        <w:t>1.0</w:t>
      </w:r>
      <w:r>
        <w:rPr>
          <w:rFonts w:hint="eastAsia"/>
        </w:rPr>
        <w:t>。主要集中于镇中心区、工业集聚区等地区，严格落实法律法规与规范性文件对城镇开发边界的管控要求</w:t>
      </w:r>
      <w:r>
        <w:t>。</w:t>
      </w:r>
    </w:p>
    <w:p w14:paraId="5087798A">
      <w:pPr>
        <w:pStyle w:val="4"/>
        <w:rPr>
          <w:rFonts w:hint="eastAsia"/>
        </w:rPr>
      </w:pPr>
      <w:r>
        <w:rPr>
          <w:rFonts w:hint="eastAsia"/>
        </w:rPr>
        <w:t>其它空间控制线</w:t>
      </w:r>
    </w:p>
    <w:p w14:paraId="784E8643">
      <w:pPr>
        <w:rPr>
          <w:rFonts w:cs="仿宋_GB2312"/>
          <w:szCs w:val="32"/>
          <w:lang w:bidi="ar"/>
        </w:rPr>
      </w:pPr>
      <w:r>
        <w:rPr>
          <w:rFonts w:hint="eastAsia" w:cs="仿宋_GB2312"/>
          <w:szCs w:val="32"/>
          <w:lang w:bidi="ar"/>
        </w:rPr>
        <w:t>灾害风险控制线。落实上位确定的洪涝风险控制线和自然灾害风险分区。农业生产和城镇、村庄建设应避让洪涝灾害风险控制线和地质、气象等灾害高易发区，加强对风险极高区域的防灾减灾救灾设施建设，有效降低灾害影响，提高城镇、村庄灾害风险防护能力和安全韧性水平。洪涝风险控制线内严格限制影响防洪排涝系统完整性和通达性的行为，禁止修建阻碍行洪的各类建筑物。结合灾害防治工程建设进度实时调整风险管控范围，引导各项建设避开灾害风险区。</w:t>
      </w:r>
    </w:p>
    <w:p w14:paraId="77819E17">
      <w:pPr>
        <w:rPr>
          <w:rFonts w:cs="仿宋_GB2312"/>
          <w:szCs w:val="32"/>
          <w:lang w:bidi="ar"/>
        </w:rPr>
      </w:pPr>
      <w:r>
        <w:rPr>
          <w:rFonts w:hint="eastAsia" w:cs="仿宋_GB2312"/>
          <w:szCs w:val="32"/>
          <w:lang w:bidi="ar"/>
        </w:rPr>
        <w:t>历史文化保护线。与上位规划确定的历史文化保护线相衔接，明确全域各类历史文化遗产的保护范围和必要的建设控制地带，科学合理划定历史文化保护线。规划期内按照《中华人民共和国文物保护法》《中华人民共和国文物保护法实施条例》对历史文化保护线进行严格保护，控制线范围内不得进行与之不相关的其他建设。严格控制保护线周边建设控制地带内的开发强度，新建、扩建、改建各类建（构）筑物和其他设施时，应与保护区的传统风貌或地方特色相协调。</w:t>
      </w:r>
    </w:p>
    <w:p w14:paraId="429ACBF8">
      <w:pPr>
        <w:pStyle w:val="4"/>
        <w:rPr>
          <w:rFonts w:hint="eastAsia"/>
        </w:rPr>
      </w:pPr>
      <w:r>
        <w:rPr>
          <w:rFonts w:hint="eastAsia"/>
        </w:rPr>
        <w:t>村庄建设边界</w:t>
      </w:r>
    </w:p>
    <w:p w14:paraId="478FCD6C">
      <w:pPr>
        <w:rPr>
          <w:lang w:bidi="ar"/>
        </w:rPr>
      </w:pPr>
      <w:r>
        <w:rPr>
          <w:rFonts w:hint="eastAsia"/>
          <w:lang w:bidi="ar"/>
        </w:rPr>
        <w:t>以村庄建设边界初划成果为基础，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72C88A63">
      <w:pPr>
        <w:rPr>
          <w:lang w:bidi="ar"/>
        </w:rPr>
      </w:pPr>
      <w:r>
        <w:rPr>
          <w:rFonts w:hint="eastAsia"/>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1271F639">
      <w:pPr>
        <w:rPr>
          <w:rFonts w:hint="eastAsia"/>
          <w:u w:val="single"/>
        </w:rPr>
      </w:pPr>
      <w:r>
        <w:rPr>
          <w:rFonts w:hint="eastAsia"/>
        </w:rPr>
        <w:t>以村庄建设边界初划成果为基础，在符合“三区三线”管控要求，确保村庄建设边界规模不超过</w:t>
      </w:r>
      <w:r>
        <w:t>2020年度国土变更调查村庄用地（203）规模的前提下，结合县级国土空间规划优化村庄建设边界，</w:t>
      </w:r>
      <w:r>
        <w:rPr>
          <w:rFonts w:hint="eastAsia"/>
          <w:u w:val="single"/>
        </w:rPr>
        <w:t>划定村庄建设边界面积为288.51公顷，其中规划新增区4.16公顷。</w:t>
      </w:r>
    </w:p>
    <w:p w14:paraId="2BB88D8A">
      <w:pPr>
        <w:rPr>
          <w:rFonts w:hint="eastAsia"/>
          <w:u w:val="single"/>
        </w:rPr>
      </w:pP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6"/>
        <w:gridCol w:w="1872"/>
        <w:gridCol w:w="2526"/>
        <w:gridCol w:w="2209"/>
      </w:tblGrid>
      <w:tr w14:paraId="710F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47" w:type="pct"/>
            <w:vAlign w:val="center"/>
          </w:tcPr>
          <w:p w14:paraId="77D928E3">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行政村名</w:t>
            </w:r>
          </w:p>
        </w:tc>
        <w:tc>
          <w:tcPr>
            <w:tcW w:w="1063" w:type="pct"/>
            <w:vAlign w:val="center"/>
          </w:tcPr>
          <w:p w14:paraId="37CF7A47">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耕地保有量</w:t>
            </w:r>
          </w:p>
        </w:tc>
        <w:tc>
          <w:tcPr>
            <w:tcW w:w="1434" w:type="pct"/>
            <w:vAlign w:val="center"/>
          </w:tcPr>
          <w:p w14:paraId="3D4F8A14">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永久基本农田保护面积</w:t>
            </w:r>
          </w:p>
        </w:tc>
        <w:tc>
          <w:tcPr>
            <w:tcW w:w="1254" w:type="pct"/>
            <w:vAlign w:val="center"/>
          </w:tcPr>
          <w:p w14:paraId="6C62C56D">
            <w:pPr>
              <w:widowControl w:val="0"/>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生态保护红线面积</w:t>
            </w:r>
          </w:p>
        </w:tc>
      </w:tr>
      <w:tr w14:paraId="717F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2BD37A7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下甸子村</w:t>
            </w:r>
          </w:p>
        </w:tc>
        <w:tc>
          <w:tcPr>
            <w:tcW w:w="1063" w:type="pct"/>
            <w:vAlign w:val="center"/>
          </w:tcPr>
          <w:p w14:paraId="33E625B3">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294.44</w:t>
            </w:r>
          </w:p>
        </w:tc>
        <w:tc>
          <w:tcPr>
            <w:tcW w:w="1434" w:type="pct"/>
          </w:tcPr>
          <w:p w14:paraId="4B890927">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197.33</w:t>
            </w:r>
          </w:p>
        </w:tc>
        <w:tc>
          <w:tcPr>
            <w:tcW w:w="1254" w:type="pct"/>
          </w:tcPr>
          <w:p w14:paraId="57A3D07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824.46</w:t>
            </w:r>
          </w:p>
        </w:tc>
      </w:tr>
      <w:tr w14:paraId="5D5F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448AA3A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闹枝沟村</w:t>
            </w:r>
          </w:p>
        </w:tc>
        <w:tc>
          <w:tcPr>
            <w:tcW w:w="1063" w:type="pct"/>
            <w:vAlign w:val="center"/>
          </w:tcPr>
          <w:p w14:paraId="5B59D2C2">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357.27</w:t>
            </w:r>
          </w:p>
        </w:tc>
        <w:tc>
          <w:tcPr>
            <w:tcW w:w="1434" w:type="pct"/>
          </w:tcPr>
          <w:p w14:paraId="1BBECD0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342.64</w:t>
            </w:r>
          </w:p>
        </w:tc>
        <w:tc>
          <w:tcPr>
            <w:tcW w:w="1254" w:type="pct"/>
          </w:tcPr>
          <w:p w14:paraId="7F8B29E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1135.46</w:t>
            </w:r>
          </w:p>
        </w:tc>
      </w:tr>
      <w:tr w14:paraId="62A5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481B677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沙尖子村</w:t>
            </w:r>
          </w:p>
        </w:tc>
        <w:tc>
          <w:tcPr>
            <w:tcW w:w="1063" w:type="pct"/>
            <w:vAlign w:val="center"/>
          </w:tcPr>
          <w:p w14:paraId="420ACC23">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140.77</w:t>
            </w:r>
          </w:p>
        </w:tc>
        <w:tc>
          <w:tcPr>
            <w:tcW w:w="1434" w:type="pct"/>
          </w:tcPr>
          <w:p w14:paraId="7974A901">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91.87</w:t>
            </w:r>
          </w:p>
        </w:tc>
        <w:tc>
          <w:tcPr>
            <w:tcW w:w="1254" w:type="pct"/>
          </w:tcPr>
          <w:p w14:paraId="7ACEDCE7">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682.09</w:t>
            </w:r>
          </w:p>
        </w:tc>
      </w:tr>
      <w:tr w14:paraId="61E8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center"/>
          </w:tcPr>
          <w:p w14:paraId="1564D33F">
            <w:pPr>
              <w:pStyle w:val="18"/>
              <w:jc w:val="center"/>
              <w:rPr>
                <w:rFonts w:hint="eastAsia" w:ascii="仿宋" w:eastAsia="仿宋"/>
                <w:sz w:val="21"/>
                <w:szCs w:val="21"/>
              </w:rPr>
            </w:pPr>
            <w:r>
              <w:rPr>
                <w:rFonts w:hint="eastAsia" w:ascii="仿宋" w:hAnsi="Times New Roman" w:eastAsia="仿宋" w:cs="Times New Roman"/>
                <w:kern w:val="2"/>
                <w:sz w:val="21"/>
                <w:szCs w:val="21"/>
              </w:rPr>
              <w:t>影壁山村</w:t>
            </w:r>
          </w:p>
        </w:tc>
        <w:tc>
          <w:tcPr>
            <w:tcW w:w="1063" w:type="pct"/>
            <w:vAlign w:val="center"/>
          </w:tcPr>
          <w:p w14:paraId="3EE0DF9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162.97</w:t>
            </w:r>
          </w:p>
        </w:tc>
        <w:tc>
          <w:tcPr>
            <w:tcW w:w="1434" w:type="pct"/>
          </w:tcPr>
          <w:p w14:paraId="1E4C760A">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137.23</w:t>
            </w:r>
          </w:p>
        </w:tc>
        <w:tc>
          <w:tcPr>
            <w:tcW w:w="1254" w:type="pct"/>
          </w:tcPr>
          <w:p w14:paraId="63C59C17">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2979.09</w:t>
            </w:r>
          </w:p>
        </w:tc>
      </w:tr>
      <w:tr w14:paraId="218B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bottom"/>
          </w:tcPr>
          <w:p w14:paraId="54C301BE">
            <w:pPr>
              <w:pStyle w:val="18"/>
              <w:jc w:val="center"/>
              <w:rPr>
                <w:rFonts w:hint="eastAsia" w:ascii="仿宋" w:eastAsia="仿宋"/>
                <w:sz w:val="21"/>
                <w:szCs w:val="21"/>
              </w:rPr>
            </w:pPr>
            <w:r>
              <w:rPr>
                <w:rFonts w:hint="eastAsia" w:ascii="仿宋" w:hAnsi="Times New Roman" w:eastAsia="仿宋" w:cs="Times New Roman"/>
                <w:kern w:val="2"/>
                <w:sz w:val="21"/>
                <w:szCs w:val="21"/>
              </w:rPr>
              <w:t>晓阳村</w:t>
            </w:r>
          </w:p>
        </w:tc>
        <w:tc>
          <w:tcPr>
            <w:tcW w:w="1063" w:type="pct"/>
            <w:vAlign w:val="center"/>
          </w:tcPr>
          <w:p w14:paraId="1E9D358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318.78</w:t>
            </w:r>
          </w:p>
        </w:tc>
        <w:tc>
          <w:tcPr>
            <w:tcW w:w="1434" w:type="pct"/>
          </w:tcPr>
          <w:p w14:paraId="480E62A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286.99</w:t>
            </w:r>
          </w:p>
        </w:tc>
        <w:tc>
          <w:tcPr>
            <w:tcW w:w="1254" w:type="pct"/>
          </w:tcPr>
          <w:p w14:paraId="54667D2F">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2232.60</w:t>
            </w:r>
          </w:p>
        </w:tc>
      </w:tr>
      <w:tr w14:paraId="3DE0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bottom"/>
          </w:tcPr>
          <w:p w14:paraId="55BD8CA1">
            <w:pPr>
              <w:pStyle w:val="18"/>
              <w:jc w:val="center"/>
              <w:rPr>
                <w:rFonts w:hint="eastAsia" w:ascii="仿宋" w:eastAsia="仿宋"/>
                <w:sz w:val="21"/>
                <w:szCs w:val="21"/>
              </w:rPr>
            </w:pPr>
            <w:r>
              <w:rPr>
                <w:rFonts w:hint="eastAsia" w:ascii="仿宋" w:hAnsi="Times New Roman" w:eastAsia="仿宋" w:cs="Times New Roman"/>
                <w:kern w:val="2"/>
                <w:sz w:val="21"/>
                <w:szCs w:val="21"/>
              </w:rPr>
              <w:t>干沟子村</w:t>
            </w:r>
          </w:p>
        </w:tc>
        <w:tc>
          <w:tcPr>
            <w:tcW w:w="1063" w:type="pct"/>
            <w:vAlign w:val="center"/>
          </w:tcPr>
          <w:p w14:paraId="20F4F69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237.60</w:t>
            </w:r>
          </w:p>
        </w:tc>
        <w:tc>
          <w:tcPr>
            <w:tcW w:w="1434" w:type="pct"/>
          </w:tcPr>
          <w:p w14:paraId="5DFC735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218.60</w:t>
            </w:r>
          </w:p>
        </w:tc>
        <w:tc>
          <w:tcPr>
            <w:tcW w:w="1254" w:type="pct"/>
          </w:tcPr>
          <w:p w14:paraId="7A7F92E7">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755.52</w:t>
            </w:r>
          </w:p>
        </w:tc>
      </w:tr>
      <w:tr w14:paraId="2A89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bottom"/>
          </w:tcPr>
          <w:p w14:paraId="6EB10ED4">
            <w:pPr>
              <w:pStyle w:val="18"/>
              <w:jc w:val="center"/>
              <w:rPr>
                <w:rFonts w:hint="eastAsia" w:ascii="仿宋" w:eastAsia="仿宋"/>
                <w:sz w:val="21"/>
                <w:szCs w:val="21"/>
              </w:rPr>
            </w:pPr>
            <w:r>
              <w:rPr>
                <w:rFonts w:hint="eastAsia" w:ascii="仿宋" w:hAnsi="Times New Roman" w:eastAsia="仿宋" w:cs="Times New Roman"/>
                <w:kern w:val="2"/>
                <w:sz w:val="21"/>
                <w:szCs w:val="21"/>
              </w:rPr>
              <w:t>秋皮沟村</w:t>
            </w:r>
          </w:p>
        </w:tc>
        <w:tc>
          <w:tcPr>
            <w:tcW w:w="1063" w:type="pct"/>
            <w:vAlign w:val="center"/>
          </w:tcPr>
          <w:p w14:paraId="4E1ADC7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119.41</w:t>
            </w:r>
          </w:p>
        </w:tc>
        <w:tc>
          <w:tcPr>
            <w:tcW w:w="1434" w:type="pct"/>
          </w:tcPr>
          <w:p w14:paraId="6974D819">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105.94</w:t>
            </w:r>
          </w:p>
        </w:tc>
        <w:tc>
          <w:tcPr>
            <w:tcW w:w="1254" w:type="pct"/>
          </w:tcPr>
          <w:p w14:paraId="76432B47">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931.10</w:t>
            </w:r>
          </w:p>
        </w:tc>
      </w:tr>
      <w:tr w14:paraId="780B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196" w:type="dxa"/>
            <w:vAlign w:val="bottom"/>
          </w:tcPr>
          <w:p w14:paraId="7E23F96C">
            <w:pPr>
              <w:pStyle w:val="18"/>
              <w:jc w:val="center"/>
              <w:rPr>
                <w:rFonts w:hint="eastAsia" w:ascii="仿宋" w:eastAsia="仿宋"/>
                <w:sz w:val="21"/>
                <w:szCs w:val="21"/>
              </w:rPr>
            </w:pPr>
            <w:r>
              <w:rPr>
                <w:rFonts w:hint="eastAsia" w:ascii="仿宋" w:hAnsi="Times New Roman" w:eastAsia="仿宋" w:cs="Times New Roman"/>
                <w:kern w:val="2"/>
                <w:sz w:val="21"/>
                <w:szCs w:val="21"/>
              </w:rPr>
              <w:t>北沟村</w:t>
            </w:r>
          </w:p>
        </w:tc>
        <w:tc>
          <w:tcPr>
            <w:tcW w:w="1063" w:type="pct"/>
            <w:vAlign w:val="center"/>
          </w:tcPr>
          <w:p w14:paraId="20CC880C">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167.07</w:t>
            </w:r>
          </w:p>
        </w:tc>
        <w:tc>
          <w:tcPr>
            <w:tcW w:w="1434" w:type="pct"/>
          </w:tcPr>
          <w:p w14:paraId="5EED32CC">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156.48</w:t>
            </w:r>
          </w:p>
        </w:tc>
        <w:tc>
          <w:tcPr>
            <w:tcW w:w="1254" w:type="pct"/>
          </w:tcPr>
          <w:p w14:paraId="286FBAAC">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937.16</w:t>
            </w:r>
          </w:p>
        </w:tc>
      </w:tr>
    </w:tbl>
    <w:p w14:paraId="67792394">
      <w:pPr>
        <w:rPr>
          <w:rFonts w:hint="eastAsia"/>
          <w:u w:val="single"/>
        </w:rPr>
      </w:pPr>
    </w:p>
    <w:bookmarkEnd w:id="53"/>
    <w:p w14:paraId="38FF9EBB">
      <w:pPr>
        <w:pStyle w:val="3"/>
        <w:numPr>
          <w:ilvl w:val="0"/>
          <w:numId w:val="10"/>
        </w:numPr>
        <w:ind w:left="0" w:firstLine="0"/>
        <w:rPr>
          <w:rFonts w:ascii="Times New Roman" w:hAnsi="Times New Roman" w:cs="Times New Roman"/>
          <w:color w:val="auto"/>
        </w:rPr>
      </w:pPr>
      <w:bookmarkStart w:id="65" w:name="_Toc152937193"/>
      <w:bookmarkStart w:id="66" w:name="_Toc14033"/>
      <w:bookmarkStart w:id="67" w:name="_Toc12951"/>
      <w:bookmarkStart w:id="68" w:name="_Toc25545"/>
      <w:r>
        <w:rPr>
          <w:rFonts w:hint="eastAsia" w:ascii="Times New Roman" w:hAnsi="Times New Roman" w:cs="Times New Roman"/>
          <w:color w:val="auto"/>
        </w:rPr>
        <w:t>规划分区</w:t>
      </w:r>
      <w:bookmarkEnd w:id="65"/>
      <w:bookmarkEnd w:id="66"/>
      <w:bookmarkEnd w:id="67"/>
      <w:bookmarkEnd w:id="68"/>
    </w:p>
    <w:p w14:paraId="41794459">
      <w:bookmarkStart w:id="69" w:name="_Hlk130996293"/>
      <w:r>
        <w:rPr>
          <w:rFonts w:hint="eastAsia"/>
        </w:rPr>
        <w:t>依据国土空间开发保护总体格局，按照主体功能定位划分规划分区，规划分区共</w:t>
      </w:r>
      <w:r>
        <w:t>6</w:t>
      </w:r>
      <w:r>
        <w:rPr>
          <w:rFonts w:hint="eastAsia"/>
        </w:rPr>
        <w:t>类，分别为生态保护区、生态控制区、农田保护区、乡村发展区、城镇发展区、矿产能源发展区。分区调整应按照国家转换原则和准入要求规定执行。</w:t>
      </w:r>
      <w:bookmarkEnd w:id="69"/>
    </w:p>
    <w:p w14:paraId="643FF10F">
      <w:pPr>
        <w:pStyle w:val="4"/>
        <w:numPr>
          <w:ilvl w:val="0"/>
          <w:numId w:val="13"/>
        </w:numPr>
        <w:rPr>
          <w:rFonts w:hint="eastAsia"/>
        </w:rPr>
      </w:pPr>
      <w:r>
        <w:rPr>
          <w:rFonts w:hint="eastAsia"/>
        </w:rPr>
        <w:t>生态保护区</w:t>
      </w:r>
    </w:p>
    <w:p w14:paraId="040FA76B">
      <w:r>
        <w:rPr>
          <w:rFonts w:hint="eastAsia"/>
        </w:rPr>
        <w:t>生态保护区指具有特殊重要生态功能或生态敏感脆弱、必须强制性严格保护的陆地自然区域，沙尖子镇生态保护区总面积</w:t>
      </w:r>
      <w:r>
        <w:t>10478.55</w:t>
      </w:r>
      <w:r>
        <w:rPr>
          <w:rFonts w:hint="eastAsia"/>
        </w:rPr>
        <w:t>公顷，占全镇国土空间总面积的36.10</w:t>
      </w:r>
      <w:r>
        <w:t>%</w:t>
      </w:r>
      <w:r>
        <w:rPr>
          <w:rFonts w:hint="eastAsia"/>
        </w:rPr>
        <w:t>。区内以提供生态系统服务和生态产品供给为主导用途，重点保护生态系统服务功能极重要区、生态极脆弱区、饮用水水源一级保护区及其他具有重要生态功能、潜在重要生态价值、有必要实施严格保护的区域。积极开展山水林田湖草生态修复，提高区域涵养水源、保持水土和生物多样性维护能力，维持区域生态平衡，增强生态系统碳汇能力。区内各类开发利用活动必须符合生态保护红线及自然保护地的有关管控要求。</w:t>
      </w:r>
    </w:p>
    <w:p w14:paraId="6796549D">
      <w:pPr>
        <w:pStyle w:val="4"/>
        <w:rPr>
          <w:rFonts w:hint="eastAsia"/>
        </w:rPr>
      </w:pPr>
      <w:r>
        <w:rPr>
          <w:rFonts w:hint="eastAsia"/>
        </w:rPr>
        <w:t>生态控制区</w:t>
      </w:r>
    </w:p>
    <w:p w14:paraId="0D38F357">
      <w:r>
        <w:rPr>
          <w:rFonts w:hint="eastAsia"/>
        </w:rPr>
        <w:t>生态控制区指生态保护红线外，需要予以保留原貌、强化生态保育和生态建设、限制开发建设的自然区域。沙尖子镇生态控制区总面积</w:t>
      </w:r>
      <w:r>
        <w:t>15528.62</w:t>
      </w:r>
      <w:r>
        <w:rPr>
          <w:rFonts w:hint="eastAsia"/>
        </w:rPr>
        <w:t>公顷，占全镇国土空间总面积的</w:t>
      </w:r>
      <w:r>
        <w:t>53.50</w:t>
      </w:r>
      <w:r>
        <w:rPr>
          <w:rFonts w:hint="eastAsia"/>
        </w:rPr>
        <w:t>%。区内以生态保护与修复为主导用途，原则上限制各类新增加的开发建设行为以及种植、养殖活动，不得擅自改变地形地貌及其他原有状态；鼓励开展有利于增强生态系统碳汇能力的生态保护与修复活动；在不降低生态功能、不破坏生态系统且符合空间准入、强度控制和风貌管控要求，经评估对生态功能不产生破坏的前提下，可进行适度的开发利用和结构布局调整。</w:t>
      </w:r>
    </w:p>
    <w:p w14:paraId="5CDBFE16">
      <w:pPr>
        <w:pStyle w:val="4"/>
        <w:rPr>
          <w:rFonts w:hint="eastAsia"/>
        </w:rPr>
      </w:pPr>
      <w:r>
        <w:rPr>
          <w:rFonts w:hint="eastAsia"/>
        </w:rPr>
        <w:t>农田保护区</w:t>
      </w:r>
    </w:p>
    <w:p w14:paraId="7EAF75A5">
      <w:r>
        <w:rPr>
          <w:rFonts w:hint="eastAsia"/>
        </w:rPr>
        <w:t>农田保护区指永久基本农田相对集中需严格保护的区域，沙尖子镇农田保护区总面积</w:t>
      </w:r>
      <w:r>
        <w:t>1537.40</w:t>
      </w:r>
      <w:r>
        <w:rPr>
          <w:rFonts w:hint="eastAsia"/>
        </w:rPr>
        <w:t>公顷，占全镇国土空间总面积的</w:t>
      </w:r>
      <w:r>
        <w:t>5.30</w:t>
      </w:r>
      <w:r>
        <w:rPr>
          <w:rFonts w:hint="eastAsia"/>
        </w:rPr>
        <w:t>%。区内以粮食生产为主导用途，是实行永久基本农田特殊保护和国土综合整治的重点区域。区内以大力发展粮食种植业为主，稳定粮食播种面积，提高粮食单产；鼓励开展高标准农田建设，完善灌溉与排水、田间道路、农田防护与生态环境保持等农业基础设施，强化土壤培肥，全面提升耕地质量；非农建设用地和其他零星农用地应当优先整理、复垦或调整为永久基本农田。区内禁止新增城镇、村庄等非农建设；符合条件的交通、能源、水利等重大建设项目因选址特殊确实无法避让永久基本农田的，必须按照“先补后占”的原则补划数量质量相当的永久基本农田，经严格论证后报国务院批准。</w:t>
      </w:r>
    </w:p>
    <w:p w14:paraId="2C412B1C">
      <w:pPr>
        <w:pStyle w:val="4"/>
        <w:rPr>
          <w:rFonts w:hint="eastAsia"/>
        </w:rPr>
      </w:pPr>
      <w:r>
        <w:rPr>
          <w:rFonts w:hint="eastAsia"/>
        </w:rPr>
        <w:t>乡村发展区</w:t>
      </w:r>
    </w:p>
    <w:p w14:paraId="5B1FA7DD">
      <w:r>
        <w:rPr>
          <w:rFonts w:hint="eastAsia"/>
        </w:rPr>
        <w:t>乡村发展区指农田保护区外，为满足农林牧渔等农业发展以及农民集中生活和生产配套为主的区域，沙尖子镇乡村发展区主要分布于城镇发展区农田保护区周边，包括村庄建设区、一般农业区和林业发展区，总面积</w:t>
      </w:r>
      <w:r>
        <w:t>1263.67</w:t>
      </w:r>
      <w:r>
        <w:rPr>
          <w:rFonts w:hint="eastAsia"/>
        </w:rPr>
        <w:t>公顷，占全镇国土空间总面积的</w:t>
      </w:r>
      <w:r>
        <w:t>4.35%</w:t>
      </w:r>
      <w:r>
        <w:rPr>
          <w:rFonts w:hint="eastAsia"/>
        </w:rPr>
        <w:t>。村庄建设区允许为改善农村人居环境而进行的村庄建设与整治。一般农业区允许农业和乡村特色产业发展及其配套设施建设；严格控制一般耕地转变其他用途；允许建设区域性基础设施廊道；设施农用地可以使用一般耕地。其中村庄建设区总面积</w:t>
      </w:r>
      <w:r>
        <w:t>288.51</w:t>
      </w:r>
      <w:r>
        <w:rPr>
          <w:rFonts w:hint="eastAsia"/>
        </w:rPr>
        <w:t>公顷，一般农业区总面积</w:t>
      </w:r>
      <w:r>
        <w:t>975.16</w:t>
      </w:r>
      <w:r>
        <w:rPr>
          <w:rFonts w:hint="eastAsia"/>
        </w:rPr>
        <w:t>公顷。</w:t>
      </w:r>
    </w:p>
    <w:p w14:paraId="6877A931">
      <w:pPr>
        <w:pStyle w:val="4"/>
        <w:rPr>
          <w:rFonts w:hint="eastAsia"/>
        </w:rPr>
      </w:pPr>
      <w:r>
        <w:rPr>
          <w:rFonts w:hint="eastAsia"/>
        </w:rPr>
        <w:t>城镇发展区</w:t>
      </w:r>
    </w:p>
    <w:p w14:paraId="51A2A9D2">
      <w:pPr>
        <w:jc w:val="left"/>
      </w:pPr>
      <w:r>
        <w:rPr>
          <w:rFonts w:hint="eastAsia"/>
        </w:rPr>
        <w:t>城镇发展区指沙尖子镇中心区城镇开发边界，是城镇集中开发建设并可满足城镇生产生活需要的区域，沙尖子镇城镇发展区总面积36.00公顷，占全镇国土空间总面积</w:t>
      </w:r>
      <w:r>
        <w:t>0.12%</w:t>
      </w:r>
      <w:r>
        <w:rPr>
          <w:rFonts w:hint="eastAsia"/>
        </w:rPr>
        <w:t>。区内以城镇发展为主导用途，是全镇非农产业和人口集聚的重点区域，是开展城镇开发建设的核心区域。引导城镇和工业用地集中布局，通过调整城镇内部功能布局，完善城镇基础设施，改善城镇人居环境，促进城镇建设用地集约利用。按照城镇开发边界管理要求，通过“详细规划+规划许</w:t>
      </w:r>
      <w:r>
        <w:rPr>
          <w:rFonts w:hint="eastAsia" w:ascii="仿宋_GB2312" w:hAnsi="仿宋_GB2312"/>
          <w:szCs w:val="24"/>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p w14:paraId="6859C224">
      <w:pPr>
        <w:pStyle w:val="4"/>
        <w:rPr>
          <w:rFonts w:hint="eastAsia"/>
        </w:rPr>
      </w:pPr>
      <w:r>
        <w:rPr>
          <w:rFonts w:hint="eastAsia"/>
        </w:rPr>
        <w:t>矿产能源发展区</w:t>
      </w:r>
    </w:p>
    <w:p w14:paraId="5679CBA6">
      <w:r>
        <w:rPr>
          <w:rFonts w:hint="eastAsia"/>
        </w:rPr>
        <w:t>矿产能源发展区指重要的采矿区、战略性矿产储量区，沙尖子镇矿产能源发展区总面积</w:t>
      </w:r>
      <w:r>
        <w:t>180.2</w:t>
      </w:r>
      <w:r>
        <w:rPr>
          <w:rFonts w:hint="eastAsia"/>
        </w:rPr>
        <w:t>4公顷，占全镇国土空间总面积的</w:t>
      </w:r>
      <w:r>
        <w:t>0.62%</w:t>
      </w:r>
      <w:r>
        <w:rPr>
          <w:rFonts w:hint="eastAsia"/>
        </w:rPr>
        <w:t>。区内以矿产资源开发为主导用途，是矿产资源的勘查、开采的重点区域，综合考虑战略性矿产资源产能产量、成矿条件和储量、资源开采条件、生态环境、区位条件和下游产业布局等，明确国家规划矿区，合理设定矿业权区域；引导矿产资源开采企业使用先进适用工艺技术，不断提高矿山开采回采率、选矿回收率、综合利用率，减少资源消耗，降低废弃物排放，大力建设绿色矿山。区内原则上禁止城镇和村庄集中建设，在符合国土空间规划和其他相关规划的前提下，允许开展土地复垦和其他综合整治，鼓励开展矿山生态修复。</w:t>
      </w:r>
    </w:p>
    <w:p w14:paraId="198680B7">
      <w:pPr>
        <w:pStyle w:val="3"/>
        <w:numPr>
          <w:ilvl w:val="0"/>
          <w:numId w:val="10"/>
        </w:numPr>
        <w:ind w:left="0" w:firstLine="0"/>
        <w:rPr>
          <w:rFonts w:ascii="Times New Roman" w:hAnsi="Times New Roman" w:cs="Times New Roman"/>
          <w:color w:val="auto"/>
        </w:rPr>
      </w:pPr>
      <w:bookmarkStart w:id="70" w:name="_Toc18893"/>
      <w:bookmarkStart w:id="71" w:name="_Toc152937194"/>
      <w:bookmarkStart w:id="72" w:name="_Toc15156"/>
      <w:bookmarkStart w:id="73" w:name="_Toc29451"/>
      <w:r>
        <w:rPr>
          <w:rFonts w:hint="eastAsia" w:ascii="Times New Roman" w:hAnsi="Times New Roman" w:cs="Times New Roman"/>
          <w:color w:val="auto"/>
        </w:rPr>
        <w:t>国土空间功能结构优化</w:t>
      </w:r>
      <w:bookmarkEnd w:id="70"/>
      <w:bookmarkEnd w:id="71"/>
      <w:bookmarkEnd w:id="72"/>
      <w:bookmarkEnd w:id="73"/>
    </w:p>
    <w:p w14:paraId="5804A50D">
      <w:r>
        <w:rPr>
          <w:rFonts w:hint="eastAsia"/>
          <w:lang w:bidi="ar"/>
        </w:rPr>
        <w:t>严格落实县级国土空间总体规划的约束性指标要求，加强全域土地用途管制，统筹国土空间用途结构优化。</w:t>
      </w:r>
    </w:p>
    <w:p w14:paraId="453CC2E2">
      <w:pPr>
        <w:pStyle w:val="4"/>
        <w:numPr>
          <w:ilvl w:val="0"/>
          <w:numId w:val="14"/>
        </w:numPr>
        <w:rPr>
          <w:rFonts w:hint="eastAsia"/>
        </w:rPr>
      </w:pPr>
      <w:bookmarkStart w:id="74" w:name="_Toc152937195"/>
      <w:r>
        <w:rPr>
          <w:rFonts w:hint="eastAsia"/>
        </w:rPr>
        <w:t>耕地和永久基本农田布局优化</w:t>
      </w:r>
    </w:p>
    <w:p w14:paraId="470D25CD">
      <w:r>
        <w:rPr>
          <w:rFonts w:hint="eastAsia"/>
          <w:lang w:bidi="ar"/>
        </w:rPr>
        <w:t>保障优化农业空间，落实最严格的耕地保护制度，多渠道补充耕地，切实完成耕地保护任务，通过实施土地整治等工程促使耕地尤其是永久基本农田集中连片布局。</w:t>
      </w:r>
    </w:p>
    <w:p w14:paraId="5E70112C">
      <w:pPr>
        <w:pStyle w:val="4"/>
        <w:rPr>
          <w:rFonts w:hint="eastAsia"/>
        </w:rPr>
      </w:pPr>
      <w:r>
        <w:rPr>
          <w:rFonts w:hint="eastAsia"/>
        </w:rPr>
        <w:t>园地布局优化</w:t>
      </w:r>
    </w:p>
    <w:p w14:paraId="0C4FADD0">
      <w:r>
        <w:rPr>
          <w:rFonts w:hint="eastAsia"/>
          <w:lang w:bidi="ar"/>
        </w:rPr>
        <w:t>规划期间在严格保护稳定耕地的基础上，合理调整园地面积，综合运用农业措施，改善生产条件，提高园地利用效益，推动农产品加工等产业发展。</w:t>
      </w:r>
    </w:p>
    <w:p w14:paraId="67CBBC75">
      <w:pPr>
        <w:pStyle w:val="4"/>
        <w:rPr>
          <w:rFonts w:hint="eastAsia"/>
        </w:rPr>
      </w:pPr>
      <w:r>
        <w:rPr>
          <w:rFonts w:hint="eastAsia"/>
        </w:rPr>
        <w:t>林草和水域用地布局优化</w:t>
      </w:r>
    </w:p>
    <w:p w14:paraId="0E09C1AE">
      <w:r>
        <w:rPr>
          <w:rFonts w:hint="eastAsia"/>
          <w:lang w:bidi="ar"/>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2757D647">
      <w:pPr>
        <w:pStyle w:val="4"/>
        <w:rPr>
          <w:rFonts w:hint="eastAsia"/>
        </w:rPr>
      </w:pPr>
      <w:r>
        <w:rPr>
          <w:rFonts w:hint="eastAsia"/>
        </w:rPr>
        <w:t>加强建设用地集约利用</w:t>
      </w:r>
    </w:p>
    <w:p w14:paraId="6FC41FC2">
      <w:r>
        <w:rPr>
          <w:rFonts w:hint="eastAsia"/>
          <w:lang w:bidi="ar"/>
        </w:rPr>
        <w:t>统筹配置镇中心区城镇建设用地及村庄建设用地，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520337A2">
      <w:pPr>
        <w:rPr>
          <w:lang w:bidi="ar"/>
        </w:rPr>
      </w:pPr>
      <w:r>
        <w:rPr>
          <w:rFonts w:hint="eastAsia"/>
          <w:lang w:bidi="ar"/>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w:t>
      </w:r>
    </w:p>
    <w:p w14:paraId="607A19E4">
      <w:pPr>
        <w:rPr>
          <w:rFonts w:hint="eastAsia"/>
          <w:lang w:bidi="ar"/>
        </w:rPr>
      </w:pPr>
      <w:r>
        <w:rPr>
          <w:rFonts w:hint="eastAsia"/>
          <w:lang w:bidi="ar"/>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w:t>
      </w:r>
    </w:p>
    <w:tbl>
      <w:tblPr>
        <w:tblStyle w:val="20"/>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480"/>
        <w:gridCol w:w="1056"/>
        <w:gridCol w:w="853"/>
        <w:gridCol w:w="4300"/>
      </w:tblGrid>
      <w:tr w14:paraId="768C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Merge w:val="restart"/>
            <w:vAlign w:val="center"/>
          </w:tcPr>
          <w:p w14:paraId="4B07E6D9">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用地类型</w:t>
            </w:r>
          </w:p>
        </w:tc>
        <w:tc>
          <w:tcPr>
            <w:tcW w:w="1135" w:type="pct"/>
            <w:gridSpan w:val="2"/>
            <w:vAlign w:val="center"/>
          </w:tcPr>
          <w:p w14:paraId="1E86B470">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规划基期年</w:t>
            </w:r>
          </w:p>
        </w:tc>
        <w:tc>
          <w:tcPr>
            <w:tcW w:w="2557" w:type="pct"/>
            <w:vAlign w:val="center"/>
          </w:tcPr>
          <w:p w14:paraId="2F0C2565">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规划目标年</w:t>
            </w:r>
          </w:p>
        </w:tc>
      </w:tr>
      <w:tr w14:paraId="00C3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Merge w:val="continue"/>
            <w:vAlign w:val="center"/>
          </w:tcPr>
          <w:p w14:paraId="2DAD0492">
            <w:pPr>
              <w:widowControl w:val="0"/>
              <w:adjustRightInd/>
              <w:snapToGrid/>
              <w:spacing w:line="240" w:lineRule="auto"/>
              <w:ind w:firstLine="0" w:firstLineChars="0"/>
              <w:jc w:val="center"/>
              <w:rPr>
                <w:rFonts w:ascii="仿宋" w:eastAsia="仿宋"/>
                <w:sz w:val="21"/>
                <w:lang w:bidi="zh-CN"/>
              </w:rPr>
            </w:pPr>
          </w:p>
        </w:tc>
        <w:tc>
          <w:tcPr>
            <w:tcW w:w="628" w:type="pct"/>
            <w:vAlign w:val="center"/>
          </w:tcPr>
          <w:p w14:paraId="000A254D">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面积</w:t>
            </w:r>
          </w:p>
        </w:tc>
        <w:tc>
          <w:tcPr>
            <w:tcW w:w="507" w:type="pct"/>
            <w:vAlign w:val="center"/>
          </w:tcPr>
          <w:p w14:paraId="07B6F8E9">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比重</w:t>
            </w:r>
          </w:p>
        </w:tc>
        <w:tc>
          <w:tcPr>
            <w:tcW w:w="2557" w:type="pct"/>
            <w:vAlign w:val="center"/>
          </w:tcPr>
          <w:p w14:paraId="6746BAE4">
            <w:pPr>
              <w:widowControl w:val="0"/>
              <w:adjustRightInd/>
              <w:snapToGrid/>
              <w:spacing w:line="240" w:lineRule="auto"/>
              <w:ind w:firstLine="0" w:firstLineChars="0"/>
              <w:jc w:val="center"/>
              <w:rPr>
                <w:rFonts w:ascii="仿宋" w:eastAsia="仿宋"/>
                <w:sz w:val="21"/>
                <w:lang w:bidi="zh-CN"/>
              </w:rPr>
            </w:pPr>
            <w:r>
              <w:rPr>
                <w:rFonts w:hint="eastAsia" w:ascii="仿宋" w:eastAsia="仿宋"/>
                <w:sz w:val="21"/>
                <w:lang w:bidi="zh-CN"/>
              </w:rPr>
              <w:t>面积</w:t>
            </w:r>
          </w:p>
        </w:tc>
      </w:tr>
      <w:tr w14:paraId="063C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0250B2A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耕地</w:t>
            </w:r>
          </w:p>
        </w:tc>
        <w:tc>
          <w:tcPr>
            <w:tcW w:w="628" w:type="pct"/>
            <w:noWrap/>
            <w:vAlign w:val="center"/>
          </w:tcPr>
          <w:p w14:paraId="6F83389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1809.81</w:t>
            </w:r>
          </w:p>
        </w:tc>
        <w:tc>
          <w:tcPr>
            <w:tcW w:w="507" w:type="pct"/>
            <w:noWrap/>
            <w:vAlign w:val="center"/>
          </w:tcPr>
          <w:p w14:paraId="7294131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6.24</w:t>
            </w:r>
          </w:p>
        </w:tc>
        <w:tc>
          <w:tcPr>
            <w:tcW w:w="2557" w:type="pct"/>
            <w:noWrap/>
            <w:vAlign w:val="center"/>
          </w:tcPr>
          <w:p w14:paraId="63E9268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≥3671</w:t>
            </w:r>
          </w:p>
        </w:tc>
      </w:tr>
      <w:tr w14:paraId="554B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307" w:type="pct"/>
            <w:gridSpan w:val="2"/>
            <w:vAlign w:val="center"/>
          </w:tcPr>
          <w:p w14:paraId="4713317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园地</w:t>
            </w:r>
          </w:p>
        </w:tc>
        <w:tc>
          <w:tcPr>
            <w:tcW w:w="628" w:type="pct"/>
            <w:noWrap/>
            <w:vAlign w:val="center"/>
          </w:tcPr>
          <w:p w14:paraId="6BEE331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326.9</w:t>
            </w:r>
          </w:p>
        </w:tc>
        <w:tc>
          <w:tcPr>
            <w:tcW w:w="507" w:type="pct"/>
            <w:noWrap/>
            <w:vAlign w:val="center"/>
          </w:tcPr>
          <w:p w14:paraId="0C2CC5D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1.13</w:t>
            </w:r>
          </w:p>
        </w:tc>
        <w:tc>
          <w:tcPr>
            <w:tcW w:w="2557" w:type="pct"/>
            <w:noWrap/>
            <w:vAlign w:val="center"/>
          </w:tcPr>
          <w:p w14:paraId="1165F77E">
            <w:pPr>
              <w:adjustRightInd/>
              <w:snapToGrid/>
              <w:spacing w:line="240" w:lineRule="auto"/>
              <w:ind w:firstLine="0" w:firstLineChars="0"/>
              <w:jc w:val="center"/>
              <w:rPr>
                <w:rFonts w:ascii="仿宋" w:eastAsia="仿宋"/>
                <w:sz w:val="21"/>
                <w:szCs w:val="21"/>
              </w:rPr>
            </w:pPr>
            <w:r>
              <w:rPr>
                <w:rFonts w:ascii="仿宋" w:eastAsia="仿宋"/>
                <w:sz w:val="21"/>
                <w:szCs w:val="21"/>
              </w:rPr>
              <w:t>保持稳定</w:t>
            </w:r>
          </w:p>
        </w:tc>
      </w:tr>
      <w:tr w14:paraId="0F15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3CDF849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林地</w:t>
            </w:r>
          </w:p>
        </w:tc>
        <w:tc>
          <w:tcPr>
            <w:tcW w:w="628" w:type="pct"/>
            <w:noWrap/>
            <w:vAlign w:val="center"/>
          </w:tcPr>
          <w:p w14:paraId="47D828B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25260.95</w:t>
            </w:r>
          </w:p>
        </w:tc>
        <w:tc>
          <w:tcPr>
            <w:tcW w:w="507" w:type="pct"/>
            <w:noWrap/>
            <w:vAlign w:val="center"/>
          </w:tcPr>
          <w:p w14:paraId="48B5176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87.3</w:t>
            </w:r>
          </w:p>
        </w:tc>
        <w:tc>
          <w:tcPr>
            <w:tcW w:w="2557" w:type="pct"/>
            <w:noWrap/>
            <w:vAlign w:val="center"/>
          </w:tcPr>
          <w:p w14:paraId="1E2EFC40">
            <w:pPr>
              <w:adjustRightInd/>
              <w:snapToGrid/>
              <w:spacing w:line="240" w:lineRule="auto"/>
              <w:ind w:firstLine="0" w:firstLineChars="0"/>
              <w:jc w:val="center"/>
              <w:rPr>
                <w:rFonts w:ascii="仿宋" w:eastAsia="仿宋"/>
                <w:sz w:val="21"/>
                <w:szCs w:val="21"/>
              </w:rPr>
            </w:pPr>
            <w:r>
              <w:rPr>
                <w:rFonts w:ascii="仿宋" w:eastAsia="仿宋"/>
                <w:sz w:val="21"/>
                <w:szCs w:val="21"/>
              </w:rPr>
              <w:t>保持稳定</w:t>
            </w:r>
          </w:p>
        </w:tc>
      </w:tr>
      <w:tr w14:paraId="34AB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5139C57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草地</w:t>
            </w:r>
          </w:p>
        </w:tc>
        <w:tc>
          <w:tcPr>
            <w:tcW w:w="628" w:type="pct"/>
            <w:noWrap/>
            <w:vAlign w:val="center"/>
          </w:tcPr>
          <w:p w14:paraId="568AEAE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64.77</w:t>
            </w:r>
          </w:p>
        </w:tc>
        <w:tc>
          <w:tcPr>
            <w:tcW w:w="507" w:type="pct"/>
            <w:noWrap/>
            <w:vAlign w:val="center"/>
          </w:tcPr>
          <w:p w14:paraId="3AB5B4D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0.22</w:t>
            </w:r>
          </w:p>
        </w:tc>
        <w:tc>
          <w:tcPr>
            <w:tcW w:w="2557" w:type="pct"/>
            <w:noWrap/>
            <w:vAlign w:val="center"/>
          </w:tcPr>
          <w:p w14:paraId="6E624967">
            <w:pPr>
              <w:adjustRightInd/>
              <w:snapToGrid/>
              <w:spacing w:line="240" w:lineRule="auto"/>
              <w:ind w:firstLine="0" w:firstLineChars="0"/>
              <w:jc w:val="center"/>
              <w:rPr>
                <w:rFonts w:ascii="仿宋" w:eastAsia="仿宋"/>
                <w:sz w:val="21"/>
                <w:szCs w:val="21"/>
              </w:rPr>
            </w:pPr>
            <w:r>
              <w:rPr>
                <w:rFonts w:ascii="仿宋" w:eastAsia="仿宋"/>
                <w:sz w:val="21"/>
                <w:szCs w:val="21"/>
              </w:rPr>
              <w:t>总体略有下降（其中天然牧草地保持稳定）</w:t>
            </w:r>
          </w:p>
        </w:tc>
      </w:tr>
      <w:tr w14:paraId="4322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0399A1C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湿地</w:t>
            </w:r>
          </w:p>
        </w:tc>
        <w:tc>
          <w:tcPr>
            <w:tcW w:w="628" w:type="pct"/>
            <w:noWrap/>
            <w:vAlign w:val="center"/>
          </w:tcPr>
          <w:p w14:paraId="66CB8FB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70.46</w:t>
            </w:r>
          </w:p>
        </w:tc>
        <w:tc>
          <w:tcPr>
            <w:tcW w:w="507" w:type="pct"/>
            <w:noWrap/>
            <w:vAlign w:val="center"/>
          </w:tcPr>
          <w:p w14:paraId="1288908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0.24</w:t>
            </w:r>
          </w:p>
        </w:tc>
        <w:tc>
          <w:tcPr>
            <w:tcW w:w="2557" w:type="pct"/>
            <w:noWrap/>
            <w:vAlign w:val="center"/>
          </w:tcPr>
          <w:p w14:paraId="42947381">
            <w:pPr>
              <w:adjustRightInd/>
              <w:snapToGrid/>
              <w:spacing w:line="240" w:lineRule="auto"/>
              <w:ind w:firstLine="0" w:firstLineChars="0"/>
              <w:jc w:val="center"/>
              <w:rPr>
                <w:rFonts w:ascii="仿宋" w:eastAsia="仿宋"/>
                <w:sz w:val="21"/>
                <w:szCs w:val="21"/>
              </w:rPr>
            </w:pPr>
            <w:r>
              <w:rPr>
                <w:rFonts w:ascii="仿宋" w:eastAsia="仿宋"/>
                <w:sz w:val="21"/>
                <w:szCs w:val="21"/>
              </w:rPr>
              <w:t>保持稳定</w:t>
            </w:r>
          </w:p>
        </w:tc>
      </w:tr>
      <w:tr w14:paraId="24C5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33F02FF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农业设施建设用地</w:t>
            </w:r>
          </w:p>
        </w:tc>
        <w:tc>
          <w:tcPr>
            <w:tcW w:w="628" w:type="pct"/>
            <w:noWrap/>
            <w:vAlign w:val="center"/>
          </w:tcPr>
          <w:p w14:paraId="3A45DE8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13.08</w:t>
            </w:r>
          </w:p>
        </w:tc>
        <w:tc>
          <w:tcPr>
            <w:tcW w:w="507" w:type="pct"/>
            <w:noWrap/>
          </w:tcPr>
          <w:p w14:paraId="5950299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0.05</w:t>
            </w:r>
          </w:p>
        </w:tc>
        <w:tc>
          <w:tcPr>
            <w:tcW w:w="2557" w:type="pct"/>
            <w:noWrap/>
          </w:tcPr>
          <w:p w14:paraId="3D324D82">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保持稳定</w:t>
            </w:r>
          </w:p>
        </w:tc>
      </w:tr>
      <w:tr w14:paraId="25E9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7" w:type="pct"/>
            <w:vMerge w:val="restart"/>
            <w:vAlign w:val="center"/>
          </w:tcPr>
          <w:p w14:paraId="0681A82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城乡建设用地</w:t>
            </w:r>
          </w:p>
        </w:tc>
        <w:tc>
          <w:tcPr>
            <w:tcW w:w="880" w:type="pct"/>
            <w:vAlign w:val="center"/>
          </w:tcPr>
          <w:p w14:paraId="472657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城镇建设用地</w:t>
            </w:r>
          </w:p>
        </w:tc>
        <w:tc>
          <w:tcPr>
            <w:tcW w:w="628" w:type="pct"/>
            <w:noWrap/>
            <w:vAlign w:val="center"/>
          </w:tcPr>
          <w:p w14:paraId="5047508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25.55</w:t>
            </w:r>
          </w:p>
        </w:tc>
        <w:tc>
          <w:tcPr>
            <w:tcW w:w="507" w:type="pct"/>
            <w:noWrap/>
            <w:vAlign w:val="center"/>
          </w:tcPr>
          <w:p w14:paraId="7B65DE5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0.09</w:t>
            </w:r>
          </w:p>
        </w:tc>
        <w:tc>
          <w:tcPr>
            <w:tcW w:w="2557" w:type="pct"/>
            <w:noWrap/>
            <w:vAlign w:val="center"/>
          </w:tcPr>
          <w:p w14:paraId="653CBD7B">
            <w:pPr>
              <w:adjustRightInd/>
              <w:snapToGrid/>
              <w:spacing w:line="240" w:lineRule="auto"/>
              <w:ind w:firstLine="0" w:firstLineChars="0"/>
              <w:jc w:val="center"/>
              <w:rPr>
                <w:rFonts w:ascii="仿宋" w:eastAsia="仿宋"/>
                <w:sz w:val="21"/>
                <w:szCs w:val="21"/>
              </w:rPr>
            </w:pPr>
            <w:r>
              <w:rPr>
                <w:rFonts w:ascii="仿宋" w:eastAsia="仿宋"/>
                <w:sz w:val="21"/>
                <w:szCs w:val="21"/>
              </w:rPr>
              <w:t>持续增加</w:t>
            </w:r>
          </w:p>
        </w:tc>
      </w:tr>
      <w:tr w14:paraId="072E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7" w:type="pct"/>
            <w:vMerge w:val="continue"/>
            <w:vAlign w:val="center"/>
          </w:tcPr>
          <w:p w14:paraId="70EF931A">
            <w:pPr>
              <w:widowControl w:val="0"/>
              <w:adjustRightInd/>
              <w:snapToGrid/>
              <w:spacing w:line="240" w:lineRule="auto"/>
              <w:ind w:firstLine="0" w:firstLineChars="0"/>
              <w:jc w:val="center"/>
              <w:rPr>
                <w:rFonts w:ascii="仿宋" w:eastAsia="仿宋"/>
                <w:sz w:val="21"/>
                <w:szCs w:val="21"/>
              </w:rPr>
            </w:pPr>
          </w:p>
        </w:tc>
        <w:tc>
          <w:tcPr>
            <w:tcW w:w="880" w:type="pct"/>
            <w:vAlign w:val="center"/>
          </w:tcPr>
          <w:p w14:paraId="1A57BBC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村庄建设用地</w:t>
            </w:r>
          </w:p>
        </w:tc>
        <w:tc>
          <w:tcPr>
            <w:tcW w:w="628" w:type="pct"/>
            <w:noWrap/>
            <w:vAlign w:val="center"/>
          </w:tcPr>
          <w:p w14:paraId="4F191CF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471.6</w:t>
            </w:r>
          </w:p>
        </w:tc>
        <w:tc>
          <w:tcPr>
            <w:tcW w:w="507" w:type="pct"/>
            <w:noWrap/>
            <w:vAlign w:val="center"/>
          </w:tcPr>
          <w:p w14:paraId="1A5B97C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1.62</w:t>
            </w:r>
          </w:p>
        </w:tc>
        <w:tc>
          <w:tcPr>
            <w:tcW w:w="2557" w:type="pct"/>
            <w:noWrap/>
            <w:vAlign w:val="center"/>
          </w:tcPr>
          <w:p w14:paraId="2004FD12">
            <w:pPr>
              <w:adjustRightInd/>
              <w:snapToGrid/>
              <w:spacing w:line="240" w:lineRule="auto"/>
              <w:ind w:firstLine="0" w:firstLineChars="0"/>
              <w:jc w:val="center"/>
              <w:rPr>
                <w:rFonts w:ascii="仿宋" w:eastAsia="仿宋"/>
                <w:sz w:val="21"/>
                <w:szCs w:val="21"/>
              </w:rPr>
            </w:pPr>
            <w:r>
              <w:rPr>
                <w:rFonts w:ascii="仿宋" w:eastAsia="仿宋"/>
                <w:sz w:val="21"/>
                <w:szCs w:val="21"/>
              </w:rPr>
              <w:t>持续增加</w:t>
            </w:r>
          </w:p>
        </w:tc>
      </w:tr>
      <w:tr w14:paraId="66F0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2393892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区域基础设施用地</w:t>
            </w:r>
          </w:p>
        </w:tc>
        <w:tc>
          <w:tcPr>
            <w:tcW w:w="628" w:type="pct"/>
            <w:noWrap/>
            <w:vAlign w:val="center"/>
          </w:tcPr>
          <w:p w14:paraId="16CAC80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94.85</w:t>
            </w:r>
          </w:p>
        </w:tc>
        <w:tc>
          <w:tcPr>
            <w:tcW w:w="507" w:type="pct"/>
            <w:noWrap/>
            <w:vAlign w:val="center"/>
          </w:tcPr>
          <w:p w14:paraId="38769A5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0.33</w:t>
            </w:r>
          </w:p>
        </w:tc>
        <w:tc>
          <w:tcPr>
            <w:tcW w:w="2557" w:type="pct"/>
            <w:noWrap/>
          </w:tcPr>
          <w:p w14:paraId="7D5C2F9A">
            <w:pPr>
              <w:adjustRightInd/>
              <w:snapToGrid/>
              <w:spacing w:line="240" w:lineRule="auto"/>
              <w:ind w:firstLine="0" w:firstLineChars="0"/>
              <w:jc w:val="center"/>
              <w:rPr>
                <w:rFonts w:ascii="仿宋" w:eastAsia="仿宋"/>
                <w:sz w:val="21"/>
                <w:szCs w:val="21"/>
              </w:rPr>
            </w:pPr>
            <w:r>
              <w:rPr>
                <w:rFonts w:ascii="仿宋" w:eastAsia="仿宋"/>
                <w:sz w:val="21"/>
                <w:szCs w:val="21"/>
              </w:rPr>
              <w:t>持续增加</w:t>
            </w:r>
          </w:p>
        </w:tc>
      </w:tr>
      <w:tr w14:paraId="6B07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5CF4D24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其他建设用地</w:t>
            </w:r>
          </w:p>
        </w:tc>
        <w:tc>
          <w:tcPr>
            <w:tcW w:w="628" w:type="pct"/>
            <w:noWrap/>
            <w:vAlign w:val="center"/>
          </w:tcPr>
          <w:p w14:paraId="4D72D93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53.93</w:t>
            </w:r>
          </w:p>
        </w:tc>
        <w:tc>
          <w:tcPr>
            <w:tcW w:w="507" w:type="pct"/>
            <w:noWrap/>
            <w:vAlign w:val="center"/>
          </w:tcPr>
          <w:p w14:paraId="1F45E67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0.19</w:t>
            </w:r>
          </w:p>
        </w:tc>
        <w:tc>
          <w:tcPr>
            <w:tcW w:w="2557" w:type="pct"/>
            <w:noWrap/>
          </w:tcPr>
          <w:p w14:paraId="661C2344">
            <w:pPr>
              <w:adjustRightInd/>
              <w:snapToGrid/>
              <w:spacing w:line="240" w:lineRule="auto"/>
              <w:ind w:firstLine="0" w:firstLineChars="0"/>
              <w:jc w:val="center"/>
              <w:rPr>
                <w:rFonts w:ascii="仿宋" w:eastAsia="仿宋"/>
                <w:sz w:val="21"/>
                <w:szCs w:val="21"/>
              </w:rPr>
            </w:pPr>
            <w:r>
              <w:rPr>
                <w:rFonts w:ascii="仿宋" w:eastAsia="仿宋"/>
                <w:sz w:val="21"/>
                <w:szCs w:val="21"/>
              </w:rPr>
              <w:t>持续增加</w:t>
            </w:r>
          </w:p>
        </w:tc>
      </w:tr>
      <w:tr w14:paraId="215A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138B9D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陆地水域</w:t>
            </w:r>
          </w:p>
        </w:tc>
        <w:tc>
          <w:tcPr>
            <w:tcW w:w="628" w:type="pct"/>
            <w:noWrap/>
            <w:vAlign w:val="center"/>
          </w:tcPr>
          <w:p w14:paraId="174812F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831.66</w:t>
            </w:r>
          </w:p>
        </w:tc>
        <w:tc>
          <w:tcPr>
            <w:tcW w:w="507" w:type="pct"/>
            <w:noWrap/>
            <w:vAlign w:val="center"/>
          </w:tcPr>
          <w:p w14:paraId="15FB7D4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2.87</w:t>
            </w:r>
          </w:p>
        </w:tc>
        <w:tc>
          <w:tcPr>
            <w:tcW w:w="2557" w:type="pct"/>
            <w:noWrap/>
          </w:tcPr>
          <w:p w14:paraId="64921D5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24F7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07" w:type="pct"/>
            <w:gridSpan w:val="2"/>
            <w:vAlign w:val="center"/>
          </w:tcPr>
          <w:p w14:paraId="1EFA433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其他土地</w:t>
            </w:r>
          </w:p>
        </w:tc>
        <w:tc>
          <w:tcPr>
            <w:tcW w:w="628" w:type="pct"/>
            <w:noWrap/>
            <w:vAlign w:val="center"/>
          </w:tcPr>
          <w:p w14:paraId="676CC88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2.18</w:t>
            </w:r>
          </w:p>
        </w:tc>
        <w:tc>
          <w:tcPr>
            <w:tcW w:w="507" w:type="pct"/>
            <w:noWrap/>
            <w:vAlign w:val="center"/>
          </w:tcPr>
          <w:p w14:paraId="49B3C2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0.01</w:t>
            </w:r>
          </w:p>
        </w:tc>
        <w:tc>
          <w:tcPr>
            <w:tcW w:w="2557" w:type="pct"/>
            <w:noWrap/>
          </w:tcPr>
          <w:p w14:paraId="41400522">
            <w:pPr>
              <w:widowControl w:val="0"/>
              <w:adjustRightInd/>
              <w:snapToGrid/>
              <w:spacing w:line="240" w:lineRule="auto"/>
              <w:ind w:firstLine="0" w:firstLineChars="0"/>
              <w:jc w:val="center"/>
              <w:rPr>
                <w:rFonts w:ascii="仿宋" w:eastAsia="仿宋"/>
                <w:sz w:val="21"/>
                <w:szCs w:val="21"/>
              </w:rPr>
            </w:pPr>
          </w:p>
        </w:tc>
      </w:tr>
    </w:tbl>
    <w:p w14:paraId="6D7FF46D">
      <w:pPr>
        <w:rPr>
          <w:rFonts w:hint="eastAsia"/>
          <w:lang w:bidi="ar"/>
        </w:rPr>
      </w:pPr>
    </w:p>
    <w:p w14:paraId="47402A14">
      <w:pPr>
        <w:pStyle w:val="2"/>
        <w:spacing w:after="360"/>
        <w:rPr>
          <w:rFonts w:hint="eastAsia"/>
        </w:rPr>
      </w:pPr>
      <w:bookmarkStart w:id="75" w:name="_Toc24522"/>
      <w:bookmarkStart w:id="76" w:name="_Toc22807"/>
      <w:bookmarkStart w:id="77" w:name="_Toc6501"/>
      <w:r>
        <w:rPr>
          <w:rFonts w:hint="eastAsia"/>
        </w:rPr>
        <w:t>第五章 资源保护与利用</w:t>
      </w:r>
      <w:bookmarkEnd w:id="74"/>
      <w:bookmarkEnd w:id="75"/>
      <w:bookmarkEnd w:id="76"/>
      <w:bookmarkEnd w:id="77"/>
    </w:p>
    <w:p w14:paraId="039B0A79">
      <w:pPr>
        <w:pStyle w:val="3"/>
        <w:numPr>
          <w:ilvl w:val="0"/>
          <w:numId w:val="15"/>
        </w:numPr>
        <w:rPr>
          <w:rFonts w:ascii="Times New Roman" w:hAnsi="Times New Roman" w:cs="Times New Roman"/>
          <w:color w:val="auto"/>
        </w:rPr>
      </w:pPr>
      <w:bookmarkStart w:id="78" w:name="_Toc15866"/>
      <w:bookmarkStart w:id="79" w:name="_Toc18859"/>
      <w:bookmarkStart w:id="80" w:name="_Toc14697"/>
      <w:bookmarkStart w:id="81" w:name="_Toc152937196"/>
      <w:r>
        <w:rPr>
          <w:rFonts w:hint="eastAsia" w:ascii="Times New Roman" w:hAnsi="Times New Roman" w:cs="Times New Roman"/>
          <w:color w:val="auto"/>
        </w:rPr>
        <w:t>耕地资源</w:t>
      </w:r>
      <w:bookmarkEnd w:id="78"/>
      <w:bookmarkEnd w:id="79"/>
      <w:bookmarkEnd w:id="80"/>
      <w:bookmarkEnd w:id="81"/>
    </w:p>
    <w:p w14:paraId="6DED8930">
      <w:pPr>
        <w:pStyle w:val="4"/>
        <w:numPr>
          <w:ilvl w:val="0"/>
          <w:numId w:val="16"/>
        </w:numPr>
        <w:rPr>
          <w:rFonts w:hint="eastAsia"/>
        </w:rPr>
      </w:pPr>
      <w:r>
        <w:rPr>
          <w:rFonts w:hint="eastAsia"/>
        </w:rPr>
        <w:t>加强耕地数量、质量、生态“三位一体”保护</w:t>
      </w:r>
    </w:p>
    <w:p w14:paraId="4CB4F058">
      <w:r>
        <w:rPr>
          <w:rFonts w:hint="eastAsia"/>
        </w:rPr>
        <w:t>加强永久基本农田保护和建设。以永久基本农田为基础，优先在粮食生产功能区、重要农产品生产保护区建设高标准农田，逐步把永久基本农田全部建成旱涝保收的高标准农田。经依法批准确需占用的，应先补建后占用。完善永久基本农田保护储备区制度。土地整治和新建高标准农田增加的优质耕地应当优先补划为永久基本农田。在永久基本农田集中分布地区，不得规划新建可能造成污染的建设项目。</w:t>
      </w:r>
    </w:p>
    <w:p w14:paraId="54754E30">
      <w:r>
        <w:rPr>
          <w:rFonts w:hint="eastAsia"/>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334568B2">
      <w:pPr>
        <w:pStyle w:val="4"/>
        <w:rPr>
          <w:rFonts w:hint="eastAsia"/>
        </w:rPr>
      </w:pPr>
      <w:r>
        <w:rPr>
          <w:rFonts w:hint="eastAsia"/>
        </w:rPr>
        <w:t>加强耕地后备资源开发和储备</w:t>
      </w:r>
    </w:p>
    <w:p w14:paraId="08CE45AA">
      <w:r>
        <w:rPr>
          <w:rFonts w:hint="eastAsia"/>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6C534BCB">
      <w:r>
        <w:rPr>
          <w:rFonts w:hint="eastAsia"/>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528F9E0F">
      <w:pPr>
        <w:pStyle w:val="4"/>
        <w:rPr>
          <w:rFonts w:hint="eastAsia"/>
        </w:rPr>
      </w:pPr>
      <w:r>
        <w:rPr>
          <w:rFonts w:hint="eastAsia"/>
        </w:rPr>
        <w:t>推进设施农业建设</w:t>
      </w:r>
    </w:p>
    <w:p w14:paraId="6AAF9444">
      <w:r>
        <w:rPr>
          <w:rFonts w:hint="eastAsia"/>
        </w:rPr>
        <w:t>落实《全国现代设施农业建设规划（</w:t>
      </w:r>
      <w:r>
        <w:t>2023—2030</w:t>
      </w:r>
      <w:r>
        <w:rPr>
          <w:rFonts w:hint="eastAsia"/>
        </w:rPr>
        <w:t>年）》相关要求，以建设节能宜机为主的现代设施种植业、高效集约为主的现代设施畜牧业、生态健康养殖为主的现代设施渔业、仓储保鲜和烘干为主的现代物流设施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水产品等各类食物供给。</w:t>
      </w:r>
    </w:p>
    <w:p w14:paraId="6CD7E757">
      <w:pPr>
        <w:pStyle w:val="4"/>
        <w:rPr>
          <w:rFonts w:hint="eastAsia"/>
        </w:rPr>
      </w:pPr>
      <w:r>
        <w:rPr>
          <w:rFonts w:hint="eastAsia"/>
        </w:rPr>
        <w:t>积极落实“占补平衡”制度</w:t>
      </w:r>
    </w:p>
    <w:p w14:paraId="31D2F15D">
      <w:r>
        <w:t>健全耕地保护补偿制度，实行保护责任与财政补贴相挂钩，充分调动农民保护耕地的积极性与主动性。加强和改进耕地占补平衡，拓宽</w:t>
      </w:r>
      <w:r>
        <w:rPr>
          <w:rFonts w:hint="eastAsia"/>
        </w:rPr>
        <w:t>“</w:t>
      </w:r>
      <w:r>
        <w:t>补改结合</w:t>
      </w:r>
      <w:r>
        <w:rPr>
          <w:rFonts w:hint="eastAsia"/>
        </w:rPr>
        <w:t>”</w:t>
      </w:r>
      <w:r>
        <w:t>等耕地占补平衡新途径，探索将通过农用地整理增加的耕地作为占补平衡补充耕地的指标。严格落实耕地</w:t>
      </w:r>
      <w:r>
        <w:rPr>
          <w:rFonts w:hint="eastAsia"/>
        </w:rPr>
        <w:t>“</w:t>
      </w:r>
      <w:r>
        <w:t>占一补一、先补后占、占优补优、占水田补水田</w:t>
      </w:r>
      <w:r>
        <w:rPr>
          <w:rFonts w:hint="eastAsia"/>
        </w:rPr>
        <w:t>”</w:t>
      </w:r>
      <w:r>
        <w:t>，强化耕地占补平衡实施监管，落实耕地占补平衡责任制度，确保补充数量质量双到位。</w:t>
      </w:r>
    </w:p>
    <w:p w14:paraId="6FBABC34">
      <w:pPr>
        <w:pStyle w:val="3"/>
        <w:numPr>
          <w:ilvl w:val="0"/>
          <w:numId w:val="15"/>
        </w:numPr>
        <w:rPr>
          <w:rFonts w:ascii="Times New Roman" w:hAnsi="Times New Roman" w:cs="Times New Roman"/>
          <w:color w:val="auto"/>
        </w:rPr>
      </w:pPr>
      <w:bookmarkStart w:id="82" w:name="_Toc21662"/>
      <w:bookmarkStart w:id="83" w:name="_Toc32651"/>
      <w:bookmarkStart w:id="84" w:name="_Toc152937197"/>
      <w:bookmarkStart w:id="85" w:name="_Toc16062"/>
      <w:bookmarkStart w:id="86" w:name="_Toc133419331"/>
      <w:r>
        <w:rPr>
          <w:rFonts w:hint="eastAsia" w:ascii="Times New Roman" w:hAnsi="Times New Roman" w:cs="Times New Roman"/>
          <w:color w:val="auto"/>
        </w:rPr>
        <w:t>水资源</w:t>
      </w:r>
      <w:bookmarkEnd w:id="82"/>
      <w:bookmarkEnd w:id="83"/>
      <w:bookmarkEnd w:id="84"/>
      <w:bookmarkEnd w:id="85"/>
    </w:p>
    <w:p w14:paraId="69D311EC">
      <w:pPr>
        <w:pStyle w:val="4"/>
        <w:numPr>
          <w:ilvl w:val="0"/>
          <w:numId w:val="17"/>
        </w:numPr>
        <w:rPr>
          <w:rFonts w:hint="eastAsia"/>
        </w:rPr>
      </w:pPr>
      <w:r>
        <w:rPr>
          <w:rFonts w:hint="eastAsia"/>
        </w:rPr>
        <w:t>加强水资源保护</w:t>
      </w:r>
    </w:p>
    <w:p w14:paraId="61636E76">
      <w:r>
        <w:rPr>
          <w:rFonts w:hint="eastAsia"/>
        </w:rPr>
        <w:t>落实桓仁县总体规划确定的保护目标，深化细化各类资源的管控边界，提出管控措施。严控水资源利用上限，强化水资源保护，提升水环境容量，推进水利基础设施建设，保证城乡供水安全。</w:t>
      </w:r>
    </w:p>
    <w:p w14:paraId="3E919C01">
      <w:r>
        <w:rPr>
          <w:rFonts w:hint="eastAsia"/>
        </w:rPr>
        <w:t>根据国家</w:t>
      </w:r>
      <w:r>
        <w:t>《地面水环境质量标准》（GB3838-2002）中水源卫生保护规定，划定水源保护区，保护区必须执行国家水源相关保护条例，保证取水点的水质符合饮用水水源水质标准。</w:t>
      </w:r>
    </w:p>
    <w:p w14:paraId="731AA4DB">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w:t>
      </w:r>
      <w:r>
        <w:rPr>
          <w:rFonts w:hint="eastAsia"/>
        </w:rPr>
        <w:t>镇</w:t>
      </w:r>
      <w:r>
        <w:t>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6033653C">
      <w:r>
        <w:rPr>
          <w:rFonts w:hint="eastAsia"/>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2EBF9C6B">
      <w:r>
        <w:rPr>
          <w:rFonts w:hint="eastAsia"/>
        </w:rPr>
        <w:t>大力倡导节水型产业，实施建设项目节水制度。对全镇所有新建、改建、扩建项目必须进行用水节水项目审查。新建工程或民用建筑供水系统要有节水措施和节水系统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，否则不予审批，不准开工。审查验收新建、改建、扩建项目用水节水评估报告、施工图和建设工程验收。确保建设项目全周期节水。</w:t>
      </w:r>
    </w:p>
    <w:p w14:paraId="07E084C0">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4B515EFD">
      <w:pPr>
        <w:pStyle w:val="4"/>
        <w:rPr>
          <w:rFonts w:hint="eastAsia"/>
        </w:rPr>
      </w:pPr>
      <w:r>
        <w:rPr>
          <w:rFonts w:hint="eastAsia"/>
        </w:rPr>
        <w:t>加强河流水系保护</w:t>
      </w:r>
    </w:p>
    <w:p w14:paraId="0BB5F451">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5E6A8A2F">
      <w:pPr>
        <w:pStyle w:val="3"/>
        <w:numPr>
          <w:ilvl w:val="0"/>
          <w:numId w:val="15"/>
        </w:numPr>
        <w:rPr>
          <w:rFonts w:ascii="Times New Roman" w:hAnsi="Times New Roman" w:cs="Times New Roman"/>
          <w:color w:val="auto"/>
        </w:rPr>
      </w:pPr>
      <w:bookmarkStart w:id="87" w:name="_Toc32248"/>
      <w:bookmarkStart w:id="88" w:name="_Toc2389"/>
      <w:bookmarkStart w:id="89" w:name="_Toc14275"/>
      <w:bookmarkStart w:id="90" w:name="_Toc152937198"/>
      <w:r>
        <w:rPr>
          <w:rFonts w:hint="eastAsia" w:ascii="Times New Roman" w:hAnsi="Times New Roman" w:cs="Times New Roman"/>
          <w:color w:val="auto"/>
        </w:rPr>
        <w:t>湿地资源</w:t>
      </w:r>
      <w:bookmarkEnd w:id="87"/>
      <w:bookmarkEnd w:id="88"/>
      <w:bookmarkEnd w:id="89"/>
      <w:bookmarkEnd w:id="90"/>
    </w:p>
    <w:p w14:paraId="38442735">
      <w:pPr>
        <w:pStyle w:val="4"/>
        <w:numPr>
          <w:ilvl w:val="0"/>
          <w:numId w:val="18"/>
        </w:numPr>
        <w:rPr>
          <w:rFonts w:hint="eastAsia"/>
        </w:rPr>
      </w:pPr>
      <w:bookmarkStart w:id="91" w:name="_Toc133419335"/>
      <w:r>
        <w:rPr>
          <w:rFonts w:hint="eastAsia"/>
        </w:rPr>
        <w:t>加强湿地保护</w:t>
      </w:r>
    </w:p>
    <w:p w14:paraId="29A0F8F1">
      <w:bookmarkStart w:id="92" w:name="_Hlk131003627"/>
      <w:r>
        <w:t>严格保护现状重要湿地，保障全</w:t>
      </w:r>
      <w:r>
        <w:rPr>
          <w:rFonts w:hint="eastAsia"/>
        </w:rPr>
        <w:t>镇</w:t>
      </w:r>
      <w:r>
        <w:t>现有湿地总面积不减少，性质不改变。纳入生态保护红线的湿地，严禁转为其他用途。确需占用</w:t>
      </w:r>
      <w:r>
        <w:rPr>
          <w:rFonts w:hint="eastAsia"/>
        </w:rPr>
        <w:t>纳入生态红线以外的</w:t>
      </w:r>
      <w:r>
        <w:t>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92"/>
      <w:r>
        <w:t>。</w:t>
      </w:r>
    </w:p>
    <w:p w14:paraId="1F7B037B">
      <w:pPr>
        <w:pStyle w:val="4"/>
        <w:rPr>
          <w:rFonts w:hint="eastAsia"/>
        </w:rPr>
      </w:pPr>
      <w:r>
        <w:rPr>
          <w:rFonts w:hint="eastAsia"/>
        </w:rPr>
        <w:t>恢复治理功能退化湿地</w:t>
      </w:r>
    </w:p>
    <w:p w14:paraId="4D413590">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91"/>
    <w:p w14:paraId="59B0B1C6">
      <w:pPr>
        <w:pStyle w:val="3"/>
        <w:numPr>
          <w:ilvl w:val="0"/>
          <w:numId w:val="15"/>
        </w:numPr>
        <w:rPr>
          <w:rFonts w:ascii="Times New Roman" w:hAnsi="Times New Roman" w:cs="Times New Roman"/>
          <w:color w:val="auto"/>
        </w:rPr>
      </w:pPr>
      <w:bookmarkStart w:id="93" w:name="_Toc152937199"/>
      <w:bookmarkStart w:id="94" w:name="_Toc17029"/>
      <w:bookmarkStart w:id="95" w:name="_Toc14277"/>
      <w:bookmarkStart w:id="96" w:name="_Toc9783"/>
      <w:r>
        <w:rPr>
          <w:rFonts w:hint="eastAsia" w:ascii="Times New Roman" w:hAnsi="Times New Roman" w:cs="Times New Roman"/>
          <w:color w:val="auto"/>
        </w:rPr>
        <w:t>林草资源</w:t>
      </w:r>
      <w:bookmarkEnd w:id="93"/>
      <w:bookmarkEnd w:id="94"/>
      <w:bookmarkEnd w:id="95"/>
      <w:bookmarkEnd w:id="96"/>
    </w:p>
    <w:p w14:paraId="6AA0D850">
      <w:pPr>
        <w:pStyle w:val="4"/>
        <w:numPr>
          <w:ilvl w:val="0"/>
          <w:numId w:val="19"/>
        </w:numPr>
        <w:rPr>
          <w:rFonts w:hint="eastAsia"/>
        </w:rPr>
      </w:pPr>
      <w:bookmarkStart w:id="97" w:name="_Toc381632"/>
      <w:r>
        <w:rPr>
          <w:rFonts w:hint="eastAsia"/>
        </w:rPr>
        <w:t>加强森林资源保护</w:t>
      </w:r>
      <w:bookmarkEnd w:id="97"/>
    </w:p>
    <w:p w14:paraId="379757AB">
      <w:r>
        <w:rPr>
          <w:rFonts w:hint="eastAsia"/>
        </w:rPr>
        <w:t>大力提升森林质量。林业方面坚持以“植、抚、管”相结合的方式，科学开展林业工作，禁止天然林商业性采伐，</w:t>
      </w:r>
      <w:r>
        <w:t>从严控制非基础建设项目占用征收林地。加强对建设项目选址先期的引导，各项建设应尽量不占或少占林地，必须占用或者征收林地的，应当依法办理审核手续</w:t>
      </w:r>
      <w:r>
        <w:rPr>
          <w:rFonts w:hint="eastAsia"/>
        </w:rPr>
        <w:t>。开展造林绿化工作，积极组织开展造林绿化空间适宜性评估，全面摸清适宜造林绿化空间和位置，实现矢量化管理。</w:t>
      </w:r>
    </w:p>
    <w:p w14:paraId="440B1675">
      <w:pPr>
        <w:pStyle w:val="4"/>
        <w:rPr>
          <w:rFonts w:hint="eastAsia"/>
        </w:rPr>
      </w:pPr>
      <w:r>
        <w:rPr>
          <w:rFonts w:hint="eastAsia"/>
        </w:rPr>
        <w:t>加强草地资源保护</w:t>
      </w:r>
    </w:p>
    <w:p w14:paraId="78697073">
      <w:r>
        <w:rPr>
          <w:rFonts w:hint="eastAsia"/>
        </w:rPr>
        <w:t>沙尖子镇</w:t>
      </w:r>
      <w:r>
        <w:t>现状草地</w:t>
      </w:r>
      <w:r>
        <w:rPr>
          <w:rFonts w:hint="eastAsia"/>
        </w:rPr>
        <w:t>主要是</w:t>
      </w:r>
      <w: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000BE5D7">
      <w:pPr>
        <w:pStyle w:val="4"/>
        <w:rPr>
          <w:rFonts w:hint="eastAsia"/>
        </w:rPr>
      </w:pPr>
      <w:r>
        <w:rPr>
          <w:rFonts w:hint="eastAsia"/>
        </w:rPr>
        <w:t>预防林草资源退化</w:t>
      </w:r>
    </w:p>
    <w:p w14:paraId="637D1889">
      <w:r>
        <w:t>对林草资源实行</w:t>
      </w:r>
      <w:r>
        <w:rPr>
          <w:rFonts w:hint="eastAsia"/>
        </w:rPr>
        <w:t>“</w:t>
      </w:r>
      <w:r>
        <w:t>总量控制、区域稳定、动态管理、增减平衡</w:t>
      </w:r>
      <w:r>
        <w:rPr>
          <w:rFonts w:hint="eastAsia"/>
        </w:rPr>
        <w:t>”</w:t>
      </w:r>
      <w:r>
        <w:t>的管理机制，在不影响整体森林生态系统功能发挥和破坏森林植被的前提下，提升森林综合效益，构建稳定的森林生态系统。大力实施草地维护，避免草地生态失衡。</w:t>
      </w:r>
    </w:p>
    <w:p w14:paraId="512318C9">
      <w:pPr>
        <w:pStyle w:val="3"/>
        <w:numPr>
          <w:ilvl w:val="0"/>
          <w:numId w:val="10"/>
        </w:numPr>
        <w:ind w:left="0" w:firstLine="0"/>
        <w:rPr>
          <w:rFonts w:ascii="Times New Roman" w:hAnsi="Times New Roman" w:cs="Times New Roman"/>
          <w:color w:val="auto"/>
        </w:rPr>
      </w:pPr>
      <w:bookmarkStart w:id="98" w:name="_Toc22976"/>
      <w:bookmarkStart w:id="99" w:name="_Toc29774"/>
      <w:bookmarkStart w:id="100" w:name="_Toc23348"/>
      <w:r>
        <w:rPr>
          <w:rFonts w:hint="eastAsia" w:ascii="Times New Roman" w:hAnsi="Times New Roman" w:cs="Times New Roman"/>
          <w:color w:val="auto"/>
        </w:rPr>
        <w:t>矿产资源</w:t>
      </w:r>
      <w:bookmarkEnd w:id="98"/>
      <w:bookmarkEnd w:id="99"/>
      <w:bookmarkEnd w:id="100"/>
    </w:p>
    <w:p w14:paraId="4A7AB667">
      <w:pPr>
        <w:pStyle w:val="4"/>
        <w:numPr>
          <w:ilvl w:val="0"/>
          <w:numId w:val="20"/>
        </w:numPr>
        <w:rPr>
          <w:rFonts w:hint="eastAsia"/>
        </w:rPr>
      </w:pPr>
      <w:r>
        <w:rPr>
          <w:rFonts w:hint="eastAsia"/>
        </w:rPr>
        <w:t>合理利用矿产资源</w:t>
      </w:r>
    </w:p>
    <w:p w14:paraId="60B47006">
      <w:r>
        <w:rPr>
          <w:rFonts w:hint="eastAsia" w:hAnsi="仿宋_GB2312" w:cs="仿宋_GB2312"/>
          <w:szCs w:val="32"/>
        </w:rPr>
        <w:t>落实本溪市划定的矿产资源控制线，落实本溪市划定的禁止和限制开采区域，落实矿产资源分区管控要求，引导矿产资源有序开发。科学合理开发已设有效采矿权，加强矿山地质环境恢复治理，大幅度降低采矿活动对生态环境造成的不良影响</w:t>
      </w:r>
      <w:r>
        <w:t>。</w:t>
      </w:r>
    </w:p>
    <w:p w14:paraId="053A7185">
      <w: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2E21BEE7">
      <w:pPr>
        <w:pStyle w:val="4"/>
        <w:rPr>
          <w:rFonts w:hint="eastAsia"/>
        </w:rPr>
      </w:pPr>
      <w:r>
        <w:rPr>
          <w:rFonts w:hint="eastAsia"/>
        </w:rPr>
        <w:t>强化矿产资源开发利用</w:t>
      </w:r>
    </w:p>
    <w:p w14:paraId="5FA5779C">
      <w:r>
        <w:t>各类矿产资源勘察开采区应符合国土空间规划中生态保护红线、永久基本农田、城镇开发边界三条主要控制线以及相关法律法规和规划规定的各类禁止、限制勘查开采区域的管控要求。</w:t>
      </w:r>
    </w:p>
    <w:p w14:paraId="69EA97C0">
      <w:pPr>
        <w:pStyle w:val="4"/>
        <w:rPr>
          <w:rFonts w:hint="eastAsia"/>
        </w:rPr>
      </w:pPr>
      <w:r>
        <w:rPr>
          <w:rFonts w:hint="eastAsia"/>
        </w:rPr>
        <w:t>积极发展绿色矿山</w:t>
      </w:r>
    </w:p>
    <w:p w14:paraId="67CC9928">
      <w:r>
        <w:t>优化矿产资源开发利用结构，完善政府宏观调控与市场高效运作相结合的矿业权市场。进一步加大矿山地质环境保护与治理力度，发展绿色矿山，切实推进绿色矿山建设进程。新建矿山按照绿色矿山标准要求进行规划、设计、建设和运营管理；改扩建矿山按照绿色矿山标准进行改扩建；生产矿山逐步达到绿色矿山标准。规划期末，各类矿山全部达到绿色矿山标准。</w:t>
      </w:r>
    </w:p>
    <w:p w14:paraId="2F1C8FC4">
      <w:pPr>
        <w:pStyle w:val="3"/>
        <w:numPr>
          <w:ilvl w:val="0"/>
          <w:numId w:val="10"/>
        </w:numPr>
        <w:ind w:left="0" w:firstLine="0"/>
        <w:rPr>
          <w:rFonts w:ascii="Times New Roman" w:hAnsi="Times New Roman" w:cs="Times New Roman"/>
          <w:color w:val="auto"/>
        </w:rPr>
      </w:pPr>
      <w:bookmarkStart w:id="101" w:name="_Toc133419359"/>
      <w:bookmarkStart w:id="102" w:name="_Toc3013"/>
      <w:bookmarkStart w:id="103" w:name="_Toc12632"/>
      <w:bookmarkStart w:id="104" w:name="_Toc152937201"/>
      <w:bookmarkStart w:id="105" w:name="_Toc28211"/>
      <w:r>
        <w:rPr>
          <w:rFonts w:ascii="Times New Roman" w:hAnsi="Times New Roman" w:cs="Times New Roman"/>
          <w:color w:val="auto"/>
        </w:rPr>
        <w:t>历史文化</w:t>
      </w:r>
      <w:bookmarkEnd w:id="101"/>
      <w:r>
        <w:rPr>
          <w:rFonts w:hint="eastAsia" w:ascii="Times New Roman" w:hAnsi="Times New Roman" w:cs="Times New Roman"/>
          <w:color w:val="auto"/>
        </w:rPr>
        <w:t>资源</w:t>
      </w:r>
      <w:bookmarkEnd w:id="102"/>
      <w:bookmarkEnd w:id="103"/>
      <w:bookmarkEnd w:id="104"/>
      <w:bookmarkEnd w:id="105"/>
    </w:p>
    <w:p w14:paraId="75C40BD2">
      <w:pPr>
        <w:pStyle w:val="4"/>
        <w:numPr>
          <w:ilvl w:val="0"/>
          <w:numId w:val="21"/>
        </w:numPr>
        <w:rPr>
          <w:rFonts w:hint="eastAsia"/>
        </w:rPr>
      </w:pPr>
      <w:r>
        <w:rPr>
          <w:rFonts w:hint="eastAsia"/>
        </w:rPr>
        <w:t>构建历史文化遗产保护体系</w:t>
      </w:r>
    </w:p>
    <w:p w14:paraId="7D066B46">
      <w:r>
        <w:rPr>
          <w:rFonts w:hint="eastAsia"/>
        </w:rPr>
        <w:t>以历史文化价值为导向，按照真实性、完整性的保护要求，兼顾古代与近现代、城镇与乡村、物质与非物质等历史文化遗产，根据保护对象的级别和类型，构建历史文化遗产保护体系，将中共安东省委省政府办公旧址等1处省级文物保护单位，牛鼻子遗址、北沟关隘、城墙砬子山城、庙洞山东洞遗址、沙尖子侯家堡子战斗遗址等5处市级文物保护单位，北沟抗联遗址（含溜地爬沟、老平坨遗址）等1处县级文物保护单位纳入历史文化遗产保护名录，明确保护对象、保护范围和建设控制地带。</w:t>
      </w:r>
    </w:p>
    <w:p w14:paraId="7A4E6386">
      <w:pPr>
        <w:pStyle w:val="4"/>
        <w:rPr>
          <w:rFonts w:hint="eastAsia"/>
        </w:rPr>
      </w:pPr>
      <w:bookmarkStart w:id="106" w:name="_Toc381691"/>
      <w:r>
        <w:rPr>
          <w:rFonts w:hint="eastAsia"/>
        </w:rPr>
        <w:t>推进历史文化资源保护利用</w:t>
      </w:r>
    </w:p>
    <w:p w14:paraId="2C4CF8B4">
      <w:r>
        <w:rPr>
          <w:rFonts w:hint="eastAsia"/>
        </w:rPr>
        <w:t>积极推动历史文化名村、传统村落申报。规划积极挖掘沙尖子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1FEDCFF5">
      <w:pPr>
        <w:pStyle w:val="4"/>
        <w:rPr>
          <w:rFonts w:hint="eastAsia"/>
        </w:rPr>
      </w:pPr>
      <w:r>
        <w:rPr>
          <w:rFonts w:hint="eastAsia"/>
        </w:rPr>
        <w:t>实施历史文化保护线管控</w:t>
      </w:r>
    </w:p>
    <w:bookmarkEnd w:id="106"/>
    <w:p w14:paraId="014FB72F">
      <w:r>
        <w:rPr>
          <w:rFonts w:hint="eastAsia"/>
        </w:rPr>
        <w:t>划定历史文化保护线。将文物保护单位保护范围界线纳入历史保护线，落实文物保护单位范围</w:t>
      </w:r>
      <w:r>
        <w:t>，建设控制范围规划新建建筑高度控制在24米以下。对文物保护单位遵循“不改变文物原状”的原则，划定保护范围与建设控制地带，强化对文物保护单位的保护管理。对文物主管部门核定可能存在历史文化遗存的土地，实行“先考古、后出让”制度。对历史建筑遵循“保持原有外形和风貌”的原则，进行加固修缮保护。对于纳入历史文化遗产保护名录、但暂不具备历史文化保护线划定基础的，加强部门协同，及时落实动态补划。</w:t>
      </w:r>
    </w:p>
    <w:p w14:paraId="6A333CFF">
      <w:pPr>
        <w:pStyle w:val="4"/>
        <w:rPr>
          <w:rFonts w:hint="eastAsia"/>
        </w:rPr>
      </w:pPr>
      <w:bookmarkStart w:id="107" w:name="_Toc381697"/>
      <w:bookmarkStart w:id="108" w:name="_Toc381700"/>
      <w:r>
        <w:rPr>
          <w:rFonts w:hint="eastAsia"/>
        </w:rPr>
        <w:t>妥善保护利用文物古迹</w:t>
      </w:r>
      <w:bookmarkEnd w:id="107"/>
    </w:p>
    <w:p w14:paraId="4AB7E1F2">
      <w: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建筑，逐步拆除不需保</w:t>
      </w:r>
      <w:r>
        <w:rPr>
          <w:rFonts w:hint="eastAsia"/>
        </w:rPr>
        <w:t>留的</w:t>
      </w:r>
      <w:r>
        <w:t>建筑，凡有新建建筑，应在外观、造型、体量、高度、色彩上和保护对象</w:t>
      </w:r>
      <w:r>
        <w:rPr>
          <w:rFonts w:hint="eastAsia"/>
        </w:rPr>
        <w:t>相</w:t>
      </w:r>
      <w:r>
        <w:t>协调；风貌协调区内各种修建活动不得改变建筑周围原有的空间景观特征，外形与色彩应与历史环境相统一。</w:t>
      </w:r>
    </w:p>
    <w:bookmarkEnd w:id="108"/>
    <w:p w14:paraId="0B63E805">
      <w:pPr>
        <w:pStyle w:val="4"/>
        <w:rPr>
          <w:rFonts w:hint="eastAsia"/>
        </w:rPr>
      </w:pPr>
      <w:r>
        <w:rPr>
          <w:rFonts w:hint="eastAsia"/>
        </w:rPr>
        <w:t>不可移动文物保护利用</w:t>
      </w:r>
    </w:p>
    <w:p w14:paraId="12C8B8E6">
      <w:r>
        <w:t>坚持创造性转化、创新性发展，深入挖掘、广泛传播文物蕴含的文化精髓和时代价值，创新文物合理利用方式，推动文物保护利用工作全面融入经济社会发展。引导</w:t>
      </w:r>
      <w:r>
        <w:rPr>
          <w:rFonts w:hint="eastAsia"/>
        </w:rPr>
        <w:t>不可移动文物</w:t>
      </w:r>
      <w:r>
        <w:t>充分发挥公共教育、文化服务等作用，让</w:t>
      </w:r>
      <w:r>
        <w:rPr>
          <w:rFonts w:hint="eastAsia"/>
        </w:rPr>
        <w:t>沙尖子</w:t>
      </w:r>
      <w:r>
        <w:t>的文化遗产活起来。加大文物建筑开放利用力度，因地制宜改造为公共文化设施或场所。妥善处理保护与开发的关系，推动文物保护单位成为特色旅游目的地和文明旅游的典范，满足人民群众精神文化生活新期待，推动文物保护的同时带动产业发展。</w:t>
      </w:r>
    </w:p>
    <w:p w14:paraId="396A020F">
      <w:pPr>
        <w:pStyle w:val="4"/>
        <w:rPr>
          <w:rFonts w:hint="eastAsia"/>
        </w:rPr>
      </w:pPr>
      <w:bookmarkStart w:id="109" w:name="_Toc381699"/>
      <w:r>
        <w:rPr>
          <w:rFonts w:hint="eastAsia"/>
        </w:rPr>
        <w:t>非物质文化遗产的保护传承</w:t>
      </w:r>
      <w:bookmarkEnd w:id="109"/>
    </w:p>
    <w:p w14:paraId="32DDBD43">
      <w:r>
        <w:t>以物质文化遗产为依托落实保护传承的空间，鼓励支持非物质文化遗产传习活动，推动非物质文化遗产有效传承。依托传承人、传承基地、学校、</w:t>
      </w:r>
      <w:r>
        <w:rPr>
          <w:rFonts w:hint="eastAsia"/>
        </w:rPr>
        <w:t>镇中心区</w:t>
      </w:r>
      <w:r>
        <w:t>广泛开展丰富多彩的非遗传承活动。</w:t>
      </w:r>
    </w:p>
    <w:p w14:paraId="30456007"/>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655"/>
        <w:gridCol w:w="1579"/>
        <w:gridCol w:w="2039"/>
        <w:gridCol w:w="1123"/>
        <w:gridCol w:w="645"/>
      </w:tblGrid>
      <w:tr w14:paraId="526C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4BEACF41">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序号</w:t>
            </w:r>
          </w:p>
        </w:tc>
        <w:tc>
          <w:tcPr>
            <w:tcW w:w="2655" w:type="dxa"/>
          </w:tcPr>
          <w:p w14:paraId="3CA40BF9">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名称</w:t>
            </w:r>
          </w:p>
        </w:tc>
        <w:tc>
          <w:tcPr>
            <w:tcW w:w="1579" w:type="dxa"/>
          </w:tcPr>
          <w:p w14:paraId="15781458">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行政辖区</w:t>
            </w:r>
          </w:p>
        </w:tc>
        <w:tc>
          <w:tcPr>
            <w:tcW w:w="2039" w:type="dxa"/>
          </w:tcPr>
          <w:p w14:paraId="4544B8F2">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级别</w:t>
            </w:r>
          </w:p>
        </w:tc>
        <w:tc>
          <w:tcPr>
            <w:tcW w:w="1123" w:type="dxa"/>
          </w:tcPr>
          <w:p w14:paraId="43F191D5">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类别</w:t>
            </w:r>
          </w:p>
        </w:tc>
        <w:tc>
          <w:tcPr>
            <w:tcW w:w="645" w:type="dxa"/>
          </w:tcPr>
          <w:p w14:paraId="53CB0669">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b/>
                <w:bCs/>
                <w:sz w:val="21"/>
                <w:lang w:bidi="zh-CN"/>
              </w:rPr>
              <w:t>备注</w:t>
            </w:r>
          </w:p>
        </w:tc>
      </w:tr>
      <w:tr w14:paraId="0753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14:paraId="7215ADBF">
            <w:pPr>
              <w:widowControl w:val="0"/>
              <w:adjustRightInd/>
              <w:snapToGrid/>
              <w:spacing w:line="240" w:lineRule="auto"/>
              <w:ind w:firstLine="0" w:firstLineChars="0"/>
              <w:jc w:val="center"/>
              <w:rPr>
                <w:rFonts w:ascii="仿宋" w:eastAsia="仿宋"/>
                <w:b/>
                <w:bCs/>
                <w:sz w:val="21"/>
                <w:lang w:bidi="zh-CN"/>
              </w:rPr>
            </w:pPr>
            <w:r>
              <w:rPr>
                <w:rFonts w:hint="eastAsia" w:ascii="仿宋" w:eastAsia="仿宋"/>
                <w:sz w:val="21"/>
                <w:lang w:bidi="zh-CN"/>
              </w:rPr>
              <w:t>1</w:t>
            </w:r>
          </w:p>
        </w:tc>
        <w:tc>
          <w:tcPr>
            <w:tcW w:w="2655" w:type="dxa"/>
            <w:vAlign w:val="center"/>
          </w:tcPr>
          <w:p w14:paraId="2F2A9A2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中共安东省委省政府办公旧址</w:t>
            </w:r>
          </w:p>
        </w:tc>
        <w:tc>
          <w:tcPr>
            <w:tcW w:w="1579" w:type="dxa"/>
            <w:vAlign w:val="center"/>
          </w:tcPr>
          <w:p w14:paraId="54DFDE8E">
            <w:pPr>
              <w:widowControl w:val="0"/>
              <w:adjustRightInd/>
              <w:snapToGrid/>
              <w:spacing w:line="240" w:lineRule="auto"/>
              <w:ind w:firstLine="0" w:firstLineChars="0"/>
              <w:jc w:val="center"/>
              <w:rPr>
                <w:rFonts w:ascii="仿宋" w:eastAsia="仿宋"/>
                <w:sz w:val="21"/>
                <w:szCs w:val="21"/>
              </w:rPr>
            </w:pPr>
          </w:p>
        </w:tc>
        <w:tc>
          <w:tcPr>
            <w:tcW w:w="2039" w:type="dxa"/>
            <w:vAlign w:val="center"/>
          </w:tcPr>
          <w:p w14:paraId="6EBC28D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省级文物保护单位</w:t>
            </w:r>
          </w:p>
        </w:tc>
        <w:tc>
          <w:tcPr>
            <w:tcW w:w="1123" w:type="dxa"/>
            <w:vAlign w:val="center"/>
          </w:tcPr>
          <w:p w14:paraId="65194A12">
            <w:pPr>
              <w:widowControl w:val="0"/>
              <w:adjustRightInd/>
              <w:snapToGrid/>
              <w:spacing w:line="240" w:lineRule="auto"/>
              <w:ind w:firstLine="0" w:firstLineChars="0"/>
              <w:jc w:val="center"/>
              <w:rPr>
                <w:rFonts w:ascii="仿宋" w:eastAsia="仿宋"/>
                <w:sz w:val="21"/>
                <w:szCs w:val="21"/>
              </w:rPr>
            </w:pPr>
          </w:p>
        </w:tc>
        <w:tc>
          <w:tcPr>
            <w:tcW w:w="645" w:type="dxa"/>
          </w:tcPr>
          <w:p w14:paraId="1AD28D44">
            <w:pPr>
              <w:widowControl w:val="0"/>
              <w:adjustRightInd/>
              <w:snapToGrid/>
              <w:spacing w:line="240" w:lineRule="auto"/>
              <w:ind w:firstLine="0" w:firstLineChars="0"/>
              <w:jc w:val="center"/>
              <w:rPr>
                <w:rFonts w:ascii="仿宋" w:eastAsia="仿宋"/>
                <w:b/>
                <w:bCs/>
                <w:sz w:val="21"/>
                <w:lang w:bidi="zh-CN"/>
              </w:rPr>
            </w:pPr>
          </w:p>
        </w:tc>
      </w:tr>
      <w:tr w14:paraId="4855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73D52AC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2655" w:type="dxa"/>
            <w:vAlign w:val="center"/>
          </w:tcPr>
          <w:p w14:paraId="2E047DA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牛鼻子遗址</w:t>
            </w:r>
          </w:p>
        </w:tc>
        <w:tc>
          <w:tcPr>
            <w:tcW w:w="1579" w:type="dxa"/>
            <w:vAlign w:val="center"/>
          </w:tcPr>
          <w:p w14:paraId="5CB248E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闹枝沟村</w:t>
            </w:r>
          </w:p>
        </w:tc>
        <w:tc>
          <w:tcPr>
            <w:tcW w:w="2039" w:type="dxa"/>
            <w:vAlign w:val="center"/>
          </w:tcPr>
          <w:p w14:paraId="35F4C7F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464BFABB">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5D779A3D">
            <w:pPr>
              <w:widowControl w:val="0"/>
              <w:adjustRightInd/>
              <w:snapToGrid/>
              <w:spacing w:line="240" w:lineRule="auto"/>
              <w:ind w:firstLine="0" w:firstLineChars="0"/>
              <w:jc w:val="center"/>
              <w:rPr>
                <w:rFonts w:ascii="仿宋" w:eastAsia="仿宋"/>
                <w:sz w:val="21"/>
                <w:szCs w:val="21"/>
              </w:rPr>
            </w:pPr>
          </w:p>
        </w:tc>
      </w:tr>
      <w:tr w14:paraId="0006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0BE58B7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2655" w:type="dxa"/>
            <w:vAlign w:val="center"/>
          </w:tcPr>
          <w:p w14:paraId="6EF71C0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北沟关隘</w:t>
            </w:r>
          </w:p>
        </w:tc>
        <w:tc>
          <w:tcPr>
            <w:tcW w:w="1579" w:type="dxa"/>
            <w:vAlign w:val="center"/>
          </w:tcPr>
          <w:p w14:paraId="5408C00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北沟村</w:t>
            </w:r>
          </w:p>
        </w:tc>
        <w:tc>
          <w:tcPr>
            <w:tcW w:w="2039" w:type="dxa"/>
            <w:vAlign w:val="center"/>
          </w:tcPr>
          <w:p w14:paraId="5D135F1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062499AF">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29FB2B70">
            <w:pPr>
              <w:widowControl w:val="0"/>
              <w:adjustRightInd/>
              <w:snapToGrid/>
              <w:spacing w:line="240" w:lineRule="auto"/>
              <w:ind w:firstLine="0" w:firstLineChars="0"/>
              <w:jc w:val="center"/>
              <w:rPr>
                <w:rFonts w:ascii="仿宋" w:eastAsia="仿宋"/>
                <w:sz w:val="21"/>
                <w:szCs w:val="21"/>
              </w:rPr>
            </w:pPr>
          </w:p>
        </w:tc>
      </w:tr>
      <w:tr w14:paraId="69EC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369A387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2655" w:type="dxa"/>
            <w:vAlign w:val="center"/>
          </w:tcPr>
          <w:p w14:paraId="2713451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城墙砬子山城</w:t>
            </w:r>
          </w:p>
        </w:tc>
        <w:tc>
          <w:tcPr>
            <w:tcW w:w="1579" w:type="dxa"/>
            <w:vAlign w:val="center"/>
          </w:tcPr>
          <w:p w14:paraId="2FDB931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下甸子村</w:t>
            </w:r>
          </w:p>
        </w:tc>
        <w:tc>
          <w:tcPr>
            <w:tcW w:w="2039" w:type="dxa"/>
            <w:vAlign w:val="center"/>
          </w:tcPr>
          <w:p w14:paraId="5FF65AC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5E55D412">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6D65AA21">
            <w:pPr>
              <w:widowControl w:val="0"/>
              <w:adjustRightInd/>
              <w:snapToGrid/>
              <w:spacing w:line="240" w:lineRule="auto"/>
              <w:ind w:firstLine="0" w:firstLineChars="0"/>
              <w:jc w:val="center"/>
              <w:rPr>
                <w:rFonts w:ascii="仿宋" w:eastAsia="仿宋"/>
                <w:sz w:val="21"/>
                <w:szCs w:val="21"/>
              </w:rPr>
            </w:pPr>
          </w:p>
        </w:tc>
      </w:tr>
      <w:tr w14:paraId="3269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4409A93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655" w:type="dxa"/>
            <w:vAlign w:val="center"/>
          </w:tcPr>
          <w:p w14:paraId="411B7DB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庙洞山东洞遗址</w:t>
            </w:r>
          </w:p>
        </w:tc>
        <w:tc>
          <w:tcPr>
            <w:tcW w:w="1579" w:type="dxa"/>
            <w:vAlign w:val="center"/>
          </w:tcPr>
          <w:p w14:paraId="3F62188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干沟子村</w:t>
            </w:r>
          </w:p>
        </w:tc>
        <w:tc>
          <w:tcPr>
            <w:tcW w:w="2039" w:type="dxa"/>
            <w:vAlign w:val="center"/>
          </w:tcPr>
          <w:p w14:paraId="6886558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38F96027">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1EC0DFFE">
            <w:pPr>
              <w:widowControl w:val="0"/>
              <w:adjustRightInd/>
              <w:snapToGrid/>
              <w:spacing w:line="240" w:lineRule="auto"/>
              <w:ind w:firstLine="0" w:firstLineChars="0"/>
              <w:jc w:val="center"/>
              <w:rPr>
                <w:rFonts w:ascii="仿宋" w:eastAsia="仿宋"/>
                <w:sz w:val="21"/>
                <w:szCs w:val="21"/>
              </w:rPr>
            </w:pPr>
          </w:p>
        </w:tc>
      </w:tr>
      <w:tr w14:paraId="7781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7409A69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655" w:type="dxa"/>
            <w:vAlign w:val="center"/>
          </w:tcPr>
          <w:p w14:paraId="5F03E7C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沙尖子侯家堡子战斗遗址</w:t>
            </w:r>
          </w:p>
        </w:tc>
        <w:tc>
          <w:tcPr>
            <w:tcW w:w="1579" w:type="dxa"/>
            <w:vAlign w:val="center"/>
          </w:tcPr>
          <w:p w14:paraId="1D9BB4C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下甸子村</w:t>
            </w:r>
          </w:p>
        </w:tc>
        <w:tc>
          <w:tcPr>
            <w:tcW w:w="2039" w:type="dxa"/>
            <w:vAlign w:val="center"/>
          </w:tcPr>
          <w:p w14:paraId="25B16E9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市级文物保护单位</w:t>
            </w:r>
          </w:p>
        </w:tc>
        <w:tc>
          <w:tcPr>
            <w:tcW w:w="1123" w:type="dxa"/>
            <w:vAlign w:val="center"/>
          </w:tcPr>
          <w:p w14:paraId="6F366DC0">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2E2E114F">
            <w:pPr>
              <w:widowControl w:val="0"/>
              <w:adjustRightInd/>
              <w:snapToGrid/>
              <w:spacing w:line="240" w:lineRule="auto"/>
              <w:ind w:firstLine="0" w:firstLineChars="0"/>
              <w:jc w:val="center"/>
              <w:rPr>
                <w:rFonts w:ascii="仿宋" w:eastAsia="仿宋"/>
                <w:sz w:val="21"/>
                <w:szCs w:val="21"/>
              </w:rPr>
            </w:pPr>
          </w:p>
        </w:tc>
      </w:tr>
      <w:tr w14:paraId="56AB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450F0DF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2655" w:type="dxa"/>
            <w:vAlign w:val="center"/>
          </w:tcPr>
          <w:p w14:paraId="530CC86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北沟抗联遗址（含溜地爬沟、老平坨遗址）</w:t>
            </w:r>
          </w:p>
        </w:tc>
        <w:tc>
          <w:tcPr>
            <w:tcW w:w="1579" w:type="dxa"/>
            <w:vAlign w:val="center"/>
          </w:tcPr>
          <w:p w14:paraId="756DAFF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北沟村</w:t>
            </w:r>
          </w:p>
        </w:tc>
        <w:tc>
          <w:tcPr>
            <w:tcW w:w="2039" w:type="dxa"/>
            <w:vAlign w:val="center"/>
          </w:tcPr>
          <w:p w14:paraId="4D6D746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县级文物保护单位</w:t>
            </w:r>
          </w:p>
        </w:tc>
        <w:tc>
          <w:tcPr>
            <w:tcW w:w="1123" w:type="dxa"/>
            <w:vAlign w:val="center"/>
          </w:tcPr>
          <w:p w14:paraId="4D715A70">
            <w:pPr>
              <w:widowControl w:val="0"/>
              <w:adjustRightInd/>
              <w:snapToGrid/>
              <w:spacing w:line="240" w:lineRule="auto"/>
              <w:ind w:firstLine="0" w:firstLineChars="0"/>
              <w:jc w:val="center"/>
              <w:rPr>
                <w:rFonts w:ascii="仿宋" w:eastAsia="仿宋"/>
                <w:sz w:val="21"/>
                <w:szCs w:val="21"/>
              </w:rPr>
            </w:pPr>
          </w:p>
        </w:tc>
        <w:tc>
          <w:tcPr>
            <w:tcW w:w="645" w:type="dxa"/>
            <w:vAlign w:val="center"/>
          </w:tcPr>
          <w:p w14:paraId="46518373">
            <w:pPr>
              <w:widowControl w:val="0"/>
              <w:adjustRightInd/>
              <w:snapToGrid/>
              <w:spacing w:line="240" w:lineRule="auto"/>
              <w:ind w:firstLine="0" w:firstLineChars="0"/>
              <w:jc w:val="center"/>
              <w:rPr>
                <w:rFonts w:ascii="仿宋" w:eastAsia="仿宋"/>
                <w:sz w:val="21"/>
                <w:szCs w:val="21"/>
              </w:rPr>
            </w:pPr>
          </w:p>
        </w:tc>
      </w:tr>
    </w:tbl>
    <w:p w14:paraId="0A66C3A1"/>
    <w:bookmarkEnd w:id="86"/>
    <w:p w14:paraId="7FB27593">
      <w:pPr>
        <w:pStyle w:val="2"/>
        <w:spacing w:after="360"/>
        <w:rPr>
          <w:rFonts w:hint="eastAsia"/>
        </w:rPr>
      </w:pPr>
      <w:bookmarkStart w:id="110" w:name="_Toc12006"/>
      <w:bookmarkStart w:id="111" w:name="_Toc12374"/>
      <w:bookmarkStart w:id="112" w:name="_Toc152937202"/>
      <w:bookmarkStart w:id="113" w:name="_Toc17983"/>
      <w:r>
        <w:rPr>
          <w:rFonts w:hint="eastAsia"/>
        </w:rPr>
        <w:t>第六章 镇村统筹发展</w:t>
      </w:r>
      <w:bookmarkEnd w:id="110"/>
      <w:bookmarkEnd w:id="111"/>
      <w:bookmarkEnd w:id="112"/>
      <w:bookmarkEnd w:id="113"/>
    </w:p>
    <w:p w14:paraId="7C55781E">
      <w:pPr>
        <w:pStyle w:val="3"/>
        <w:numPr>
          <w:ilvl w:val="0"/>
          <w:numId w:val="22"/>
        </w:numPr>
        <w:rPr>
          <w:rFonts w:ascii="Times New Roman" w:hAnsi="Times New Roman" w:cs="Times New Roman"/>
          <w:color w:val="auto"/>
        </w:rPr>
      </w:pPr>
      <w:bookmarkStart w:id="114" w:name="_Toc152937203"/>
      <w:bookmarkStart w:id="115" w:name="_Toc21680"/>
      <w:bookmarkStart w:id="116" w:name="_Toc12341"/>
      <w:bookmarkStart w:id="117" w:name="_Toc28979"/>
      <w:r>
        <w:rPr>
          <w:rFonts w:ascii="Times New Roman" w:hAnsi="Times New Roman" w:cs="Times New Roman"/>
          <w:color w:val="auto"/>
        </w:rPr>
        <w:t>镇村体系</w:t>
      </w:r>
      <w:r>
        <w:rPr>
          <w:rFonts w:hint="eastAsia" w:ascii="Times New Roman" w:hAnsi="Times New Roman" w:cs="Times New Roman"/>
          <w:color w:val="auto"/>
        </w:rPr>
        <w:t>规划</w:t>
      </w:r>
      <w:bookmarkEnd w:id="114"/>
      <w:bookmarkEnd w:id="115"/>
      <w:bookmarkEnd w:id="116"/>
      <w:bookmarkEnd w:id="117"/>
    </w:p>
    <w:p w14:paraId="75EE1081">
      <w:pPr>
        <w:pStyle w:val="4"/>
        <w:numPr>
          <w:ilvl w:val="0"/>
          <w:numId w:val="23"/>
        </w:numPr>
        <w:rPr>
          <w:rFonts w:hint="eastAsia"/>
        </w:rPr>
      </w:pPr>
      <w:r>
        <w:rPr>
          <w:rFonts w:hint="eastAsia"/>
        </w:rPr>
        <w:t>人口发展指引</w:t>
      </w:r>
    </w:p>
    <w:p w14:paraId="48FC1D93">
      <w:r>
        <w:t>顺应城镇化高质量发展和城镇化发展阶段特征，积极应对人口减少与老龄化现象。</w:t>
      </w:r>
      <w:r>
        <w:rPr>
          <w:rFonts w:hint="eastAsia"/>
        </w:rPr>
        <w:t>规划至2025年，沙尖子镇全域常住人口规模约16000人，镇中心区人口达到1800人。到2035年，沙尖子镇域常住人口规模约15000人，镇中心区人口达到2000人。镇中心区是未来沙尖子镇新型城镇化建设重点地区，将持续优化人口结构，提升城镇化质量。</w:t>
      </w:r>
    </w:p>
    <w:p w14:paraId="0B075BDC">
      <w:pPr>
        <w:pStyle w:val="4"/>
        <w:rPr>
          <w:rFonts w:hint="eastAsia"/>
        </w:rPr>
      </w:pPr>
      <w:r>
        <w:rPr>
          <w:rFonts w:hint="eastAsia"/>
        </w:rPr>
        <w:t>规模等级结构与职能分工</w:t>
      </w:r>
    </w:p>
    <w:p w14:paraId="345BB707">
      <w:bookmarkStart w:id="118" w:name="_Hlk131410109"/>
      <w:r>
        <w:rPr>
          <w:rFonts w:hint="eastAsia"/>
        </w:rPr>
        <w:t>基于沙尖子镇城镇化发展阶段特征，因地制宜推进形成区域一体、城乡融合的网络型城镇空间布局。规划</w:t>
      </w:r>
      <w:r>
        <w:t>形成</w:t>
      </w:r>
      <w:r>
        <w:rPr>
          <w:rFonts w:hint="eastAsia"/>
        </w:rPr>
        <w:t>“</w:t>
      </w:r>
      <w:r>
        <w:t>镇</w:t>
      </w:r>
      <w:r>
        <w:rPr>
          <w:rFonts w:hint="eastAsia"/>
        </w:rPr>
        <w:t>中心区－中心村－一般村”三</w:t>
      </w:r>
      <w:r>
        <w:t>级</w:t>
      </w:r>
      <w:r>
        <w:rPr>
          <w:rFonts w:hint="eastAsia"/>
        </w:rPr>
        <w:t>镇村</w:t>
      </w:r>
      <w:r>
        <w:t>体系</w:t>
      </w:r>
      <w:r>
        <w:rPr>
          <w:rFonts w:hint="eastAsia"/>
        </w:rPr>
        <w:t>，</w:t>
      </w:r>
      <w:bookmarkStart w:id="119" w:name="OLE_LINK34"/>
      <w:r>
        <w:rPr>
          <w:rFonts w:hint="eastAsia"/>
        </w:rPr>
        <w:t>形成“</w:t>
      </w:r>
      <w:r>
        <w:t>1+</w:t>
      </w:r>
      <w:r>
        <w:rPr>
          <w:rFonts w:hint="eastAsia"/>
        </w:rPr>
        <w:t>2</w:t>
      </w:r>
      <w:r>
        <w:t>+</w:t>
      </w:r>
      <w:r>
        <w:rPr>
          <w:rFonts w:hint="eastAsia"/>
        </w:rPr>
        <w:t>5</w:t>
      </w:r>
      <w:r>
        <w:t>”城镇体系结构，即1个</w:t>
      </w:r>
      <w:r>
        <w:rPr>
          <w:rFonts w:hint="eastAsia"/>
        </w:rPr>
        <w:t>镇中心区</w:t>
      </w:r>
      <w:r>
        <w:t>、</w:t>
      </w:r>
      <w:r>
        <w:rPr>
          <w:rFonts w:hint="eastAsia"/>
        </w:rPr>
        <w:t>2</w:t>
      </w:r>
      <w:r>
        <w:t>个</w:t>
      </w:r>
      <w:r>
        <w:rPr>
          <w:rFonts w:hint="eastAsia"/>
        </w:rPr>
        <w:t>中心村</w:t>
      </w:r>
      <w:r>
        <w:t>、</w:t>
      </w:r>
      <w:r>
        <w:rPr>
          <w:rFonts w:hint="eastAsia"/>
        </w:rPr>
        <w:t>5</w:t>
      </w:r>
      <w:r>
        <w:t>个一般</w:t>
      </w:r>
      <w:r>
        <w:rPr>
          <w:rFonts w:hint="eastAsia"/>
        </w:rPr>
        <w:t>村，</w:t>
      </w:r>
      <w:bookmarkEnd w:id="119"/>
      <w:r>
        <w:t>形成以</w:t>
      </w:r>
      <w:r>
        <w:rPr>
          <w:rFonts w:hint="eastAsia"/>
        </w:rPr>
        <w:t>镇中心区、中心村</w:t>
      </w:r>
      <w:r>
        <w:t>为依托，带动</w:t>
      </w:r>
      <w:r>
        <w:rPr>
          <w:rFonts w:hint="eastAsia"/>
        </w:rPr>
        <w:t>一般村</w:t>
      </w:r>
      <w:r>
        <w:t>的发展格局。</w:t>
      </w:r>
    </w:p>
    <w:p w14:paraId="3D89528C">
      <w:r>
        <w:rPr>
          <w:rFonts w:hint="eastAsia"/>
        </w:rPr>
        <w:t>镇中心区</w:t>
      </w:r>
      <w:r>
        <w:t>：</w:t>
      </w:r>
      <w:bookmarkStart w:id="120" w:name="_Hlk131007059"/>
      <w:r>
        <w:rPr>
          <w:rFonts w:hint="eastAsia"/>
        </w:rPr>
        <w:t>沙尖子镇镇政府驻地是城乡综合服务中心和产业聚集发展区，布置各类公共服务设施和基础设施，重点发展第三产业</w:t>
      </w:r>
      <w:r>
        <w:t>。</w:t>
      </w:r>
      <w:bookmarkEnd w:id="120"/>
    </w:p>
    <w:p w14:paraId="583097E1">
      <w:r>
        <w:rPr>
          <w:rFonts w:hint="eastAsia"/>
        </w:rPr>
        <w:t>中心村</w:t>
      </w:r>
      <w:r>
        <w:t>：</w:t>
      </w:r>
      <w:r>
        <w:rPr>
          <w:rFonts w:hint="eastAsia"/>
        </w:rPr>
        <w:t>闹枝沟村、沙尖子村是沙尖子镇副中心，促进人口集聚，预留产业发展空间，承担各片区农村的生产和生活综合服务功能</w:t>
      </w:r>
      <w:r>
        <w:t>。</w:t>
      </w:r>
    </w:p>
    <w:p w14:paraId="5B3F7677">
      <w:r>
        <w:rPr>
          <w:rFonts w:hint="eastAsia"/>
        </w:rPr>
        <w:t>一般村</w:t>
      </w:r>
      <w:bookmarkEnd w:id="118"/>
      <w:r>
        <w:rPr>
          <w:rFonts w:hint="eastAsia"/>
        </w:rPr>
        <w:t>：除中心村外，影壁山村、晓阳村、干沟子村、秋皮沟村、北沟村等定位为一般村，是农村生活、日常公共服务中心和专业化农业生产基地。</w:t>
      </w:r>
    </w:p>
    <w:p w14:paraId="2CB0AA5E">
      <w:pPr>
        <w:pStyle w:val="4"/>
        <w:rPr>
          <w:rFonts w:hint="eastAsia"/>
        </w:rPr>
      </w:pPr>
      <w:r>
        <w:rPr>
          <w:rFonts w:hint="eastAsia"/>
        </w:rPr>
        <w:t>合理控制村庄建设用地规模</w:t>
      </w:r>
    </w:p>
    <w:p w14:paraId="1084AAA6">
      <w:r>
        <w:rPr>
          <w:rFonts w:hint="eastAsia"/>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t>。</w:t>
      </w:r>
    </w:p>
    <w:p w14:paraId="4C935541">
      <w:pPr>
        <w:pStyle w:val="3"/>
        <w:numPr>
          <w:ilvl w:val="0"/>
          <w:numId w:val="22"/>
        </w:numPr>
        <w:rPr>
          <w:rFonts w:ascii="Times New Roman" w:hAnsi="Times New Roman" w:cs="Times New Roman"/>
          <w:color w:val="auto"/>
        </w:rPr>
      </w:pPr>
      <w:bookmarkStart w:id="121" w:name="_Toc17830"/>
      <w:bookmarkStart w:id="122" w:name="_Toc5274"/>
      <w:bookmarkStart w:id="123" w:name="_Toc27766"/>
      <w:r>
        <w:rPr>
          <w:rFonts w:ascii="Times New Roman" w:hAnsi="Times New Roman" w:cs="Times New Roman"/>
          <w:color w:val="auto"/>
        </w:rPr>
        <w:t>村庄</w:t>
      </w:r>
      <w:r>
        <w:rPr>
          <w:rFonts w:hint="eastAsia" w:ascii="Times New Roman" w:hAnsi="Times New Roman" w:cs="Times New Roman"/>
          <w:color w:val="auto"/>
        </w:rPr>
        <w:t>分类分型发展</w:t>
      </w:r>
      <w:bookmarkEnd w:id="121"/>
      <w:bookmarkEnd w:id="122"/>
      <w:bookmarkEnd w:id="123"/>
    </w:p>
    <w:p w14:paraId="4B3A8C3C">
      <w:pPr>
        <w:pStyle w:val="4"/>
        <w:numPr>
          <w:ilvl w:val="0"/>
          <w:numId w:val="24"/>
        </w:numPr>
        <w:rPr>
          <w:rFonts w:hint="eastAsia"/>
        </w:rPr>
      </w:pPr>
      <w:bookmarkStart w:id="124" w:name="_Toc152937204"/>
      <w:r>
        <w:rPr>
          <w:rFonts w:hint="eastAsia"/>
        </w:rPr>
        <w:t>村庄</w:t>
      </w:r>
      <w:bookmarkEnd w:id="124"/>
      <w:r>
        <w:rPr>
          <w:rFonts w:hint="eastAsia"/>
        </w:rPr>
        <w:t>分类</w:t>
      </w:r>
    </w:p>
    <w:p w14:paraId="2022A9AC">
      <w:r>
        <w:rPr>
          <w:rFonts w:hint="eastAsia"/>
        </w:rPr>
        <w:t>改善乡村人居环境，保护提升乡村风貌格局，顺应村庄发展规律和演变趋势，根据不同村庄的发展现状、区位条件、资源禀赋等，加强村庄发展的分类引导，分类推进乡村发展。按照《辽宁省村庄规划编制导则</w:t>
      </w:r>
      <w:r>
        <w:rPr>
          <w:rFonts w:hint="eastAsia" w:cs="仿宋_GB2312"/>
          <w:szCs w:val="32"/>
          <w:lang w:bidi="ar"/>
        </w:rPr>
        <w:t>（试行）</w:t>
      </w:r>
      <w:r>
        <w:rPr>
          <w:rFonts w:hint="eastAsia"/>
        </w:rPr>
        <w:t>》要求，将沙尖子镇8个行政村划分为集聚建设类、整治提升类、城郊融合类、特色保护类等四种类型，分类施策、统筹推进乡村建设。</w:t>
      </w:r>
    </w:p>
    <w:p w14:paraId="6CD3F716">
      <w:r>
        <w:rPr>
          <w:rFonts w:hint="eastAsia"/>
        </w:rPr>
        <w:t>集聚建设类村庄。规划确定闹枝沟村、沙尖子村为集聚建设类村庄。坚持保护优先、节约优先，配建补齐各类基础设施，加快人居环境整治，建设美丽宜居村庄。通过打造专业村庄，强化对周边村庄的辐射带动和示范作用，引导周边零散居民点向该类型村庄集聚。</w:t>
      </w:r>
    </w:p>
    <w:p w14:paraId="1ABAEB66">
      <w:r>
        <w:rPr>
          <w:rFonts w:hint="eastAsia"/>
        </w:rPr>
        <w:t>整治提升类村庄。规划确定影壁山村、晓阳村、干沟子村、秋皮沟村为整治提升类村庄。重点补齐村庄设施短板、强化村庄人居环境整治、保障村民合理建房需求、塑造乡村特色风貌，积极盘活存量用地。</w:t>
      </w:r>
    </w:p>
    <w:p w14:paraId="0FE56AD2">
      <w:r>
        <w:rPr>
          <w:rFonts w:hint="eastAsia"/>
        </w:rPr>
        <w:t>城郊融合类村庄。规划确定下甸子村为城郊融合类村庄。推动城乡产业融合发展、基础设施互联互通、公共服务设施共建共享，打造宜居、宜业、宜游的现代化村庄。鼓励工业企业与农业形成优势互补，共同打造从田间到餐桌的完整产业链。建设现代化的学校、医院、文化广场等公共服务设施，满足村民的基本需求。</w:t>
      </w:r>
    </w:p>
    <w:p w14:paraId="6F3FA7B1">
      <w:pPr>
        <w:rPr>
          <w:rFonts w:hint="eastAsia"/>
        </w:rPr>
      </w:pPr>
      <w:r>
        <w:rPr>
          <w:rFonts w:hint="eastAsia"/>
        </w:rPr>
        <w:t>特色保护类村庄。规划确定北沟村为特色保护类村庄。统筹保护、利用与发展的关系，努力保持村庄的完整性、真实性和延续性。切实保护村庄的传统选址、格局、风貌以及自然和田园景观等整体空间形态与环境。加快改善村庄基础设施和公共环境，合理利用村庄特色资源，发展乡村旅游和特色产业，形成特色资源保护与村庄发展的良性互促机制。</w:t>
      </w:r>
    </w:p>
    <w:p w14:paraId="581A0E5F">
      <w:pPr>
        <w:rPr>
          <w:rFonts w:hint="eastAsia"/>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201"/>
        <w:gridCol w:w="3892"/>
        <w:gridCol w:w="1374"/>
      </w:tblGrid>
      <w:tr w14:paraId="6268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1C95901B">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行政村类型</w:t>
            </w:r>
          </w:p>
        </w:tc>
        <w:tc>
          <w:tcPr>
            <w:tcW w:w="1201" w:type="dxa"/>
            <w:vAlign w:val="center"/>
          </w:tcPr>
          <w:p w14:paraId="4B7BF3E0">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数量</w:t>
            </w:r>
          </w:p>
        </w:tc>
        <w:tc>
          <w:tcPr>
            <w:tcW w:w="3892" w:type="dxa"/>
            <w:vAlign w:val="center"/>
          </w:tcPr>
          <w:p w14:paraId="0212EB0A">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名称</w:t>
            </w:r>
          </w:p>
        </w:tc>
        <w:tc>
          <w:tcPr>
            <w:tcW w:w="1374" w:type="dxa"/>
            <w:vAlign w:val="center"/>
          </w:tcPr>
          <w:p w14:paraId="53ABA0EC">
            <w:pPr>
              <w:widowControl w:val="0"/>
              <w:tabs>
                <w:tab w:val="left" w:pos="360"/>
              </w:tabs>
              <w:adjustRightInd/>
              <w:spacing w:line="240" w:lineRule="atLeast"/>
              <w:ind w:firstLine="0" w:firstLineChars="0"/>
              <w:jc w:val="center"/>
              <w:textAlignment w:val="baseline"/>
              <w:rPr>
                <w:b/>
                <w:kern w:val="21"/>
                <w:sz w:val="20"/>
                <w:szCs w:val="21"/>
              </w:rPr>
            </w:pPr>
            <w:r>
              <w:rPr>
                <w:rFonts w:hint="eastAsia"/>
                <w:b/>
                <w:kern w:val="21"/>
                <w:sz w:val="20"/>
                <w:szCs w:val="21"/>
              </w:rPr>
              <w:t>备注</w:t>
            </w:r>
          </w:p>
        </w:tc>
      </w:tr>
      <w:tr w14:paraId="112A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382EBE92">
            <w:pPr>
              <w:widowControl w:val="0"/>
              <w:tabs>
                <w:tab w:val="left" w:pos="360"/>
              </w:tabs>
              <w:adjustRightInd/>
              <w:spacing w:line="240" w:lineRule="atLeast"/>
              <w:ind w:firstLine="0" w:firstLineChars="0"/>
              <w:jc w:val="center"/>
              <w:textAlignment w:val="baseline"/>
              <w:rPr>
                <w:bCs/>
                <w:kern w:val="21"/>
                <w:sz w:val="20"/>
                <w:szCs w:val="21"/>
              </w:rPr>
            </w:pPr>
            <w:r>
              <w:rPr>
                <w:rFonts w:hint="eastAsia"/>
                <w:bCs/>
                <w:kern w:val="21"/>
                <w:sz w:val="20"/>
                <w:szCs w:val="21"/>
              </w:rPr>
              <w:t>城郊融合类</w:t>
            </w:r>
          </w:p>
        </w:tc>
        <w:tc>
          <w:tcPr>
            <w:tcW w:w="1201" w:type="dxa"/>
            <w:vAlign w:val="center"/>
          </w:tcPr>
          <w:p w14:paraId="69C5A45B">
            <w:pPr>
              <w:widowControl w:val="0"/>
              <w:tabs>
                <w:tab w:val="left" w:pos="360"/>
              </w:tabs>
              <w:adjustRightInd/>
              <w:spacing w:line="240" w:lineRule="atLeast"/>
              <w:ind w:firstLine="0" w:firstLineChars="0"/>
              <w:jc w:val="center"/>
              <w:textAlignment w:val="baseline"/>
              <w:rPr>
                <w:bCs/>
                <w:kern w:val="21"/>
                <w:sz w:val="20"/>
                <w:szCs w:val="21"/>
              </w:rPr>
            </w:pPr>
            <w:r>
              <w:rPr>
                <w:rFonts w:hint="eastAsia"/>
                <w:bCs/>
                <w:kern w:val="21"/>
                <w:sz w:val="20"/>
                <w:szCs w:val="21"/>
              </w:rPr>
              <w:t>1</w:t>
            </w:r>
          </w:p>
        </w:tc>
        <w:tc>
          <w:tcPr>
            <w:tcW w:w="3892" w:type="dxa"/>
            <w:vAlign w:val="center"/>
          </w:tcPr>
          <w:p w14:paraId="7CA4166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下甸子村</w:t>
            </w:r>
          </w:p>
        </w:tc>
        <w:tc>
          <w:tcPr>
            <w:tcW w:w="1374" w:type="dxa"/>
            <w:vAlign w:val="center"/>
          </w:tcPr>
          <w:p w14:paraId="1F968E94">
            <w:pPr>
              <w:widowControl w:val="0"/>
              <w:tabs>
                <w:tab w:val="left" w:pos="360"/>
              </w:tabs>
              <w:adjustRightInd/>
              <w:spacing w:line="240" w:lineRule="atLeast"/>
              <w:ind w:firstLine="0" w:firstLineChars="0"/>
              <w:jc w:val="center"/>
              <w:textAlignment w:val="baseline"/>
              <w:rPr>
                <w:b/>
                <w:kern w:val="21"/>
                <w:sz w:val="20"/>
                <w:szCs w:val="21"/>
              </w:rPr>
            </w:pPr>
          </w:p>
        </w:tc>
      </w:tr>
      <w:tr w14:paraId="50F5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331" w:type="dxa"/>
            <w:vMerge w:val="restart"/>
            <w:vAlign w:val="center"/>
          </w:tcPr>
          <w:p w14:paraId="77F799D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集聚建设类</w:t>
            </w:r>
          </w:p>
        </w:tc>
        <w:tc>
          <w:tcPr>
            <w:tcW w:w="1201" w:type="dxa"/>
            <w:vMerge w:val="restart"/>
            <w:vAlign w:val="center"/>
          </w:tcPr>
          <w:p w14:paraId="031BB47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3892" w:type="dxa"/>
            <w:vAlign w:val="center"/>
          </w:tcPr>
          <w:p w14:paraId="7B963B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闹枝沟村</w:t>
            </w:r>
          </w:p>
        </w:tc>
        <w:tc>
          <w:tcPr>
            <w:tcW w:w="1374" w:type="dxa"/>
            <w:vAlign w:val="center"/>
          </w:tcPr>
          <w:p w14:paraId="6B69D5F6">
            <w:pPr>
              <w:widowControl w:val="0"/>
              <w:adjustRightInd/>
              <w:snapToGrid/>
              <w:spacing w:line="240" w:lineRule="auto"/>
              <w:ind w:firstLine="0" w:firstLineChars="0"/>
              <w:jc w:val="center"/>
              <w:rPr>
                <w:rFonts w:ascii="仿宋" w:eastAsia="仿宋"/>
                <w:sz w:val="21"/>
                <w:szCs w:val="21"/>
              </w:rPr>
            </w:pPr>
          </w:p>
        </w:tc>
      </w:tr>
      <w:tr w14:paraId="132B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331" w:type="dxa"/>
            <w:vMerge w:val="continue"/>
            <w:vAlign w:val="center"/>
          </w:tcPr>
          <w:p w14:paraId="63111A22">
            <w:pPr>
              <w:widowControl w:val="0"/>
              <w:adjustRightInd/>
              <w:snapToGrid/>
              <w:spacing w:line="240" w:lineRule="auto"/>
              <w:ind w:firstLine="0" w:firstLineChars="0"/>
              <w:jc w:val="center"/>
              <w:rPr>
                <w:rFonts w:ascii="仿宋" w:eastAsia="仿宋"/>
                <w:sz w:val="21"/>
                <w:szCs w:val="21"/>
              </w:rPr>
            </w:pPr>
          </w:p>
        </w:tc>
        <w:tc>
          <w:tcPr>
            <w:tcW w:w="1201" w:type="dxa"/>
            <w:vMerge w:val="continue"/>
            <w:vAlign w:val="center"/>
          </w:tcPr>
          <w:p w14:paraId="661F11F2">
            <w:pPr>
              <w:widowControl w:val="0"/>
              <w:adjustRightInd/>
              <w:snapToGrid/>
              <w:spacing w:line="240" w:lineRule="auto"/>
              <w:ind w:firstLine="0" w:firstLineChars="0"/>
              <w:jc w:val="center"/>
              <w:rPr>
                <w:rFonts w:ascii="仿宋" w:eastAsia="仿宋"/>
                <w:sz w:val="21"/>
                <w:szCs w:val="21"/>
              </w:rPr>
            </w:pPr>
          </w:p>
        </w:tc>
        <w:tc>
          <w:tcPr>
            <w:tcW w:w="3892" w:type="dxa"/>
            <w:vAlign w:val="center"/>
          </w:tcPr>
          <w:p w14:paraId="1616A12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沙尖子村</w:t>
            </w:r>
          </w:p>
        </w:tc>
        <w:tc>
          <w:tcPr>
            <w:tcW w:w="1374" w:type="dxa"/>
            <w:vAlign w:val="center"/>
          </w:tcPr>
          <w:p w14:paraId="74D61888">
            <w:pPr>
              <w:widowControl w:val="0"/>
              <w:adjustRightInd/>
              <w:snapToGrid/>
              <w:spacing w:line="240" w:lineRule="auto"/>
              <w:ind w:firstLine="0" w:firstLineChars="0"/>
              <w:jc w:val="center"/>
              <w:rPr>
                <w:rFonts w:ascii="仿宋" w:eastAsia="仿宋"/>
                <w:sz w:val="21"/>
                <w:szCs w:val="21"/>
              </w:rPr>
            </w:pPr>
          </w:p>
        </w:tc>
      </w:tr>
      <w:tr w14:paraId="1304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restart"/>
            <w:vAlign w:val="center"/>
          </w:tcPr>
          <w:p w14:paraId="3E9B30C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整治提升类</w:t>
            </w:r>
          </w:p>
        </w:tc>
        <w:tc>
          <w:tcPr>
            <w:tcW w:w="1201" w:type="dxa"/>
            <w:vMerge w:val="restart"/>
            <w:vAlign w:val="center"/>
          </w:tcPr>
          <w:p w14:paraId="0B433C8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3892" w:type="dxa"/>
            <w:vAlign w:val="center"/>
          </w:tcPr>
          <w:p w14:paraId="1F058639">
            <w:pPr>
              <w:pStyle w:val="18"/>
              <w:jc w:val="center"/>
              <w:rPr>
                <w:rFonts w:ascii="仿宋" w:hAnsi="Times New Roman" w:eastAsia="仿宋" w:cs="Times New Roman"/>
                <w:kern w:val="2"/>
                <w:sz w:val="21"/>
                <w:szCs w:val="21"/>
              </w:rPr>
            </w:pPr>
            <w:r>
              <w:rPr>
                <w:rFonts w:hint="eastAsia" w:ascii="仿宋" w:hAnsi="Times New Roman" w:eastAsia="仿宋" w:cs="Times New Roman"/>
                <w:kern w:val="2"/>
                <w:sz w:val="21"/>
                <w:szCs w:val="21"/>
              </w:rPr>
              <w:t>影壁山村</w:t>
            </w:r>
          </w:p>
        </w:tc>
        <w:tc>
          <w:tcPr>
            <w:tcW w:w="1374" w:type="dxa"/>
            <w:vAlign w:val="center"/>
          </w:tcPr>
          <w:p w14:paraId="0D589374">
            <w:pPr>
              <w:widowControl w:val="0"/>
              <w:adjustRightInd/>
              <w:snapToGrid/>
              <w:spacing w:line="240" w:lineRule="auto"/>
              <w:ind w:firstLine="0" w:firstLineChars="0"/>
              <w:jc w:val="center"/>
              <w:rPr>
                <w:rFonts w:ascii="仿宋" w:eastAsia="仿宋"/>
                <w:sz w:val="21"/>
                <w:szCs w:val="21"/>
              </w:rPr>
            </w:pPr>
          </w:p>
        </w:tc>
      </w:tr>
      <w:tr w14:paraId="6502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7B44C6CF">
            <w:pPr>
              <w:widowControl w:val="0"/>
              <w:adjustRightInd/>
              <w:snapToGrid/>
              <w:spacing w:line="240" w:lineRule="auto"/>
              <w:ind w:firstLine="0" w:firstLineChars="0"/>
              <w:jc w:val="center"/>
              <w:rPr>
                <w:rFonts w:ascii="仿宋" w:eastAsia="仿宋"/>
                <w:sz w:val="21"/>
                <w:szCs w:val="21"/>
              </w:rPr>
            </w:pPr>
          </w:p>
        </w:tc>
        <w:tc>
          <w:tcPr>
            <w:tcW w:w="1201" w:type="dxa"/>
            <w:vMerge w:val="continue"/>
            <w:vAlign w:val="center"/>
          </w:tcPr>
          <w:p w14:paraId="00B72325">
            <w:pPr>
              <w:widowControl w:val="0"/>
              <w:adjustRightInd/>
              <w:snapToGrid/>
              <w:spacing w:line="240" w:lineRule="auto"/>
              <w:ind w:firstLine="0" w:firstLineChars="0"/>
              <w:jc w:val="center"/>
              <w:rPr>
                <w:rFonts w:ascii="仿宋" w:eastAsia="仿宋"/>
                <w:sz w:val="21"/>
                <w:szCs w:val="21"/>
              </w:rPr>
            </w:pPr>
          </w:p>
        </w:tc>
        <w:tc>
          <w:tcPr>
            <w:tcW w:w="3892" w:type="dxa"/>
            <w:vAlign w:val="bottom"/>
          </w:tcPr>
          <w:p w14:paraId="0DC9DB67">
            <w:pPr>
              <w:pStyle w:val="18"/>
              <w:jc w:val="center"/>
              <w:rPr>
                <w:rFonts w:ascii="仿宋" w:hAnsi="Times New Roman" w:eastAsia="仿宋" w:cs="Times New Roman"/>
                <w:kern w:val="2"/>
                <w:sz w:val="21"/>
                <w:szCs w:val="21"/>
              </w:rPr>
            </w:pPr>
            <w:r>
              <w:rPr>
                <w:rFonts w:hint="eastAsia" w:ascii="仿宋" w:hAnsi="Times New Roman" w:eastAsia="仿宋" w:cs="Times New Roman"/>
                <w:kern w:val="2"/>
                <w:sz w:val="21"/>
                <w:szCs w:val="21"/>
              </w:rPr>
              <w:t>晓阳村</w:t>
            </w:r>
          </w:p>
        </w:tc>
        <w:tc>
          <w:tcPr>
            <w:tcW w:w="1374" w:type="dxa"/>
            <w:vAlign w:val="center"/>
          </w:tcPr>
          <w:p w14:paraId="5DCD83C6">
            <w:pPr>
              <w:widowControl w:val="0"/>
              <w:adjustRightInd/>
              <w:snapToGrid/>
              <w:spacing w:line="240" w:lineRule="auto"/>
              <w:ind w:firstLine="0" w:firstLineChars="0"/>
              <w:jc w:val="center"/>
              <w:rPr>
                <w:rFonts w:ascii="仿宋" w:eastAsia="仿宋"/>
                <w:sz w:val="21"/>
                <w:szCs w:val="21"/>
              </w:rPr>
            </w:pPr>
          </w:p>
        </w:tc>
      </w:tr>
      <w:tr w14:paraId="08DF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71BC4257">
            <w:pPr>
              <w:widowControl w:val="0"/>
              <w:adjustRightInd/>
              <w:snapToGrid/>
              <w:spacing w:line="240" w:lineRule="auto"/>
              <w:ind w:firstLine="0" w:firstLineChars="0"/>
              <w:jc w:val="center"/>
              <w:rPr>
                <w:rFonts w:ascii="仿宋" w:eastAsia="仿宋"/>
                <w:sz w:val="21"/>
                <w:szCs w:val="21"/>
              </w:rPr>
            </w:pPr>
          </w:p>
        </w:tc>
        <w:tc>
          <w:tcPr>
            <w:tcW w:w="1201" w:type="dxa"/>
            <w:vMerge w:val="continue"/>
            <w:vAlign w:val="center"/>
          </w:tcPr>
          <w:p w14:paraId="0B90063E">
            <w:pPr>
              <w:widowControl w:val="0"/>
              <w:adjustRightInd/>
              <w:snapToGrid/>
              <w:spacing w:line="240" w:lineRule="auto"/>
              <w:ind w:firstLine="0" w:firstLineChars="0"/>
              <w:jc w:val="center"/>
              <w:rPr>
                <w:rFonts w:ascii="仿宋" w:eastAsia="仿宋"/>
                <w:sz w:val="21"/>
                <w:szCs w:val="21"/>
              </w:rPr>
            </w:pPr>
          </w:p>
        </w:tc>
        <w:tc>
          <w:tcPr>
            <w:tcW w:w="3892" w:type="dxa"/>
            <w:vAlign w:val="bottom"/>
          </w:tcPr>
          <w:p w14:paraId="655BDB34">
            <w:pPr>
              <w:pStyle w:val="18"/>
              <w:jc w:val="center"/>
              <w:rPr>
                <w:rFonts w:ascii="仿宋" w:hAnsi="Times New Roman" w:eastAsia="仿宋" w:cs="Times New Roman"/>
                <w:kern w:val="2"/>
                <w:sz w:val="21"/>
                <w:szCs w:val="21"/>
              </w:rPr>
            </w:pPr>
            <w:r>
              <w:rPr>
                <w:rFonts w:hint="eastAsia" w:ascii="仿宋" w:hAnsi="Times New Roman" w:eastAsia="仿宋" w:cs="Times New Roman"/>
                <w:kern w:val="2"/>
                <w:sz w:val="21"/>
                <w:szCs w:val="21"/>
              </w:rPr>
              <w:t>干沟子村</w:t>
            </w:r>
          </w:p>
        </w:tc>
        <w:tc>
          <w:tcPr>
            <w:tcW w:w="1374" w:type="dxa"/>
            <w:vAlign w:val="center"/>
          </w:tcPr>
          <w:p w14:paraId="038186F4">
            <w:pPr>
              <w:widowControl w:val="0"/>
              <w:adjustRightInd/>
              <w:snapToGrid/>
              <w:spacing w:line="240" w:lineRule="auto"/>
              <w:ind w:firstLine="0" w:firstLineChars="0"/>
              <w:jc w:val="center"/>
              <w:rPr>
                <w:rFonts w:ascii="仿宋" w:eastAsia="仿宋"/>
                <w:sz w:val="21"/>
                <w:szCs w:val="21"/>
              </w:rPr>
            </w:pPr>
          </w:p>
        </w:tc>
      </w:tr>
      <w:tr w14:paraId="2169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4EDB36E2">
            <w:pPr>
              <w:widowControl w:val="0"/>
              <w:adjustRightInd/>
              <w:snapToGrid/>
              <w:spacing w:line="240" w:lineRule="auto"/>
              <w:ind w:firstLine="0" w:firstLineChars="0"/>
              <w:jc w:val="center"/>
              <w:rPr>
                <w:rFonts w:ascii="仿宋" w:eastAsia="仿宋"/>
                <w:sz w:val="21"/>
                <w:szCs w:val="21"/>
              </w:rPr>
            </w:pPr>
          </w:p>
        </w:tc>
        <w:tc>
          <w:tcPr>
            <w:tcW w:w="1201" w:type="dxa"/>
            <w:vMerge w:val="continue"/>
            <w:vAlign w:val="center"/>
          </w:tcPr>
          <w:p w14:paraId="77D85134">
            <w:pPr>
              <w:widowControl w:val="0"/>
              <w:adjustRightInd/>
              <w:snapToGrid/>
              <w:spacing w:line="240" w:lineRule="auto"/>
              <w:ind w:firstLine="0" w:firstLineChars="0"/>
              <w:jc w:val="center"/>
              <w:rPr>
                <w:rFonts w:ascii="仿宋" w:eastAsia="仿宋"/>
                <w:sz w:val="21"/>
                <w:szCs w:val="21"/>
              </w:rPr>
            </w:pPr>
          </w:p>
        </w:tc>
        <w:tc>
          <w:tcPr>
            <w:tcW w:w="3892" w:type="dxa"/>
            <w:vAlign w:val="bottom"/>
          </w:tcPr>
          <w:p w14:paraId="0F876A74">
            <w:pPr>
              <w:pStyle w:val="18"/>
              <w:jc w:val="center"/>
              <w:rPr>
                <w:rFonts w:ascii="仿宋" w:hAnsi="Times New Roman" w:eastAsia="仿宋" w:cs="Times New Roman"/>
                <w:kern w:val="2"/>
                <w:sz w:val="21"/>
                <w:szCs w:val="21"/>
              </w:rPr>
            </w:pPr>
            <w:r>
              <w:rPr>
                <w:rFonts w:hint="eastAsia" w:ascii="仿宋" w:hAnsi="Times New Roman" w:eastAsia="仿宋" w:cs="Times New Roman"/>
                <w:kern w:val="2"/>
                <w:sz w:val="21"/>
                <w:szCs w:val="21"/>
              </w:rPr>
              <w:t>秋皮沟村</w:t>
            </w:r>
          </w:p>
        </w:tc>
        <w:tc>
          <w:tcPr>
            <w:tcW w:w="1374" w:type="dxa"/>
            <w:vAlign w:val="center"/>
          </w:tcPr>
          <w:p w14:paraId="079B593B">
            <w:pPr>
              <w:widowControl w:val="0"/>
              <w:adjustRightInd/>
              <w:snapToGrid/>
              <w:spacing w:line="240" w:lineRule="auto"/>
              <w:ind w:firstLine="0" w:firstLineChars="0"/>
              <w:jc w:val="center"/>
              <w:rPr>
                <w:rFonts w:ascii="仿宋" w:eastAsia="仿宋"/>
                <w:sz w:val="21"/>
                <w:szCs w:val="21"/>
              </w:rPr>
            </w:pPr>
          </w:p>
        </w:tc>
      </w:tr>
      <w:tr w14:paraId="1AB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21C41F5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特色保护类</w:t>
            </w:r>
          </w:p>
        </w:tc>
        <w:tc>
          <w:tcPr>
            <w:tcW w:w="1201" w:type="dxa"/>
            <w:vAlign w:val="center"/>
          </w:tcPr>
          <w:p w14:paraId="352D7EE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3892" w:type="dxa"/>
            <w:vAlign w:val="bottom"/>
          </w:tcPr>
          <w:p w14:paraId="45BBEE86">
            <w:pPr>
              <w:pStyle w:val="18"/>
              <w:jc w:val="center"/>
              <w:rPr>
                <w:rFonts w:ascii="仿宋" w:hAnsi="Times New Roman" w:eastAsia="仿宋" w:cs="Times New Roman"/>
                <w:kern w:val="2"/>
                <w:sz w:val="21"/>
                <w:szCs w:val="21"/>
              </w:rPr>
            </w:pPr>
            <w:r>
              <w:rPr>
                <w:rFonts w:hint="eastAsia" w:ascii="仿宋" w:hAnsi="Times New Roman" w:eastAsia="仿宋" w:cs="Times New Roman"/>
                <w:kern w:val="2"/>
                <w:sz w:val="21"/>
                <w:szCs w:val="21"/>
              </w:rPr>
              <w:t>北沟村</w:t>
            </w:r>
          </w:p>
        </w:tc>
        <w:tc>
          <w:tcPr>
            <w:tcW w:w="1374" w:type="dxa"/>
            <w:vAlign w:val="center"/>
          </w:tcPr>
          <w:p w14:paraId="577D54CE">
            <w:pPr>
              <w:widowControl w:val="0"/>
              <w:adjustRightInd/>
              <w:snapToGrid/>
              <w:spacing w:line="240" w:lineRule="auto"/>
              <w:ind w:firstLine="0" w:firstLineChars="0"/>
              <w:jc w:val="center"/>
              <w:rPr>
                <w:rFonts w:ascii="仿宋" w:eastAsia="仿宋"/>
                <w:sz w:val="21"/>
                <w:szCs w:val="21"/>
              </w:rPr>
            </w:pPr>
          </w:p>
        </w:tc>
      </w:tr>
    </w:tbl>
    <w:p w14:paraId="356FDC04">
      <w:pPr>
        <w:rPr>
          <w:rFonts w:hint="eastAsia"/>
        </w:rPr>
      </w:pPr>
    </w:p>
    <w:p w14:paraId="78113459">
      <w:pPr>
        <w:pStyle w:val="4"/>
        <w:rPr>
          <w:rFonts w:hint="eastAsia"/>
        </w:rPr>
      </w:pPr>
      <w:r>
        <w:rPr>
          <w:rFonts w:hint="eastAsia"/>
        </w:rPr>
        <w:t>居民点分型</w:t>
      </w:r>
    </w:p>
    <w:p w14:paraId="47122EB2">
      <w:r>
        <w:rPr>
          <w:rFonts w:hint="eastAsia"/>
        </w:rPr>
        <w:t>居民点分型在尊重村民意愿的基础上，结合村庄建设用地规模、人口规模、产业发展、空心化程度等因素，将各行政村内的居民点分为“增量型、等量型”二种类型，作为村庄规划用地管控及指标投放的依据。</w:t>
      </w:r>
    </w:p>
    <w:p w14:paraId="1F963FF4">
      <w:r>
        <w:rPr>
          <w:rFonts w:hint="eastAsia"/>
        </w:rPr>
        <w:t>增量型原则上是指有新增建设用地指标的中心村或其他自然村。该型自然村是村内一二三产业融合与人口集中安置的重要承载空间；是行政村内新增建设用地指标的主要投放空间；是行政村内增减挂钩流量指标调入区。</w:t>
      </w:r>
    </w:p>
    <w:p w14:paraId="62202C96">
      <w:pPr>
        <w:rPr>
          <w:rFonts w:hint="eastAsia"/>
        </w:rPr>
      </w:pPr>
      <w:r>
        <w:rPr>
          <w:rFonts w:hint="eastAsia"/>
        </w:rPr>
        <w:t>等量型原则上是指在自然村内部进行建设用地等量增减的村庄。该型自然村通过整理零散用地、盘活闲置低效用地、实施增减挂钩等方式，实现村庄用地布局优化和有机更新。</w:t>
      </w:r>
    </w:p>
    <w:p w14:paraId="4E1948C7">
      <w:pPr>
        <w:rPr>
          <w:rFonts w:hint="eastAsia"/>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1461"/>
        <w:gridCol w:w="2858"/>
        <w:gridCol w:w="1306"/>
        <w:gridCol w:w="1014"/>
      </w:tblGrid>
      <w:tr w14:paraId="0B28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Align w:val="center"/>
          </w:tcPr>
          <w:p w14:paraId="53960CF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序号</w:t>
            </w:r>
          </w:p>
        </w:tc>
        <w:tc>
          <w:tcPr>
            <w:tcW w:w="1461" w:type="dxa"/>
            <w:vAlign w:val="center"/>
          </w:tcPr>
          <w:p w14:paraId="10D6F33D">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村庄名称</w:t>
            </w:r>
          </w:p>
        </w:tc>
        <w:tc>
          <w:tcPr>
            <w:tcW w:w="2858" w:type="dxa"/>
            <w:vAlign w:val="center"/>
          </w:tcPr>
          <w:p w14:paraId="7B25EF8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自然村名称</w:t>
            </w:r>
          </w:p>
        </w:tc>
        <w:tc>
          <w:tcPr>
            <w:tcW w:w="1306" w:type="dxa"/>
            <w:vAlign w:val="center"/>
          </w:tcPr>
          <w:p w14:paraId="53ABD4C2">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分型</w:t>
            </w:r>
          </w:p>
        </w:tc>
        <w:tc>
          <w:tcPr>
            <w:tcW w:w="1014" w:type="dxa"/>
            <w:vAlign w:val="center"/>
          </w:tcPr>
          <w:p w14:paraId="5573B0C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3C61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6262AEC1">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1</w:t>
            </w:r>
          </w:p>
        </w:tc>
        <w:tc>
          <w:tcPr>
            <w:tcW w:w="1461" w:type="dxa"/>
            <w:vMerge w:val="restart"/>
            <w:vAlign w:val="center"/>
          </w:tcPr>
          <w:p w14:paraId="17026BA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下甸子村</w:t>
            </w:r>
          </w:p>
        </w:tc>
        <w:tc>
          <w:tcPr>
            <w:tcW w:w="2858" w:type="dxa"/>
            <w:vAlign w:val="bottom"/>
          </w:tcPr>
          <w:p w14:paraId="1F2118B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江岗</w:t>
            </w:r>
          </w:p>
        </w:tc>
        <w:tc>
          <w:tcPr>
            <w:tcW w:w="1306" w:type="dxa"/>
            <w:vAlign w:val="center"/>
          </w:tcPr>
          <w:p w14:paraId="4D417DB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7705AA5">
            <w:pPr>
              <w:widowControl w:val="0"/>
              <w:tabs>
                <w:tab w:val="left" w:pos="360"/>
              </w:tabs>
              <w:adjustRightInd/>
              <w:spacing w:line="240" w:lineRule="atLeast"/>
              <w:ind w:firstLine="0" w:firstLineChars="0"/>
              <w:jc w:val="center"/>
              <w:textAlignment w:val="baseline"/>
              <w:rPr>
                <w:kern w:val="21"/>
                <w:sz w:val="20"/>
                <w:szCs w:val="21"/>
              </w:rPr>
            </w:pPr>
          </w:p>
        </w:tc>
      </w:tr>
      <w:tr w14:paraId="483C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1F6FC3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6DB668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6A132E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烧锅沟</w:t>
            </w:r>
          </w:p>
        </w:tc>
        <w:tc>
          <w:tcPr>
            <w:tcW w:w="1306" w:type="dxa"/>
            <w:vAlign w:val="center"/>
          </w:tcPr>
          <w:p w14:paraId="0D4AAA7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7DDDEE5">
            <w:pPr>
              <w:widowControl w:val="0"/>
              <w:tabs>
                <w:tab w:val="left" w:pos="360"/>
              </w:tabs>
              <w:adjustRightInd/>
              <w:spacing w:line="240" w:lineRule="atLeast"/>
              <w:ind w:firstLine="0" w:firstLineChars="0"/>
              <w:jc w:val="center"/>
              <w:textAlignment w:val="baseline"/>
              <w:rPr>
                <w:kern w:val="21"/>
                <w:sz w:val="20"/>
                <w:szCs w:val="21"/>
              </w:rPr>
            </w:pPr>
          </w:p>
        </w:tc>
      </w:tr>
      <w:tr w14:paraId="7807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29AD0A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950230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C2244C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城墙砬子沟</w:t>
            </w:r>
          </w:p>
        </w:tc>
        <w:tc>
          <w:tcPr>
            <w:tcW w:w="1306" w:type="dxa"/>
            <w:vAlign w:val="center"/>
          </w:tcPr>
          <w:p w14:paraId="54ABEAA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31884B2">
            <w:pPr>
              <w:widowControl w:val="0"/>
              <w:tabs>
                <w:tab w:val="left" w:pos="360"/>
              </w:tabs>
              <w:adjustRightInd/>
              <w:spacing w:line="240" w:lineRule="atLeast"/>
              <w:ind w:firstLine="0" w:firstLineChars="0"/>
              <w:jc w:val="center"/>
              <w:textAlignment w:val="baseline"/>
              <w:rPr>
                <w:kern w:val="21"/>
                <w:sz w:val="20"/>
                <w:szCs w:val="21"/>
              </w:rPr>
            </w:pPr>
          </w:p>
        </w:tc>
      </w:tr>
      <w:tr w14:paraId="64A8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3BFF98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A523DE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0B5EDF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烧锅南沟</w:t>
            </w:r>
          </w:p>
        </w:tc>
        <w:tc>
          <w:tcPr>
            <w:tcW w:w="1306" w:type="dxa"/>
            <w:vAlign w:val="center"/>
          </w:tcPr>
          <w:p w14:paraId="581913B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7A9EE4B">
            <w:pPr>
              <w:widowControl w:val="0"/>
              <w:tabs>
                <w:tab w:val="left" w:pos="360"/>
              </w:tabs>
              <w:adjustRightInd/>
              <w:spacing w:line="240" w:lineRule="atLeast"/>
              <w:ind w:firstLine="0" w:firstLineChars="0"/>
              <w:jc w:val="center"/>
              <w:textAlignment w:val="baseline"/>
              <w:rPr>
                <w:kern w:val="21"/>
                <w:sz w:val="20"/>
                <w:szCs w:val="21"/>
              </w:rPr>
            </w:pPr>
          </w:p>
        </w:tc>
      </w:tr>
      <w:tr w14:paraId="556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F9CA1D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91E16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A020E9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新开岭沟</w:t>
            </w:r>
          </w:p>
        </w:tc>
        <w:tc>
          <w:tcPr>
            <w:tcW w:w="1306" w:type="dxa"/>
            <w:vAlign w:val="center"/>
          </w:tcPr>
          <w:p w14:paraId="23884A7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8087BE2">
            <w:pPr>
              <w:widowControl w:val="0"/>
              <w:tabs>
                <w:tab w:val="left" w:pos="360"/>
              </w:tabs>
              <w:adjustRightInd/>
              <w:spacing w:line="240" w:lineRule="atLeast"/>
              <w:ind w:firstLine="0" w:firstLineChars="0"/>
              <w:jc w:val="center"/>
              <w:textAlignment w:val="baseline"/>
              <w:rPr>
                <w:kern w:val="21"/>
                <w:sz w:val="20"/>
                <w:szCs w:val="21"/>
              </w:rPr>
            </w:pPr>
          </w:p>
        </w:tc>
      </w:tr>
      <w:tr w14:paraId="0C58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B9C6E2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E8CC0D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8B7441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王家堡子</w:t>
            </w:r>
          </w:p>
        </w:tc>
        <w:tc>
          <w:tcPr>
            <w:tcW w:w="1306" w:type="dxa"/>
            <w:vAlign w:val="center"/>
          </w:tcPr>
          <w:p w14:paraId="45CDC23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1D80215">
            <w:pPr>
              <w:widowControl w:val="0"/>
              <w:tabs>
                <w:tab w:val="left" w:pos="360"/>
              </w:tabs>
              <w:adjustRightInd/>
              <w:spacing w:line="240" w:lineRule="atLeast"/>
              <w:ind w:firstLine="0" w:firstLineChars="0"/>
              <w:jc w:val="center"/>
              <w:textAlignment w:val="baseline"/>
              <w:rPr>
                <w:kern w:val="21"/>
                <w:sz w:val="20"/>
                <w:szCs w:val="21"/>
              </w:rPr>
            </w:pPr>
          </w:p>
        </w:tc>
      </w:tr>
      <w:tr w14:paraId="5655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BF04D8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23DA07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7CABEE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下甸子村</w:t>
            </w:r>
          </w:p>
        </w:tc>
        <w:tc>
          <w:tcPr>
            <w:tcW w:w="1306" w:type="dxa"/>
            <w:vAlign w:val="center"/>
          </w:tcPr>
          <w:p w14:paraId="7EAB2FB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8777940">
            <w:pPr>
              <w:widowControl w:val="0"/>
              <w:tabs>
                <w:tab w:val="left" w:pos="360"/>
              </w:tabs>
              <w:adjustRightInd/>
              <w:spacing w:line="240" w:lineRule="atLeast"/>
              <w:ind w:firstLine="0" w:firstLineChars="0"/>
              <w:jc w:val="center"/>
              <w:textAlignment w:val="baseline"/>
              <w:rPr>
                <w:kern w:val="21"/>
                <w:sz w:val="20"/>
                <w:szCs w:val="21"/>
              </w:rPr>
            </w:pPr>
          </w:p>
        </w:tc>
      </w:tr>
      <w:tr w14:paraId="1A1A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119AAB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211724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16B3EA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侯家堡子</w:t>
            </w:r>
          </w:p>
        </w:tc>
        <w:tc>
          <w:tcPr>
            <w:tcW w:w="1306" w:type="dxa"/>
            <w:vAlign w:val="center"/>
          </w:tcPr>
          <w:p w14:paraId="35C610C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B404E8F">
            <w:pPr>
              <w:widowControl w:val="0"/>
              <w:tabs>
                <w:tab w:val="left" w:pos="360"/>
              </w:tabs>
              <w:adjustRightInd/>
              <w:spacing w:line="240" w:lineRule="atLeast"/>
              <w:ind w:firstLine="0" w:firstLineChars="0"/>
              <w:jc w:val="center"/>
              <w:textAlignment w:val="baseline"/>
              <w:rPr>
                <w:kern w:val="21"/>
                <w:sz w:val="20"/>
                <w:szCs w:val="21"/>
              </w:rPr>
            </w:pPr>
          </w:p>
        </w:tc>
      </w:tr>
      <w:tr w14:paraId="6631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74A7D5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B82644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301A1C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小五道阳岔</w:t>
            </w:r>
          </w:p>
        </w:tc>
        <w:tc>
          <w:tcPr>
            <w:tcW w:w="1306" w:type="dxa"/>
            <w:vAlign w:val="center"/>
          </w:tcPr>
          <w:p w14:paraId="4C12278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3BA18F9">
            <w:pPr>
              <w:widowControl w:val="0"/>
              <w:tabs>
                <w:tab w:val="left" w:pos="360"/>
              </w:tabs>
              <w:adjustRightInd/>
              <w:spacing w:line="240" w:lineRule="atLeast"/>
              <w:ind w:firstLine="0" w:firstLineChars="0"/>
              <w:jc w:val="center"/>
              <w:textAlignment w:val="baseline"/>
              <w:rPr>
                <w:kern w:val="21"/>
                <w:sz w:val="20"/>
                <w:szCs w:val="21"/>
              </w:rPr>
            </w:pPr>
          </w:p>
        </w:tc>
      </w:tr>
      <w:tr w14:paraId="2B1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E13DCB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50A61C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699BCD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下甸子六队</w:t>
            </w:r>
          </w:p>
        </w:tc>
        <w:tc>
          <w:tcPr>
            <w:tcW w:w="1306" w:type="dxa"/>
            <w:vAlign w:val="center"/>
          </w:tcPr>
          <w:p w14:paraId="4CC6DD0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973C557">
            <w:pPr>
              <w:widowControl w:val="0"/>
              <w:tabs>
                <w:tab w:val="left" w:pos="360"/>
              </w:tabs>
              <w:adjustRightInd/>
              <w:spacing w:line="240" w:lineRule="atLeast"/>
              <w:ind w:firstLine="0" w:firstLineChars="0"/>
              <w:jc w:val="center"/>
              <w:textAlignment w:val="baseline"/>
              <w:rPr>
                <w:kern w:val="21"/>
                <w:sz w:val="20"/>
                <w:szCs w:val="21"/>
              </w:rPr>
            </w:pPr>
          </w:p>
        </w:tc>
      </w:tr>
      <w:tr w14:paraId="7DF7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5CC85B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07C0C3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2E08C4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腰沟</w:t>
            </w:r>
          </w:p>
        </w:tc>
        <w:tc>
          <w:tcPr>
            <w:tcW w:w="1306" w:type="dxa"/>
            <w:vAlign w:val="center"/>
          </w:tcPr>
          <w:p w14:paraId="35095FA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2178AB5">
            <w:pPr>
              <w:widowControl w:val="0"/>
              <w:tabs>
                <w:tab w:val="left" w:pos="360"/>
              </w:tabs>
              <w:adjustRightInd/>
              <w:spacing w:line="240" w:lineRule="atLeast"/>
              <w:ind w:firstLine="0" w:firstLineChars="0"/>
              <w:jc w:val="center"/>
              <w:textAlignment w:val="baseline"/>
              <w:rPr>
                <w:kern w:val="21"/>
                <w:sz w:val="20"/>
                <w:szCs w:val="21"/>
              </w:rPr>
            </w:pPr>
          </w:p>
        </w:tc>
      </w:tr>
      <w:tr w14:paraId="05C6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0DDFF3A3">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2</w:t>
            </w:r>
          </w:p>
        </w:tc>
        <w:tc>
          <w:tcPr>
            <w:tcW w:w="1461" w:type="dxa"/>
            <w:vMerge w:val="restart"/>
            <w:vAlign w:val="center"/>
          </w:tcPr>
          <w:p w14:paraId="3181DCF7">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闹枝沟村</w:t>
            </w:r>
          </w:p>
        </w:tc>
        <w:tc>
          <w:tcPr>
            <w:tcW w:w="2858" w:type="dxa"/>
            <w:vAlign w:val="bottom"/>
          </w:tcPr>
          <w:p w14:paraId="0C57346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下地缸</w:t>
            </w:r>
          </w:p>
        </w:tc>
        <w:tc>
          <w:tcPr>
            <w:tcW w:w="1306" w:type="dxa"/>
            <w:vAlign w:val="center"/>
          </w:tcPr>
          <w:p w14:paraId="6C57327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7E3CC8C">
            <w:pPr>
              <w:widowControl w:val="0"/>
              <w:tabs>
                <w:tab w:val="left" w:pos="360"/>
              </w:tabs>
              <w:adjustRightInd/>
              <w:spacing w:line="240" w:lineRule="atLeast"/>
              <w:ind w:firstLine="0" w:firstLineChars="0"/>
              <w:jc w:val="center"/>
              <w:textAlignment w:val="baseline"/>
              <w:rPr>
                <w:kern w:val="21"/>
                <w:sz w:val="20"/>
                <w:szCs w:val="21"/>
              </w:rPr>
            </w:pPr>
          </w:p>
        </w:tc>
      </w:tr>
      <w:tr w14:paraId="3B38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928FDF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638C5A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714456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上地缸</w:t>
            </w:r>
          </w:p>
        </w:tc>
        <w:tc>
          <w:tcPr>
            <w:tcW w:w="1306" w:type="dxa"/>
            <w:vAlign w:val="center"/>
          </w:tcPr>
          <w:p w14:paraId="4311F6A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0B57C5D">
            <w:pPr>
              <w:widowControl w:val="0"/>
              <w:tabs>
                <w:tab w:val="left" w:pos="360"/>
              </w:tabs>
              <w:adjustRightInd/>
              <w:spacing w:line="240" w:lineRule="atLeast"/>
              <w:ind w:firstLine="0" w:firstLineChars="0"/>
              <w:jc w:val="center"/>
              <w:textAlignment w:val="baseline"/>
              <w:rPr>
                <w:kern w:val="21"/>
                <w:sz w:val="20"/>
                <w:szCs w:val="21"/>
              </w:rPr>
            </w:pPr>
          </w:p>
        </w:tc>
      </w:tr>
      <w:tr w14:paraId="1DF1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1263A2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EB582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34371D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双水洞西沟</w:t>
            </w:r>
          </w:p>
        </w:tc>
        <w:tc>
          <w:tcPr>
            <w:tcW w:w="1306" w:type="dxa"/>
            <w:vAlign w:val="center"/>
          </w:tcPr>
          <w:p w14:paraId="02F0815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4860491">
            <w:pPr>
              <w:widowControl w:val="0"/>
              <w:tabs>
                <w:tab w:val="left" w:pos="360"/>
              </w:tabs>
              <w:adjustRightInd/>
              <w:spacing w:line="240" w:lineRule="atLeast"/>
              <w:ind w:firstLine="0" w:firstLineChars="0"/>
              <w:jc w:val="center"/>
              <w:textAlignment w:val="baseline"/>
              <w:rPr>
                <w:kern w:val="21"/>
                <w:sz w:val="20"/>
                <w:szCs w:val="21"/>
              </w:rPr>
            </w:pPr>
          </w:p>
        </w:tc>
      </w:tr>
      <w:tr w14:paraId="5ED1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1CD093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7FD216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1FD0FD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牛鼻子</w:t>
            </w:r>
          </w:p>
        </w:tc>
        <w:tc>
          <w:tcPr>
            <w:tcW w:w="1306" w:type="dxa"/>
            <w:vAlign w:val="center"/>
          </w:tcPr>
          <w:p w14:paraId="6ECB32D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EEE5816">
            <w:pPr>
              <w:widowControl w:val="0"/>
              <w:tabs>
                <w:tab w:val="left" w:pos="360"/>
              </w:tabs>
              <w:adjustRightInd/>
              <w:spacing w:line="240" w:lineRule="atLeast"/>
              <w:ind w:firstLine="0" w:firstLineChars="0"/>
              <w:jc w:val="center"/>
              <w:textAlignment w:val="baseline"/>
              <w:rPr>
                <w:kern w:val="21"/>
                <w:sz w:val="20"/>
                <w:szCs w:val="21"/>
              </w:rPr>
            </w:pPr>
          </w:p>
        </w:tc>
      </w:tr>
      <w:tr w14:paraId="65F7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FFBADE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D477E9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A0BBCE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大院</w:t>
            </w:r>
          </w:p>
        </w:tc>
        <w:tc>
          <w:tcPr>
            <w:tcW w:w="1306" w:type="dxa"/>
            <w:vAlign w:val="center"/>
          </w:tcPr>
          <w:p w14:paraId="7CC3ABA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10528B8">
            <w:pPr>
              <w:widowControl w:val="0"/>
              <w:tabs>
                <w:tab w:val="left" w:pos="360"/>
              </w:tabs>
              <w:adjustRightInd/>
              <w:spacing w:line="240" w:lineRule="atLeast"/>
              <w:ind w:firstLine="0" w:firstLineChars="0"/>
              <w:jc w:val="center"/>
              <w:textAlignment w:val="baseline"/>
              <w:rPr>
                <w:kern w:val="21"/>
                <w:sz w:val="20"/>
                <w:szCs w:val="21"/>
              </w:rPr>
            </w:pPr>
          </w:p>
        </w:tc>
      </w:tr>
      <w:tr w14:paraId="6806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FC67F2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A2E2D8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1C11E3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大阳崴子</w:t>
            </w:r>
          </w:p>
        </w:tc>
        <w:tc>
          <w:tcPr>
            <w:tcW w:w="1306" w:type="dxa"/>
            <w:vAlign w:val="center"/>
          </w:tcPr>
          <w:p w14:paraId="286F50D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41ADCE0">
            <w:pPr>
              <w:widowControl w:val="0"/>
              <w:tabs>
                <w:tab w:val="left" w:pos="360"/>
              </w:tabs>
              <w:adjustRightInd/>
              <w:spacing w:line="240" w:lineRule="atLeast"/>
              <w:ind w:firstLine="0" w:firstLineChars="0"/>
              <w:jc w:val="center"/>
              <w:textAlignment w:val="baseline"/>
              <w:rPr>
                <w:kern w:val="21"/>
                <w:sz w:val="20"/>
                <w:szCs w:val="21"/>
              </w:rPr>
            </w:pPr>
          </w:p>
        </w:tc>
      </w:tr>
      <w:tr w14:paraId="79F1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B6B6C8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96DBB9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01FF1E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小北岔</w:t>
            </w:r>
          </w:p>
        </w:tc>
        <w:tc>
          <w:tcPr>
            <w:tcW w:w="1306" w:type="dxa"/>
            <w:vAlign w:val="center"/>
          </w:tcPr>
          <w:p w14:paraId="2E6100F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721CC26">
            <w:pPr>
              <w:widowControl w:val="0"/>
              <w:tabs>
                <w:tab w:val="left" w:pos="360"/>
              </w:tabs>
              <w:adjustRightInd/>
              <w:spacing w:line="240" w:lineRule="atLeast"/>
              <w:ind w:firstLine="0" w:firstLineChars="0"/>
              <w:jc w:val="center"/>
              <w:textAlignment w:val="baseline"/>
              <w:rPr>
                <w:kern w:val="21"/>
                <w:sz w:val="20"/>
                <w:szCs w:val="21"/>
              </w:rPr>
            </w:pPr>
          </w:p>
        </w:tc>
      </w:tr>
      <w:tr w14:paraId="1D3E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BD3DCB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7359F6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8B42F9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双水洞村</w:t>
            </w:r>
          </w:p>
        </w:tc>
        <w:tc>
          <w:tcPr>
            <w:tcW w:w="1306" w:type="dxa"/>
            <w:vAlign w:val="center"/>
          </w:tcPr>
          <w:p w14:paraId="27007B9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4415A36">
            <w:pPr>
              <w:widowControl w:val="0"/>
              <w:tabs>
                <w:tab w:val="left" w:pos="360"/>
              </w:tabs>
              <w:adjustRightInd/>
              <w:spacing w:line="240" w:lineRule="atLeast"/>
              <w:ind w:firstLine="0" w:firstLineChars="0"/>
              <w:jc w:val="center"/>
              <w:textAlignment w:val="baseline"/>
              <w:rPr>
                <w:kern w:val="21"/>
                <w:sz w:val="20"/>
                <w:szCs w:val="21"/>
              </w:rPr>
            </w:pPr>
          </w:p>
        </w:tc>
      </w:tr>
      <w:tr w14:paraId="0096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53EC18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EDD1D4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799D15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砬咀</w:t>
            </w:r>
          </w:p>
        </w:tc>
        <w:tc>
          <w:tcPr>
            <w:tcW w:w="1306" w:type="dxa"/>
            <w:vAlign w:val="center"/>
          </w:tcPr>
          <w:p w14:paraId="2D46AEC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C911998">
            <w:pPr>
              <w:widowControl w:val="0"/>
              <w:tabs>
                <w:tab w:val="left" w:pos="360"/>
              </w:tabs>
              <w:adjustRightInd/>
              <w:spacing w:line="240" w:lineRule="atLeast"/>
              <w:ind w:firstLine="0" w:firstLineChars="0"/>
              <w:jc w:val="center"/>
              <w:textAlignment w:val="baseline"/>
              <w:rPr>
                <w:kern w:val="21"/>
                <w:sz w:val="20"/>
                <w:szCs w:val="21"/>
              </w:rPr>
            </w:pPr>
          </w:p>
        </w:tc>
      </w:tr>
      <w:tr w14:paraId="75B1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38F1A0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514AAD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9E4749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后沟</w:t>
            </w:r>
          </w:p>
        </w:tc>
        <w:tc>
          <w:tcPr>
            <w:tcW w:w="1306" w:type="dxa"/>
            <w:vAlign w:val="center"/>
          </w:tcPr>
          <w:p w14:paraId="702566A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9139429">
            <w:pPr>
              <w:widowControl w:val="0"/>
              <w:tabs>
                <w:tab w:val="left" w:pos="360"/>
              </w:tabs>
              <w:adjustRightInd/>
              <w:spacing w:line="240" w:lineRule="atLeast"/>
              <w:ind w:firstLine="0" w:firstLineChars="0"/>
              <w:jc w:val="center"/>
              <w:textAlignment w:val="baseline"/>
              <w:rPr>
                <w:kern w:val="21"/>
                <w:sz w:val="20"/>
                <w:szCs w:val="21"/>
              </w:rPr>
            </w:pPr>
          </w:p>
        </w:tc>
      </w:tr>
      <w:tr w14:paraId="6032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0FAC13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422DA5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04BBDB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闹枝沟十队</w:t>
            </w:r>
          </w:p>
        </w:tc>
        <w:tc>
          <w:tcPr>
            <w:tcW w:w="1306" w:type="dxa"/>
            <w:vAlign w:val="center"/>
          </w:tcPr>
          <w:p w14:paraId="02A832A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9F7229A">
            <w:pPr>
              <w:widowControl w:val="0"/>
              <w:tabs>
                <w:tab w:val="left" w:pos="360"/>
              </w:tabs>
              <w:adjustRightInd/>
              <w:spacing w:line="240" w:lineRule="atLeast"/>
              <w:ind w:firstLine="0" w:firstLineChars="0"/>
              <w:jc w:val="center"/>
              <w:textAlignment w:val="baseline"/>
              <w:rPr>
                <w:kern w:val="21"/>
                <w:sz w:val="20"/>
                <w:szCs w:val="21"/>
              </w:rPr>
            </w:pPr>
          </w:p>
        </w:tc>
      </w:tr>
      <w:tr w14:paraId="0F33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89C32B9">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8A7E4F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DE04F5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闹枝沟十一队</w:t>
            </w:r>
          </w:p>
        </w:tc>
        <w:tc>
          <w:tcPr>
            <w:tcW w:w="1306" w:type="dxa"/>
            <w:vAlign w:val="center"/>
          </w:tcPr>
          <w:p w14:paraId="051F1FB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D49C28B">
            <w:pPr>
              <w:widowControl w:val="0"/>
              <w:tabs>
                <w:tab w:val="left" w:pos="360"/>
              </w:tabs>
              <w:adjustRightInd/>
              <w:spacing w:line="240" w:lineRule="atLeast"/>
              <w:ind w:firstLine="0" w:firstLineChars="0"/>
              <w:jc w:val="center"/>
              <w:textAlignment w:val="baseline"/>
              <w:rPr>
                <w:kern w:val="21"/>
                <w:sz w:val="20"/>
                <w:szCs w:val="21"/>
              </w:rPr>
            </w:pPr>
          </w:p>
        </w:tc>
      </w:tr>
      <w:tr w14:paraId="596E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7A2C11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D2954D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4BC113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北沟</w:t>
            </w:r>
          </w:p>
        </w:tc>
        <w:tc>
          <w:tcPr>
            <w:tcW w:w="1306" w:type="dxa"/>
            <w:vAlign w:val="center"/>
          </w:tcPr>
          <w:p w14:paraId="42DA294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F566959">
            <w:pPr>
              <w:widowControl w:val="0"/>
              <w:tabs>
                <w:tab w:val="left" w:pos="360"/>
              </w:tabs>
              <w:adjustRightInd/>
              <w:spacing w:line="240" w:lineRule="atLeast"/>
              <w:ind w:firstLine="0" w:firstLineChars="0"/>
              <w:jc w:val="center"/>
              <w:textAlignment w:val="baseline"/>
              <w:rPr>
                <w:kern w:val="21"/>
                <w:sz w:val="20"/>
                <w:szCs w:val="21"/>
              </w:rPr>
            </w:pPr>
          </w:p>
        </w:tc>
      </w:tr>
      <w:tr w14:paraId="2B7C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28D425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6D806E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BA9F3A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闹枝沟</w:t>
            </w:r>
          </w:p>
        </w:tc>
        <w:tc>
          <w:tcPr>
            <w:tcW w:w="1306" w:type="dxa"/>
            <w:vAlign w:val="center"/>
          </w:tcPr>
          <w:p w14:paraId="1E1CD2F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F8130BD">
            <w:pPr>
              <w:widowControl w:val="0"/>
              <w:tabs>
                <w:tab w:val="left" w:pos="360"/>
              </w:tabs>
              <w:adjustRightInd/>
              <w:spacing w:line="240" w:lineRule="atLeast"/>
              <w:ind w:firstLine="0" w:firstLineChars="0"/>
              <w:jc w:val="center"/>
              <w:textAlignment w:val="baseline"/>
              <w:rPr>
                <w:kern w:val="21"/>
                <w:sz w:val="20"/>
                <w:szCs w:val="21"/>
              </w:rPr>
            </w:pPr>
          </w:p>
        </w:tc>
      </w:tr>
      <w:tr w14:paraId="1268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E6029B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28C77D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CEA183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闹枝沟六队</w:t>
            </w:r>
          </w:p>
        </w:tc>
        <w:tc>
          <w:tcPr>
            <w:tcW w:w="1306" w:type="dxa"/>
            <w:vAlign w:val="center"/>
          </w:tcPr>
          <w:p w14:paraId="7A2622B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D189B3E">
            <w:pPr>
              <w:widowControl w:val="0"/>
              <w:tabs>
                <w:tab w:val="left" w:pos="360"/>
              </w:tabs>
              <w:adjustRightInd/>
              <w:spacing w:line="240" w:lineRule="atLeast"/>
              <w:ind w:firstLine="0" w:firstLineChars="0"/>
              <w:jc w:val="center"/>
              <w:textAlignment w:val="baseline"/>
              <w:rPr>
                <w:kern w:val="21"/>
                <w:sz w:val="20"/>
                <w:szCs w:val="21"/>
              </w:rPr>
            </w:pPr>
          </w:p>
        </w:tc>
      </w:tr>
      <w:tr w14:paraId="313D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431781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FA3FF4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197D3E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头道阳岔</w:t>
            </w:r>
          </w:p>
        </w:tc>
        <w:tc>
          <w:tcPr>
            <w:tcW w:w="1306" w:type="dxa"/>
            <w:vAlign w:val="center"/>
          </w:tcPr>
          <w:p w14:paraId="192FF8B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4BBFED">
            <w:pPr>
              <w:widowControl w:val="0"/>
              <w:tabs>
                <w:tab w:val="left" w:pos="360"/>
              </w:tabs>
              <w:adjustRightInd/>
              <w:spacing w:line="240" w:lineRule="atLeast"/>
              <w:ind w:firstLine="0" w:firstLineChars="0"/>
              <w:jc w:val="center"/>
              <w:textAlignment w:val="baseline"/>
              <w:rPr>
                <w:kern w:val="21"/>
                <w:sz w:val="20"/>
                <w:szCs w:val="21"/>
              </w:rPr>
            </w:pPr>
          </w:p>
        </w:tc>
      </w:tr>
      <w:tr w14:paraId="3E03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4174DB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D476D9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005A1B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驮道沟</w:t>
            </w:r>
          </w:p>
        </w:tc>
        <w:tc>
          <w:tcPr>
            <w:tcW w:w="1306" w:type="dxa"/>
            <w:vAlign w:val="center"/>
          </w:tcPr>
          <w:p w14:paraId="493B0ED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7BDB98C">
            <w:pPr>
              <w:widowControl w:val="0"/>
              <w:tabs>
                <w:tab w:val="left" w:pos="360"/>
              </w:tabs>
              <w:adjustRightInd/>
              <w:spacing w:line="240" w:lineRule="atLeast"/>
              <w:ind w:firstLine="0" w:firstLineChars="0"/>
              <w:jc w:val="center"/>
              <w:textAlignment w:val="baseline"/>
              <w:rPr>
                <w:kern w:val="21"/>
                <w:sz w:val="20"/>
                <w:szCs w:val="21"/>
              </w:rPr>
            </w:pPr>
          </w:p>
        </w:tc>
      </w:tr>
      <w:tr w14:paraId="07AE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9512DE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37B4D7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5035CA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二道阳岔</w:t>
            </w:r>
          </w:p>
        </w:tc>
        <w:tc>
          <w:tcPr>
            <w:tcW w:w="1306" w:type="dxa"/>
            <w:vAlign w:val="center"/>
          </w:tcPr>
          <w:p w14:paraId="5CA6B2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AFA45BE">
            <w:pPr>
              <w:widowControl w:val="0"/>
              <w:tabs>
                <w:tab w:val="left" w:pos="360"/>
              </w:tabs>
              <w:adjustRightInd/>
              <w:spacing w:line="240" w:lineRule="atLeast"/>
              <w:ind w:firstLine="0" w:firstLineChars="0"/>
              <w:jc w:val="center"/>
              <w:textAlignment w:val="baseline"/>
              <w:rPr>
                <w:kern w:val="21"/>
                <w:sz w:val="20"/>
                <w:szCs w:val="21"/>
              </w:rPr>
            </w:pPr>
          </w:p>
        </w:tc>
      </w:tr>
      <w:tr w14:paraId="550C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4E003C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362369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BA3724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闹枝沟村</w:t>
            </w:r>
          </w:p>
        </w:tc>
        <w:tc>
          <w:tcPr>
            <w:tcW w:w="1306" w:type="dxa"/>
            <w:vAlign w:val="center"/>
          </w:tcPr>
          <w:p w14:paraId="12C7F24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907C3BA">
            <w:pPr>
              <w:widowControl w:val="0"/>
              <w:tabs>
                <w:tab w:val="left" w:pos="360"/>
              </w:tabs>
              <w:adjustRightInd/>
              <w:spacing w:line="240" w:lineRule="atLeast"/>
              <w:ind w:firstLine="0" w:firstLineChars="0"/>
              <w:jc w:val="center"/>
              <w:textAlignment w:val="baseline"/>
              <w:rPr>
                <w:kern w:val="21"/>
                <w:sz w:val="20"/>
                <w:szCs w:val="21"/>
              </w:rPr>
            </w:pPr>
          </w:p>
        </w:tc>
      </w:tr>
      <w:tr w14:paraId="0063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76DF32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5E53F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59250E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三道阳岔</w:t>
            </w:r>
          </w:p>
        </w:tc>
        <w:tc>
          <w:tcPr>
            <w:tcW w:w="1306" w:type="dxa"/>
            <w:vAlign w:val="center"/>
          </w:tcPr>
          <w:p w14:paraId="6739CBB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F599F22">
            <w:pPr>
              <w:widowControl w:val="0"/>
              <w:tabs>
                <w:tab w:val="left" w:pos="360"/>
              </w:tabs>
              <w:adjustRightInd/>
              <w:spacing w:line="240" w:lineRule="atLeast"/>
              <w:ind w:firstLine="0" w:firstLineChars="0"/>
              <w:jc w:val="center"/>
              <w:textAlignment w:val="baseline"/>
              <w:rPr>
                <w:kern w:val="21"/>
                <w:sz w:val="20"/>
                <w:szCs w:val="21"/>
              </w:rPr>
            </w:pPr>
          </w:p>
        </w:tc>
      </w:tr>
      <w:tr w14:paraId="1819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A962C8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D99AA0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30F209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窑场</w:t>
            </w:r>
          </w:p>
        </w:tc>
        <w:tc>
          <w:tcPr>
            <w:tcW w:w="1306" w:type="dxa"/>
            <w:vAlign w:val="center"/>
          </w:tcPr>
          <w:p w14:paraId="0D224E5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EFE7CD7">
            <w:pPr>
              <w:widowControl w:val="0"/>
              <w:tabs>
                <w:tab w:val="left" w:pos="360"/>
              </w:tabs>
              <w:adjustRightInd/>
              <w:spacing w:line="240" w:lineRule="atLeast"/>
              <w:ind w:firstLine="0" w:firstLineChars="0"/>
              <w:jc w:val="center"/>
              <w:textAlignment w:val="baseline"/>
              <w:rPr>
                <w:kern w:val="21"/>
                <w:sz w:val="20"/>
                <w:szCs w:val="21"/>
              </w:rPr>
            </w:pPr>
          </w:p>
        </w:tc>
      </w:tr>
      <w:tr w14:paraId="0DE7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1E502C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5B8AF3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6E2BE5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滚土岭沟</w:t>
            </w:r>
          </w:p>
        </w:tc>
        <w:tc>
          <w:tcPr>
            <w:tcW w:w="1306" w:type="dxa"/>
            <w:vAlign w:val="center"/>
          </w:tcPr>
          <w:p w14:paraId="0964DAF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A396962">
            <w:pPr>
              <w:widowControl w:val="0"/>
              <w:tabs>
                <w:tab w:val="left" w:pos="360"/>
              </w:tabs>
              <w:adjustRightInd/>
              <w:spacing w:line="240" w:lineRule="atLeast"/>
              <w:ind w:firstLine="0" w:firstLineChars="0"/>
              <w:jc w:val="center"/>
              <w:textAlignment w:val="baseline"/>
              <w:rPr>
                <w:kern w:val="21"/>
                <w:sz w:val="20"/>
                <w:szCs w:val="21"/>
              </w:rPr>
            </w:pPr>
          </w:p>
        </w:tc>
      </w:tr>
      <w:tr w14:paraId="55CF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 w:hRule="atLeast"/>
          <w:jc w:val="center"/>
        </w:trPr>
        <w:tc>
          <w:tcPr>
            <w:tcW w:w="1658" w:type="dxa"/>
            <w:vMerge w:val="restart"/>
            <w:vAlign w:val="center"/>
          </w:tcPr>
          <w:p w14:paraId="042FDE6A">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3</w:t>
            </w:r>
          </w:p>
        </w:tc>
        <w:tc>
          <w:tcPr>
            <w:tcW w:w="1461" w:type="dxa"/>
            <w:vMerge w:val="restart"/>
            <w:vAlign w:val="center"/>
          </w:tcPr>
          <w:p w14:paraId="39AA5F5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沙尖子村</w:t>
            </w:r>
          </w:p>
        </w:tc>
        <w:tc>
          <w:tcPr>
            <w:tcW w:w="2858" w:type="dxa"/>
            <w:vAlign w:val="bottom"/>
          </w:tcPr>
          <w:p w14:paraId="7A7AEE6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金坑村</w:t>
            </w:r>
          </w:p>
        </w:tc>
        <w:tc>
          <w:tcPr>
            <w:tcW w:w="1306" w:type="dxa"/>
            <w:vAlign w:val="center"/>
          </w:tcPr>
          <w:p w14:paraId="04CC4E8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4EAAE75">
            <w:pPr>
              <w:widowControl w:val="0"/>
              <w:tabs>
                <w:tab w:val="left" w:pos="360"/>
              </w:tabs>
              <w:adjustRightInd/>
              <w:spacing w:line="240" w:lineRule="atLeast"/>
              <w:ind w:firstLine="0" w:firstLineChars="0"/>
              <w:jc w:val="center"/>
              <w:textAlignment w:val="baseline"/>
              <w:rPr>
                <w:kern w:val="21"/>
                <w:sz w:val="20"/>
                <w:szCs w:val="21"/>
              </w:rPr>
            </w:pPr>
          </w:p>
        </w:tc>
      </w:tr>
      <w:tr w14:paraId="332C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4E5659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CAC53A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485AED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半拉哨</w:t>
            </w:r>
          </w:p>
        </w:tc>
        <w:tc>
          <w:tcPr>
            <w:tcW w:w="1306" w:type="dxa"/>
            <w:vAlign w:val="center"/>
          </w:tcPr>
          <w:p w14:paraId="6854CF2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A6F5A1">
            <w:pPr>
              <w:widowControl w:val="0"/>
              <w:tabs>
                <w:tab w:val="left" w:pos="360"/>
              </w:tabs>
              <w:adjustRightInd/>
              <w:spacing w:line="240" w:lineRule="atLeast"/>
              <w:ind w:firstLine="0" w:firstLineChars="0"/>
              <w:jc w:val="center"/>
              <w:textAlignment w:val="baseline"/>
              <w:rPr>
                <w:kern w:val="21"/>
                <w:sz w:val="20"/>
                <w:szCs w:val="21"/>
              </w:rPr>
            </w:pPr>
          </w:p>
        </w:tc>
      </w:tr>
      <w:tr w14:paraId="4986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5643E7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8CF492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D78B55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三八沟</w:t>
            </w:r>
          </w:p>
        </w:tc>
        <w:tc>
          <w:tcPr>
            <w:tcW w:w="1306" w:type="dxa"/>
            <w:vAlign w:val="center"/>
          </w:tcPr>
          <w:p w14:paraId="4493E8A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E6C5BD0">
            <w:pPr>
              <w:widowControl w:val="0"/>
              <w:tabs>
                <w:tab w:val="left" w:pos="360"/>
              </w:tabs>
              <w:adjustRightInd/>
              <w:spacing w:line="240" w:lineRule="atLeast"/>
              <w:ind w:firstLine="0" w:firstLineChars="0"/>
              <w:jc w:val="center"/>
              <w:textAlignment w:val="baseline"/>
              <w:rPr>
                <w:kern w:val="21"/>
                <w:sz w:val="20"/>
                <w:szCs w:val="21"/>
              </w:rPr>
            </w:pPr>
          </w:p>
        </w:tc>
      </w:tr>
      <w:tr w14:paraId="4C4C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F0E9BC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B09DB4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0F34F1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于大沟</w:t>
            </w:r>
          </w:p>
        </w:tc>
        <w:tc>
          <w:tcPr>
            <w:tcW w:w="1306" w:type="dxa"/>
            <w:vAlign w:val="center"/>
          </w:tcPr>
          <w:p w14:paraId="2D60D15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9FD3E2">
            <w:pPr>
              <w:widowControl w:val="0"/>
              <w:tabs>
                <w:tab w:val="left" w:pos="360"/>
              </w:tabs>
              <w:adjustRightInd/>
              <w:spacing w:line="240" w:lineRule="atLeast"/>
              <w:ind w:firstLine="0" w:firstLineChars="0"/>
              <w:jc w:val="center"/>
              <w:textAlignment w:val="baseline"/>
              <w:rPr>
                <w:kern w:val="21"/>
                <w:sz w:val="20"/>
                <w:szCs w:val="21"/>
              </w:rPr>
            </w:pPr>
          </w:p>
        </w:tc>
      </w:tr>
      <w:tr w14:paraId="6F6F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3A17C3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990D18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7B936C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于家沟</w:t>
            </w:r>
          </w:p>
        </w:tc>
        <w:tc>
          <w:tcPr>
            <w:tcW w:w="1306" w:type="dxa"/>
            <w:vAlign w:val="center"/>
          </w:tcPr>
          <w:p w14:paraId="520D6FC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33509A6">
            <w:pPr>
              <w:widowControl w:val="0"/>
              <w:tabs>
                <w:tab w:val="left" w:pos="360"/>
              </w:tabs>
              <w:adjustRightInd/>
              <w:spacing w:line="240" w:lineRule="atLeast"/>
              <w:ind w:firstLine="0" w:firstLineChars="0"/>
              <w:jc w:val="center"/>
              <w:textAlignment w:val="baseline"/>
              <w:rPr>
                <w:kern w:val="21"/>
                <w:sz w:val="20"/>
                <w:szCs w:val="21"/>
              </w:rPr>
            </w:pPr>
          </w:p>
        </w:tc>
      </w:tr>
      <w:tr w14:paraId="77C0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1CAD52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55DA81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B980E4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沙尖子村</w:t>
            </w:r>
          </w:p>
        </w:tc>
        <w:tc>
          <w:tcPr>
            <w:tcW w:w="1306" w:type="dxa"/>
            <w:vAlign w:val="center"/>
          </w:tcPr>
          <w:p w14:paraId="08FFF9C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8563296">
            <w:pPr>
              <w:widowControl w:val="0"/>
              <w:tabs>
                <w:tab w:val="left" w:pos="360"/>
              </w:tabs>
              <w:adjustRightInd/>
              <w:spacing w:line="240" w:lineRule="atLeast"/>
              <w:ind w:firstLine="0" w:firstLineChars="0"/>
              <w:jc w:val="center"/>
              <w:textAlignment w:val="baseline"/>
              <w:rPr>
                <w:kern w:val="21"/>
                <w:sz w:val="20"/>
                <w:szCs w:val="21"/>
              </w:rPr>
            </w:pPr>
          </w:p>
        </w:tc>
      </w:tr>
      <w:tr w14:paraId="604D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914C5D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59F750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E4931B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小秋皮沟</w:t>
            </w:r>
          </w:p>
        </w:tc>
        <w:tc>
          <w:tcPr>
            <w:tcW w:w="1306" w:type="dxa"/>
            <w:vAlign w:val="center"/>
          </w:tcPr>
          <w:p w14:paraId="67C5D8E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F846EC9">
            <w:pPr>
              <w:widowControl w:val="0"/>
              <w:tabs>
                <w:tab w:val="left" w:pos="360"/>
              </w:tabs>
              <w:adjustRightInd/>
              <w:spacing w:line="240" w:lineRule="atLeast"/>
              <w:ind w:firstLine="0" w:firstLineChars="0"/>
              <w:jc w:val="center"/>
              <w:textAlignment w:val="baseline"/>
              <w:rPr>
                <w:kern w:val="21"/>
                <w:sz w:val="20"/>
                <w:szCs w:val="21"/>
              </w:rPr>
            </w:pPr>
          </w:p>
        </w:tc>
      </w:tr>
      <w:tr w14:paraId="15C7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7D7D36B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4</w:t>
            </w:r>
          </w:p>
        </w:tc>
        <w:tc>
          <w:tcPr>
            <w:tcW w:w="1461" w:type="dxa"/>
            <w:vMerge w:val="restart"/>
            <w:vAlign w:val="center"/>
          </w:tcPr>
          <w:p w14:paraId="3B6A9E1D">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影壁山村</w:t>
            </w:r>
          </w:p>
        </w:tc>
        <w:tc>
          <w:tcPr>
            <w:tcW w:w="2858" w:type="dxa"/>
            <w:vAlign w:val="bottom"/>
          </w:tcPr>
          <w:p w14:paraId="444D2BC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坎川沟</w:t>
            </w:r>
          </w:p>
        </w:tc>
        <w:tc>
          <w:tcPr>
            <w:tcW w:w="1306" w:type="dxa"/>
            <w:vAlign w:val="center"/>
          </w:tcPr>
          <w:p w14:paraId="3B862CA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7352716">
            <w:pPr>
              <w:widowControl w:val="0"/>
              <w:tabs>
                <w:tab w:val="left" w:pos="360"/>
              </w:tabs>
              <w:adjustRightInd/>
              <w:spacing w:line="240" w:lineRule="atLeast"/>
              <w:ind w:firstLine="0" w:firstLineChars="0"/>
              <w:jc w:val="center"/>
              <w:textAlignment w:val="baseline"/>
              <w:rPr>
                <w:kern w:val="21"/>
                <w:sz w:val="20"/>
                <w:szCs w:val="21"/>
              </w:rPr>
            </w:pPr>
          </w:p>
        </w:tc>
      </w:tr>
      <w:tr w14:paraId="0E95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C40F2A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77445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DF24EE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门东岔</w:t>
            </w:r>
          </w:p>
        </w:tc>
        <w:tc>
          <w:tcPr>
            <w:tcW w:w="1306" w:type="dxa"/>
            <w:vAlign w:val="center"/>
          </w:tcPr>
          <w:p w14:paraId="1177D14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59BDD29">
            <w:pPr>
              <w:widowControl w:val="0"/>
              <w:tabs>
                <w:tab w:val="left" w:pos="360"/>
              </w:tabs>
              <w:adjustRightInd/>
              <w:spacing w:line="240" w:lineRule="atLeast"/>
              <w:ind w:firstLine="0" w:firstLineChars="0"/>
              <w:jc w:val="center"/>
              <w:textAlignment w:val="baseline"/>
              <w:rPr>
                <w:kern w:val="21"/>
                <w:sz w:val="20"/>
                <w:szCs w:val="21"/>
              </w:rPr>
            </w:pPr>
          </w:p>
        </w:tc>
      </w:tr>
      <w:tr w14:paraId="3354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24A17C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84A13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6C7B95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高丽沟</w:t>
            </w:r>
          </w:p>
        </w:tc>
        <w:tc>
          <w:tcPr>
            <w:tcW w:w="1306" w:type="dxa"/>
            <w:vAlign w:val="center"/>
          </w:tcPr>
          <w:p w14:paraId="2DE9F1A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EEE40EF">
            <w:pPr>
              <w:widowControl w:val="0"/>
              <w:tabs>
                <w:tab w:val="left" w:pos="360"/>
              </w:tabs>
              <w:adjustRightInd/>
              <w:spacing w:line="240" w:lineRule="atLeast"/>
              <w:ind w:firstLine="0" w:firstLineChars="0"/>
              <w:jc w:val="center"/>
              <w:textAlignment w:val="baseline"/>
              <w:rPr>
                <w:kern w:val="21"/>
                <w:sz w:val="20"/>
                <w:szCs w:val="21"/>
              </w:rPr>
            </w:pPr>
          </w:p>
        </w:tc>
      </w:tr>
      <w:tr w14:paraId="2886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A14DC9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7DDAAE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B26584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大葫芦头子</w:t>
            </w:r>
          </w:p>
        </w:tc>
        <w:tc>
          <w:tcPr>
            <w:tcW w:w="1306" w:type="dxa"/>
            <w:vAlign w:val="center"/>
          </w:tcPr>
          <w:p w14:paraId="1379086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04923FC">
            <w:pPr>
              <w:widowControl w:val="0"/>
              <w:tabs>
                <w:tab w:val="left" w:pos="360"/>
              </w:tabs>
              <w:adjustRightInd/>
              <w:spacing w:line="240" w:lineRule="atLeast"/>
              <w:ind w:firstLine="0" w:firstLineChars="0"/>
              <w:jc w:val="center"/>
              <w:textAlignment w:val="baseline"/>
              <w:rPr>
                <w:kern w:val="21"/>
                <w:sz w:val="20"/>
                <w:szCs w:val="21"/>
              </w:rPr>
            </w:pPr>
          </w:p>
        </w:tc>
      </w:tr>
      <w:tr w14:paraId="13FC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667431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19BDFB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AA235C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影壁山前</w:t>
            </w:r>
          </w:p>
        </w:tc>
        <w:tc>
          <w:tcPr>
            <w:tcW w:w="1306" w:type="dxa"/>
            <w:vAlign w:val="center"/>
          </w:tcPr>
          <w:p w14:paraId="3AA6002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A91ACA4">
            <w:pPr>
              <w:widowControl w:val="0"/>
              <w:tabs>
                <w:tab w:val="left" w:pos="360"/>
              </w:tabs>
              <w:adjustRightInd/>
              <w:spacing w:line="240" w:lineRule="atLeast"/>
              <w:ind w:firstLine="0" w:firstLineChars="0"/>
              <w:jc w:val="center"/>
              <w:textAlignment w:val="baseline"/>
              <w:rPr>
                <w:kern w:val="21"/>
                <w:sz w:val="20"/>
                <w:szCs w:val="21"/>
              </w:rPr>
            </w:pPr>
          </w:p>
        </w:tc>
      </w:tr>
      <w:tr w14:paraId="66A0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7DA9AA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A71E20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305D64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影壁山村</w:t>
            </w:r>
          </w:p>
        </w:tc>
        <w:tc>
          <w:tcPr>
            <w:tcW w:w="1306" w:type="dxa"/>
            <w:vAlign w:val="center"/>
          </w:tcPr>
          <w:p w14:paraId="6A4A8DC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BEABD2D">
            <w:pPr>
              <w:widowControl w:val="0"/>
              <w:tabs>
                <w:tab w:val="left" w:pos="360"/>
              </w:tabs>
              <w:adjustRightInd/>
              <w:spacing w:line="240" w:lineRule="atLeast"/>
              <w:ind w:firstLine="0" w:firstLineChars="0"/>
              <w:jc w:val="center"/>
              <w:textAlignment w:val="baseline"/>
              <w:rPr>
                <w:kern w:val="21"/>
                <w:sz w:val="20"/>
                <w:szCs w:val="21"/>
              </w:rPr>
            </w:pPr>
          </w:p>
        </w:tc>
      </w:tr>
      <w:tr w14:paraId="1733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0399FF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23E791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0CF61A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大北沟</w:t>
            </w:r>
          </w:p>
        </w:tc>
        <w:tc>
          <w:tcPr>
            <w:tcW w:w="1306" w:type="dxa"/>
            <w:vAlign w:val="center"/>
          </w:tcPr>
          <w:p w14:paraId="37F28CC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DBBF8EF">
            <w:pPr>
              <w:widowControl w:val="0"/>
              <w:tabs>
                <w:tab w:val="left" w:pos="360"/>
              </w:tabs>
              <w:adjustRightInd/>
              <w:spacing w:line="240" w:lineRule="atLeast"/>
              <w:ind w:firstLine="0" w:firstLineChars="0"/>
              <w:jc w:val="center"/>
              <w:textAlignment w:val="baseline"/>
              <w:rPr>
                <w:kern w:val="21"/>
                <w:sz w:val="20"/>
                <w:szCs w:val="21"/>
              </w:rPr>
            </w:pPr>
          </w:p>
        </w:tc>
      </w:tr>
      <w:tr w14:paraId="1F0F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D5D94F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D42A35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CE1BD5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小葫芦头子</w:t>
            </w:r>
          </w:p>
        </w:tc>
        <w:tc>
          <w:tcPr>
            <w:tcW w:w="1306" w:type="dxa"/>
            <w:vAlign w:val="center"/>
          </w:tcPr>
          <w:p w14:paraId="1199D4E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453B18E">
            <w:pPr>
              <w:widowControl w:val="0"/>
              <w:tabs>
                <w:tab w:val="left" w:pos="360"/>
              </w:tabs>
              <w:adjustRightInd/>
              <w:spacing w:line="240" w:lineRule="atLeast"/>
              <w:ind w:firstLine="0" w:firstLineChars="0"/>
              <w:jc w:val="center"/>
              <w:textAlignment w:val="baseline"/>
              <w:rPr>
                <w:kern w:val="21"/>
                <w:sz w:val="20"/>
                <w:szCs w:val="21"/>
              </w:rPr>
            </w:pPr>
          </w:p>
        </w:tc>
      </w:tr>
      <w:tr w14:paraId="4BB2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F631A3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0349AE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E2CCB1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大葫芦头子沟</w:t>
            </w:r>
          </w:p>
        </w:tc>
        <w:tc>
          <w:tcPr>
            <w:tcW w:w="1306" w:type="dxa"/>
            <w:vAlign w:val="center"/>
          </w:tcPr>
          <w:p w14:paraId="5F30D40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66494C">
            <w:pPr>
              <w:widowControl w:val="0"/>
              <w:tabs>
                <w:tab w:val="left" w:pos="360"/>
              </w:tabs>
              <w:adjustRightInd/>
              <w:spacing w:line="240" w:lineRule="atLeast"/>
              <w:ind w:firstLine="0" w:firstLineChars="0"/>
              <w:jc w:val="center"/>
              <w:textAlignment w:val="baseline"/>
              <w:rPr>
                <w:kern w:val="21"/>
                <w:sz w:val="20"/>
                <w:szCs w:val="21"/>
              </w:rPr>
            </w:pPr>
          </w:p>
        </w:tc>
      </w:tr>
      <w:tr w14:paraId="300D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837E79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1C566C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331C9E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小滚马岭</w:t>
            </w:r>
          </w:p>
        </w:tc>
        <w:tc>
          <w:tcPr>
            <w:tcW w:w="1306" w:type="dxa"/>
            <w:vAlign w:val="center"/>
          </w:tcPr>
          <w:p w14:paraId="132B7AD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DA05DF4">
            <w:pPr>
              <w:widowControl w:val="0"/>
              <w:tabs>
                <w:tab w:val="left" w:pos="360"/>
              </w:tabs>
              <w:adjustRightInd/>
              <w:spacing w:line="240" w:lineRule="atLeast"/>
              <w:ind w:firstLine="0" w:firstLineChars="0"/>
              <w:jc w:val="center"/>
              <w:textAlignment w:val="baseline"/>
              <w:rPr>
                <w:kern w:val="21"/>
                <w:sz w:val="20"/>
                <w:szCs w:val="21"/>
              </w:rPr>
            </w:pPr>
          </w:p>
        </w:tc>
      </w:tr>
      <w:tr w14:paraId="2C55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FD3514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AC4946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22B64C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影壁山后村</w:t>
            </w:r>
          </w:p>
        </w:tc>
        <w:tc>
          <w:tcPr>
            <w:tcW w:w="1306" w:type="dxa"/>
            <w:vAlign w:val="center"/>
          </w:tcPr>
          <w:p w14:paraId="334A199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C10ABF5">
            <w:pPr>
              <w:widowControl w:val="0"/>
              <w:tabs>
                <w:tab w:val="left" w:pos="360"/>
              </w:tabs>
              <w:adjustRightInd/>
              <w:spacing w:line="240" w:lineRule="atLeast"/>
              <w:ind w:firstLine="0" w:firstLineChars="0"/>
              <w:jc w:val="center"/>
              <w:textAlignment w:val="baseline"/>
              <w:rPr>
                <w:kern w:val="21"/>
                <w:sz w:val="20"/>
                <w:szCs w:val="21"/>
              </w:rPr>
            </w:pPr>
          </w:p>
        </w:tc>
      </w:tr>
      <w:tr w14:paraId="2E90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5D0E9F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42F50D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648DAA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老岭</w:t>
            </w:r>
          </w:p>
        </w:tc>
        <w:tc>
          <w:tcPr>
            <w:tcW w:w="1306" w:type="dxa"/>
            <w:vAlign w:val="center"/>
          </w:tcPr>
          <w:p w14:paraId="4CDDBB7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CA3C88F">
            <w:pPr>
              <w:widowControl w:val="0"/>
              <w:tabs>
                <w:tab w:val="left" w:pos="360"/>
              </w:tabs>
              <w:adjustRightInd/>
              <w:spacing w:line="240" w:lineRule="atLeast"/>
              <w:ind w:firstLine="0" w:firstLineChars="0"/>
              <w:jc w:val="center"/>
              <w:textAlignment w:val="baseline"/>
              <w:rPr>
                <w:kern w:val="21"/>
                <w:sz w:val="20"/>
                <w:szCs w:val="21"/>
              </w:rPr>
            </w:pPr>
          </w:p>
        </w:tc>
      </w:tr>
      <w:tr w14:paraId="2EDB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F505F3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6599F0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B02A0E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老岭沟</w:t>
            </w:r>
          </w:p>
        </w:tc>
        <w:tc>
          <w:tcPr>
            <w:tcW w:w="1306" w:type="dxa"/>
            <w:vAlign w:val="center"/>
          </w:tcPr>
          <w:p w14:paraId="63D110E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29D82C">
            <w:pPr>
              <w:widowControl w:val="0"/>
              <w:tabs>
                <w:tab w:val="left" w:pos="360"/>
              </w:tabs>
              <w:adjustRightInd/>
              <w:spacing w:line="240" w:lineRule="atLeast"/>
              <w:ind w:firstLine="0" w:firstLineChars="0"/>
              <w:jc w:val="center"/>
              <w:textAlignment w:val="baseline"/>
              <w:rPr>
                <w:kern w:val="21"/>
                <w:sz w:val="20"/>
                <w:szCs w:val="21"/>
              </w:rPr>
            </w:pPr>
          </w:p>
        </w:tc>
      </w:tr>
      <w:tr w14:paraId="5046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DC3959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D2D42C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62B557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新岭沟</w:t>
            </w:r>
          </w:p>
        </w:tc>
        <w:tc>
          <w:tcPr>
            <w:tcW w:w="1306" w:type="dxa"/>
            <w:vAlign w:val="center"/>
          </w:tcPr>
          <w:p w14:paraId="5F146F3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17E2C1D">
            <w:pPr>
              <w:widowControl w:val="0"/>
              <w:tabs>
                <w:tab w:val="left" w:pos="360"/>
              </w:tabs>
              <w:adjustRightInd/>
              <w:spacing w:line="240" w:lineRule="atLeast"/>
              <w:ind w:firstLine="0" w:firstLineChars="0"/>
              <w:jc w:val="center"/>
              <w:textAlignment w:val="baseline"/>
              <w:rPr>
                <w:kern w:val="21"/>
                <w:sz w:val="20"/>
                <w:szCs w:val="21"/>
              </w:rPr>
            </w:pPr>
          </w:p>
        </w:tc>
      </w:tr>
      <w:tr w14:paraId="332C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7F2E89F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5</w:t>
            </w:r>
          </w:p>
        </w:tc>
        <w:tc>
          <w:tcPr>
            <w:tcW w:w="1461" w:type="dxa"/>
            <w:vMerge w:val="restart"/>
            <w:vAlign w:val="center"/>
          </w:tcPr>
          <w:p w14:paraId="35CFB37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晓阳村</w:t>
            </w:r>
          </w:p>
        </w:tc>
        <w:tc>
          <w:tcPr>
            <w:tcW w:w="2858" w:type="dxa"/>
            <w:vAlign w:val="bottom"/>
          </w:tcPr>
          <w:p w14:paraId="4D2E2B9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石门沟</w:t>
            </w:r>
          </w:p>
        </w:tc>
        <w:tc>
          <w:tcPr>
            <w:tcW w:w="1306" w:type="dxa"/>
            <w:vAlign w:val="center"/>
          </w:tcPr>
          <w:p w14:paraId="4784204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670A2DC">
            <w:pPr>
              <w:widowControl w:val="0"/>
              <w:tabs>
                <w:tab w:val="left" w:pos="360"/>
              </w:tabs>
              <w:adjustRightInd/>
              <w:spacing w:line="240" w:lineRule="atLeast"/>
              <w:ind w:firstLine="0" w:firstLineChars="0"/>
              <w:jc w:val="center"/>
              <w:textAlignment w:val="baseline"/>
              <w:rPr>
                <w:kern w:val="21"/>
                <w:sz w:val="20"/>
                <w:szCs w:val="21"/>
              </w:rPr>
            </w:pPr>
          </w:p>
        </w:tc>
      </w:tr>
      <w:tr w14:paraId="64E5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433215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A012FC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7CDB12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小西沟</w:t>
            </w:r>
          </w:p>
        </w:tc>
        <w:tc>
          <w:tcPr>
            <w:tcW w:w="1306" w:type="dxa"/>
            <w:vAlign w:val="center"/>
          </w:tcPr>
          <w:p w14:paraId="38A3FB1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2D39A42">
            <w:pPr>
              <w:widowControl w:val="0"/>
              <w:tabs>
                <w:tab w:val="left" w:pos="360"/>
              </w:tabs>
              <w:adjustRightInd/>
              <w:spacing w:line="240" w:lineRule="atLeast"/>
              <w:ind w:firstLine="0" w:firstLineChars="0"/>
              <w:jc w:val="center"/>
              <w:textAlignment w:val="baseline"/>
              <w:rPr>
                <w:kern w:val="21"/>
                <w:sz w:val="20"/>
                <w:szCs w:val="21"/>
              </w:rPr>
            </w:pPr>
          </w:p>
        </w:tc>
      </w:tr>
      <w:tr w14:paraId="0318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C6A9A6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0048C3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54E2CE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二道阳岔村</w:t>
            </w:r>
          </w:p>
        </w:tc>
        <w:tc>
          <w:tcPr>
            <w:tcW w:w="1306" w:type="dxa"/>
            <w:vAlign w:val="center"/>
          </w:tcPr>
          <w:p w14:paraId="46936EB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381959A">
            <w:pPr>
              <w:widowControl w:val="0"/>
              <w:tabs>
                <w:tab w:val="left" w:pos="360"/>
              </w:tabs>
              <w:adjustRightInd/>
              <w:spacing w:line="240" w:lineRule="atLeast"/>
              <w:ind w:firstLine="0" w:firstLineChars="0"/>
              <w:jc w:val="center"/>
              <w:textAlignment w:val="baseline"/>
              <w:rPr>
                <w:kern w:val="21"/>
                <w:sz w:val="20"/>
                <w:szCs w:val="21"/>
              </w:rPr>
            </w:pPr>
          </w:p>
        </w:tc>
      </w:tr>
      <w:tr w14:paraId="11B4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0FA7FC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D9E6F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A99C08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大夹板沟</w:t>
            </w:r>
          </w:p>
        </w:tc>
        <w:tc>
          <w:tcPr>
            <w:tcW w:w="1306" w:type="dxa"/>
            <w:vAlign w:val="center"/>
          </w:tcPr>
          <w:p w14:paraId="08DE339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A6EC143">
            <w:pPr>
              <w:widowControl w:val="0"/>
              <w:tabs>
                <w:tab w:val="left" w:pos="360"/>
              </w:tabs>
              <w:adjustRightInd/>
              <w:spacing w:line="240" w:lineRule="atLeast"/>
              <w:ind w:firstLine="0" w:firstLineChars="0"/>
              <w:jc w:val="center"/>
              <w:textAlignment w:val="baseline"/>
              <w:rPr>
                <w:kern w:val="21"/>
                <w:sz w:val="20"/>
                <w:szCs w:val="21"/>
              </w:rPr>
            </w:pPr>
          </w:p>
        </w:tc>
      </w:tr>
      <w:tr w14:paraId="11E2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1412A0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32537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C0378B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冰沟子</w:t>
            </w:r>
          </w:p>
        </w:tc>
        <w:tc>
          <w:tcPr>
            <w:tcW w:w="1306" w:type="dxa"/>
            <w:vAlign w:val="center"/>
          </w:tcPr>
          <w:p w14:paraId="7D67112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B796D4A">
            <w:pPr>
              <w:widowControl w:val="0"/>
              <w:tabs>
                <w:tab w:val="left" w:pos="360"/>
              </w:tabs>
              <w:adjustRightInd/>
              <w:spacing w:line="240" w:lineRule="atLeast"/>
              <w:ind w:firstLine="0" w:firstLineChars="0"/>
              <w:jc w:val="center"/>
              <w:textAlignment w:val="baseline"/>
              <w:rPr>
                <w:kern w:val="21"/>
                <w:sz w:val="20"/>
                <w:szCs w:val="21"/>
              </w:rPr>
            </w:pPr>
          </w:p>
        </w:tc>
      </w:tr>
      <w:tr w14:paraId="59E2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5FD4B0B">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1378E6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18A679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小夹板沟</w:t>
            </w:r>
          </w:p>
        </w:tc>
        <w:tc>
          <w:tcPr>
            <w:tcW w:w="1306" w:type="dxa"/>
            <w:vAlign w:val="center"/>
          </w:tcPr>
          <w:p w14:paraId="500A240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F29C4E5">
            <w:pPr>
              <w:widowControl w:val="0"/>
              <w:tabs>
                <w:tab w:val="left" w:pos="360"/>
              </w:tabs>
              <w:adjustRightInd/>
              <w:spacing w:line="240" w:lineRule="atLeast"/>
              <w:ind w:firstLine="0" w:firstLineChars="0"/>
              <w:jc w:val="center"/>
              <w:textAlignment w:val="baseline"/>
              <w:rPr>
                <w:kern w:val="21"/>
                <w:sz w:val="20"/>
                <w:szCs w:val="21"/>
              </w:rPr>
            </w:pPr>
          </w:p>
        </w:tc>
      </w:tr>
      <w:tr w14:paraId="0420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EFC632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2FE851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98BC9D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干石滩</w:t>
            </w:r>
          </w:p>
        </w:tc>
        <w:tc>
          <w:tcPr>
            <w:tcW w:w="1306" w:type="dxa"/>
            <w:vAlign w:val="center"/>
          </w:tcPr>
          <w:p w14:paraId="5B0C109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724965">
            <w:pPr>
              <w:widowControl w:val="0"/>
              <w:tabs>
                <w:tab w:val="left" w:pos="360"/>
              </w:tabs>
              <w:adjustRightInd/>
              <w:spacing w:line="240" w:lineRule="atLeast"/>
              <w:ind w:firstLine="0" w:firstLineChars="0"/>
              <w:jc w:val="center"/>
              <w:textAlignment w:val="baseline"/>
              <w:rPr>
                <w:kern w:val="21"/>
                <w:sz w:val="20"/>
                <w:szCs w:val="21"/>
              </w:rPr>
            </w:pPr>
          </w:p>
        </w:tc>
      </w:tr>
      <w:tr w14:paraId="2D85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1F9D41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ED7BE1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B651B7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一道沟</w:t>
            </w:r>
          </w:p>
        </w:tc>
        <w:tc>
          <w:tcPr>
            <w:tcW w:w="1306" w:type="dxa"/>
            <w:vAlign w:val="center"/>
          </w:tcPr>
          <w:p w14:paraId="6753434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8BEF243">
            <w:pPr>
              <w:widowControl w:val="0"/>
              <w:tabs>
                <w:tab w:val="left" w:pos="360"/>
              </w:tabs>
              <w:adjustRightInd/>
              <w:spacing w:line="240" w:lineRule="atLeast"/>
              <w:ind w:firstLine="0" w:firstLineChars="0"/>
              <w:jc w:val="center"/>
              <w:textAlignment w:val="baseline"/>
              <w:rPr>
                <w:kern w:val="21"/>
                <w:sz w:val="20"/>
                <w:szCs w:val="21"/>
              </w:rPr>
            </w:pPr>
          </w:p>
        </w:tc>
      </w:tr>
      <w:tr w14:paraId="7A31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ECABB0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4A296F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62C82C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二道沟</w:t>
            </w:r>
          </w:p>
        </w:tc>
        <w:tc>
          <w:tcPr>
            <w:tcW w:w="1306" w:type="dxa"/>
            <w:vAlign w:val="center"/>
          </w:tcPr>
          <w:p w14:paraId="4A261F3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A154E6C">
            <w:pPr>
              <w:widowControl w:val="0"/>
              <w:tabs>
                <w:tab w:val="left" w:pos="360"/>
              </w:tabs>
              <w:adjustRightInd/>
              <w:spacing w:line="240" w:lineRule="atLeast"/>
              <w:ind w:firstLine="0" w:firstLineChars="0"/>
              <w:jc w:val="center"/>
              <w:textAlignment w:val="baseline"/>
              <w:rPr>
                <w:kern w:val="21"/>
                <w:sz w:val="20"/>
                <w:szCs w:val="21"/>
              </w:rPr>
            </w:pPr>
          </w:p>
        </w:tc>
      </w:tr>
      <w:tr w14:paraId="6D1D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948DAC6">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B53438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ED4CB2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三道沟</w:t>
            </w:r>
          </w:p>
        </w:tc>
        <w:tc>
          <w:tcPr>
            <w:tcW w:w="1306" w:type="dxa"/>
            <w:vAlign w:val="center"/>
          </w:tcPr>
          <w:p w14:paraId="440E918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35EF786">
            <w:pPr>
              <w:widowControl w:val="0"/>
              <w:tabs>
                <w:tab w:val="left" w:pos="360"/>
              </w:tabs>
              <w:adjustRightInd/>
              <w:spacing w:line="240" w:lineRule="atLeast"/>
              <w:ind w:firstLine="0" w:firstLineChars="0"/>
              <w:jc w:val="center"/>
              <w:textAlignment w:val="baseline"/>
              <w:rPr>
                <w:kern w:val="21"/>
                <w:sz w:val="20"/>
                <w:szCs w:val="21"/>
              </w:rPr>
            </w:pPr>
          </w:p>
        </w:tc>
      </w:tr>
      <w:tr w14:paraId="3BE3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C71F91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C21BAA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6AEFFD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四道沟</w:t>
            </w:r>
          </w:p>
        </w:tc>
        <w:tc>
          <w:tcPr>
            <w:tcW w:w="1306" w:type="dxa"/>
            <w:vAlign w:val="center"/>
          </w:tcPr>
          <w:p w14:paraId="3B6B1F7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92459AD">
            <w:pPr>
              <w:widowControl w:val="0"/>
              <w:tabs>
                <w:tab w:val="left" w:pos="360"/>
              </w:tabs>
              <w:adjustRightInd/>
              <w:spacing w:line="240" w:lineRule="atLeast"/>
              <w:ind w:firstLine="0" w:firstLineChars="0"/>
              <w:jc w:val="center"/>
              <w:textAlignment w:val="baseline"/>
              <w:rPr>
                <w:kern w:val="21"/>
                <w:sz w:val="20"/>
                <w:szCs w:val="21"/>
              </w:rPr>
            </w:pPr>
          </w:p>
        </w:tc>
      </w:tr>
      <w:tr w14:paraId="55A3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B115A1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2B2539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616313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五道沟</w:t>
            </w:r>
          </w:p>
        </w:tc>
        <w:tc>
          <w:tcPr>
            <w:tcW w:w="1306" w:type="dxa"/>
            <w:vAlign w:val="center"/>
          </w:tcPr>
          <w:p w14:paraId="17A0C34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CC6A586">
            <w:pPr>
              <w:widowControl w:val="0"/>
              <w:tabs>
                <w:tab w:val="left" w:pos="360"/>
              </w:tabs>
              <w:adjustRightInd/>
              <w:spacing w:line="240" w:lineRule="atLeast"/>
              <w:ind w:firstLine="0" w:firstLineChars="0"/>
              <w:jc w:val="center"/>
              <w:textAlignment w:val="baseline"/>
              <w:rPr>
                <w:kern w:val="21"/>
                <w:sz w:val="20"/>
                <w:szCs w:val="21"/>
              </w:rPr>
            </w:pPr>
          </w:p>
        </w:tc>
      </w:tr>
      <w:tr w14:paraId="5D2E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269ADF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35999E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FA7B41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六道沟</w:t>
            </w:r>
          </w:p>
        </w:tc>
        <w:tc>
          <w:tcPr>
            <w:tcW w:w="1306" w:type="dxa"/>
            <w:vAlign w:val="center"/>
          </w:tcPr>
          <w:p w14:paraId="306E2A8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E3CFD72">
            <w:pPr>
              <w:widowControl w:val="0"/>
              <w:tabs>
                <w:tab w:val="left" w:pos="360"/>
              </w:tabs>
              <w:adjustRightInd/>
              <w:spacing w:line="240" w:lineRule="atLeast"/>
              <w:ind w:firstLine="0" w:firstLineChars="0"/>
              <w:jc w:val="center"/>
              <w:textAlignment w:val="baseline"/>
              <w:rPr>
                <w:kern w:val="21"/>
                <w:sz w:val="20"/>
                <w:szCs w:val="21"/>
              </w:rPr>
            </w:pPr>
          </w:p>
        </w:tc>
      </w:tr>
      <w:tr w14:paraId="6680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929F73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362463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8E6D97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七道沟</w:t>
            </w:r>
          </w:p>
        </w:tc>
        <w:tc>
          <w:tcPr>
            <w:tcW w:w="1306" w:type="dxa"/>
            <w:vAlign w:val="center"/>
          </w:tcPr>
          <w:p w14:paraId="61CEB4B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93F4E7B">
            <w:pPr>
              <w:widowControl w:val="0"/>
              <w:tabs>
                <w:tab w:val="left" w:pos="360"/>
              </w:tabs>
              <w:adjustRightInd/>
              <w:spacing w:line="240" w:lineRule="atLeast"/>
              <w:ind w:firstLine="0" w:firstLineChars="0"/>
              <w:jc w:val="center"/>
              <w:textAlignment w:val="baseline"/>
              <w:rPr>
                <w:kern w:val="21"/>
                <w:sz w:val="20"/>
                <w:szCs w:val="21"/>
              </w:rPr>
            </w:pPr>
          </w:p>
        </w:tc>
      </w:tr>
      <w:tr w14:paraId="2F2E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91604B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556380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8BC4F5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湾沟子</w:t>
            </w:r>
          </w:p>
        </w:tc>
        <w:tc>
          <w:tcPr>
            <w:tcW w:w="1306" w:type="dxa"/>
            <w:vAlign w:val="center"/>
          </w:tcPr>
          <w:p w14:paraId="1CB4209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42394A9">
            <w:pPr>
              <w:widowControl w:val="0"/>
              <w:tabs>
                <w:tab w:val="left" w:pos="360"/>
              </w:tabs>
              <w:adjustRightInd/>
              <w:spacing w:line="240" w:lineRule="atLeast"/>
              <w:ind w:firstLine="0" w:firstLineChars="0"/>
              <w:jc w:val="center"/>
              <w:textAlignment w:val="baseline"/>
              <w:rPr>
                <w:kern w:val="21"/>
                <w:sz w:val="20"/>
                <w:szCs w:val="21"/>
              </w:rPr>
            </w:pPr>
          </w:p>
        </w:tc>
      </w:tr>
      <w:tr w14:paraId="6CD7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8AD2AF7">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97D3E7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0423F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小围子村</w:t>
            </w:r>
          </w:p>
        </w:tc>
        <w:tc>
          <w:tcPr>
            <w:tcW w:w="1306" w:type="dxa"/>
            <w:vAlign w:val="center"/>
          </w:tcPr>
          <w:p w14:paraId="11CA094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70529CD">
            <w:pPr>
              <w:widowControl w:val="0"/>
              <w:tabs>
                <w:tab w:val="left" w:pos="360"/>
              </w:tabs>
              <w:adjustRightInd/>
              <w:spacing w:line="240" w:lineRule="atLeast"/>
              <w:ind w:firstLine="0" w:firstLineChars="0"/>
              <w:jc w:val="center"/>
              <w:textAlignment w:val="baseline"/>
              <w:rPr>
                <w:kern w:val="21"/>
                <w:sz w:val="20"/>
                <w:szCs w:val="21"/>
              </w:rPr>
            </w:pPr>
          </w:p>
        </w:tc>
      </w:tr>
      <w:tr w14:paraId="380A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4F161C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6D7369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667F6D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晓阳村</w:t>
            </w:r>
          </w:p>
        </w:tc>
        <w:tc>
          <w:tcPr>
            <w:tcW w:w="1306" w:type="dxa"/>
            <w:vAlign w:val="center"/>
          </w:tcPr>
          <w:p w14:paraId="17D8B99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FB7BA1C">
            <w:pPr>
              <w:widowControl w:val="0"/>
              <w:tabs>
                <w:tab w:val="left" w:pos="360"/>
              </w:tabs>
              <w:adjustRightInd/>
              <w:spacing w:line="240" w:lineRule="atLeast"/>
              <w:ind w:firstLine="0" w:firstLineChars="0"/>
              <w:jc w:val="center"/>
              <w:textAlignment w:val="baseline"/>
              <w:rPr>
                <w:kern w:val="21"/>
                <w:sz w:val="20"/>
                <w:szCs w:val="21"/>
              </w:rPr>
            </w:pPr>
          </w:p>
        </w:tc>
      </w:tr>
      <w:tr w14:paraId="09C0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B935CB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009208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6D9673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湾沟子</w:t>
            </w:r>
          </w:p>
        </w:tc>
        <w:tc>
          <w:tcPr>
            <w:tcW w:w="1306" w:type="dxa"/>
            <w:vAlign w:val="center"/>
          </w:tcPr>
          <w:p w14:paraId="2ABA2C1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D375F40">
            <w:pPr>
              <w:widowControl w:val="0"/>
              <w:tabs>
                <w:tab w:val="left" w:pos="360"/>
              </w:tabs>
              <w:adjustRightInd/>
              <w:spacing w:line="240" w:lineRule="atLeast"/>
              <w:ind w:firstLine="0" w:firstLineChars="0"/>
              <w:jc w:val="center"/>
              <w:textAlignment w:val="baseline"/>
              <w:rPr>
                <w:kern w:val="21"/>
                <w:sz w:val="20"/>
                <w:szCs w:val="21"/>
              </w:rPr>
            </w:pPr>
          </w:p>
        </w:tc>
      </w:tr>
      <w:tr w14:paraId="114D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2C0F65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A1E51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757BFB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湖上</w:t>
            </w:r>
          </w:p>
        </w:tc>
        <w:tc>
          <w:tcPr>
            <w:tcW w:w="1306" w:type="dxa"/>
            <w:vAlign w:val="center"/>
          </w:tcPr>
          <w:p w14:paraId="3F1C009C">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850C5FB">
            <w:pPr>
              <w:widowControl w:val="0"/>
              <w:tabs>
                <w:tab w:val="left" w:pos="360"/>
              </w:tabs>
              <w:adjustRightInd/>
              <w:spacing w:line="240" w:lineRule="atLeast"/>
              <w:ind w:firstLine="0" w:firstLineChars="0"/>
              <w:jc w:val="center"/>
              <w:textAlignment w:val="baseline"/>
              <w:rPr>
                <w:kern w:val="21"/>
                <w:sz w:val="20"/>
                <w:szCs w:val="21"/>
              </w:rPr>
            </w:pPr>
          </w:p>
        </w:tc>
      </w:tr>
      <w:tr w14:paraId="3FDA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C7E7A8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69943F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AAA707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大肚子沟</w:t>
            </w:r>
          </w:p>
        </w:tc>
        <w:tc>
          <w:tcPr>
            <w:tcW w:w="1306" w:type="dxa"/>
            <w:vAlign w:val="center"/>
          </w:tcPr>
          <w:p w14:paraId="5462D4D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126ACB6">
            <w:pPr>
              <w:widowControl w:val="0"/>
              <w:tabs>
                <w:tab w:val="left" w:pos="360"/>
              </w:tabs>
              <w:adjustRightInd/>
              <w:spacing w:line="240" w:lineRule="atLeast"/>
              <w:ind w:firstLine="0" w:firstLineChars="0"/>
              <w:jc w:val="center"/>
              <w:textAlignment w:val="baseline"/>
              <w:rPr>
                <w:kern w:val="21"/>
                <w:sz w:val="20"/>
                <w:szCs w:val="21"/>
              </w:rPr>
            </w:pPr>
          </w:p>
        </w:tc>
      </w:tr>
      <w:tr w14:paraId="4B8F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8CD3EA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2D0B02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DB751A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窑场</w:t>
            </w:r>
          </w:p>
        </w:tc>
        <w:tc>
          <w:tcPr>
            <w:tcW w:w="1306" w:type="dxa"/>
            <w:vAlign w:val="center"/>
          </w:tcPr>
          <w:p w14:paraId="677F9B8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B831773">
            <w:pPr>
              <w:widowControl w:val="0"/>
              <w:tabs>
                <w:tab w:val="left" w:pos="360"/>
              </w:tabs>
              <w:adjustRightInd/>
              <w:spacing w:line="240" w:lineRule="atLeast"/>
              <w:ind w:firstLine="0" w:firstLineChars="0"/>
              <w:jc w:val="center"/>
              <w:textAlignment w:val="baseline"/>
              <w:rPr>
                <w:kern w:val="21"/>
                <w:sz w:val="20"/>
                <w:szCs w:val="21"/>
              </w:rPr>
            </w:pPr>
          </w:p>
        </w:tc>
      </w:tr>
      <w:tr w14:paraId="633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CC8FE9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B2E2DF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13090C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老营沟</w:t>
            </w:r>
          </w:p>
        </w:tc>
        <w:tc>
          <w:tcPr>
            <w:tcW w:w="1306" w:type="dxa"/>
            <w:vAlign w:val="center"/>
          </w:tcPr>
          <w:p w14:paraId="75E8BAD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218D4F1">
            <w:pPr>
              <w:widowControl w:val="0"/>
              <w:tabs>
                <w:tab w:val="left" w:pos="360"/>
              </w:tabs>
              <w:adjustRightInd/>
              <w:spacing w:line="240" w:lineRule="atLeast"/>
              <w:ind w:firstLine="0" w:firstLineChars="0"/>
              <w:jc w:val="center"/>
              <w:textAlignment w:val="baseline"/>
              <w:rPr>
                <w:kern w:val="21"/>
                <w:sz w:val="20"/>
                <w:szCs w:val="21"/>
              </w:rPr>
            </w:pPr>
          </w:p>
        </w:tc>
      </w:tr>
      <w:tr w14:paraId="4121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397F98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2E953A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1BB328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大门东岔</w:t>
            </w:r>
          </w:p>
        </w:tc>
        <w:tc>
          <w:tcPr>
            <w:tcW w:w="1306" w:type="dxa"/>
            <w:vAlign w:val="center"/>
          </w:tcPr>
          <w:p w14:paraId="3542303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7D2CB1C">
            <w:pPr>
              <w:widowControl w:val="0"/>
              <w:tabs>
                <w:tab w:val="left" w:pos="360"/>
              </w:tabs>
              <w:adjustRightInd/>
              <w:spacing w:line="240" w:lineRule="atLeast"/>
              <w:ind w:firstLine="0" w:firstLineChars="0"/>
              <w:jc w:val="center"/>
              <w:textAlignment w:val="baseline"/>
              <w:rPr>
                <w:kern w:val="21"/>
                <w:sz w:val="20"/>
                <w:szCs w:val="21"/>
              </w:rPr>
            </w:pPr>
          </w:p>
        </w:tc>
      </w:tr>
      <w:tr w14:paraId="4B48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658" w:type="dxa"/>
            <w:vMerge w:val="continue"/>
            <w:vAlign w:val="center"/>
          </w:tcPr>
          <w:p w14:paraId="0BD8B8F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628195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FE1464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小东门岔</w:t>
            </w:r>
          </w:p>
        </w:tc>
        <w:tc>
          <w:tcPr>
            <w:tcW w:w="1306" w:type="dxa"/>
            <w:vAlign w:val="center"/>
          </w:tcPr>
          <w:p w14:paraId="35A7B01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9AD6CDD">
            <w:pPr>
              <w:widowControl w:val="0"/>
              <w:tabs>
                <w:tab w:val="left" w:pos="360"/>
              </w:tabs>
              <w:adjustRightInd/>
              <w:spacing w:line="240" w:lineRule="atLeast"/>
              <w:ind w:firstLine="0" w:firstLineChars="0"/>
              <w:jc w:val="center"/>
              <w:textAlignment w:val="baseline"/>
              <w:rPr>
                <w:kern w:val="21"/>
                <w:sz w:val="20"/>
                <w:szCs w:val="21"/>
              </w:rPr>
            </w:pPr>
          </w:p>
        </w:tc>
      </w:tr>
      <w:tr w14:paraId="3802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88E15C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196244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88010C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头道阳岔村</w:t>
            </w:r>
          </w:p>
        </w:tc>
        <w:tc>
          <w:tcPr>
            <w:tcW w:w="1306" w:type="dxa"/>
            <w:vAlign w:val="center"/>
          </w:tcPr>
          <w:p w14:paraId="1949719E">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B5098CD">
            <w:pPr>
              <w:widowControl w:val="0"/>
              <w:tabs>
                <w:tab w:val="left" w:pos="360"/>
              </w:tabs>
              <w:adjustRightInd/>
              <w:spacing w:line="240" w:lineRule="atLeast"/>
              <w:ind w:firstLine="0" w:firstLineChars="0"/>
              <w:jc w:val="center"/>
              <w:textAlignment w:val="baseline"/>
              <w:rPr>
                <w:kern w:val="21"/>
                <w:sz w:val="20"/>
                <w:szCs w:val="21"/>
              </w:rPr>
            </w:pPr>
          </w:p>
        </w:tc>
      </w:tr>
      <w:tr w14:paraId="08AC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71D636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230700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F565BD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天桥沟</w:t>
            </w:r>
          </w:p>
        </w:tc>
        <w:tc>
          <w:tcPr>
            <w:tcW w:w="1306" w:type="dxa"/>
            <w:vAlign w:val="center"/>
          </w:tcPr>
          <w:p w14:paraId="543BB29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EC860DB">
            <w:pPr>
              <w:widowControl w:val="0"/>
              <w:tabs>
                <w:tab w:val="left" w:pos="360"/>
              </w:tabs>
              <w:adjustRightInd/>
              <w:spacing w:line="240" w:lineRule="atLeast"/>
              <w:ind w:firstLine="0" w:firstLineChars="0"/>
              <w:jc w:val="center"/>
              <w:textAlignment w:val="baseline"/>
              <w:rPr>
                <w:kern w:val="21"/>
                <w:sz w:val="20"/>
                <w:szCs w:val="21"/>
              </w:rPr>
            </w:pPr>
          </w:p>
        </w:tc>
      </w:tr>
      <w:tr w14:paraId="1BC8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6789E6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D11BB0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4B5814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头道阳岔</w:t>
            </w:r>
          </w:p>
        </w:tc>
        <w:tc>
          <w:tcPr>
            <w:tcW w:w="1306" w:type="dxa"/>
            <w:vAlign w:val="center"/>
          </w:tcPr>
          <w:p w14:paraId="21041E54">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F5B33CE">
            <w:pPr>
              <w:widowControl w:val="0"/>
              <w:tabs>
                <w:tab w:val="left" w:pos="360"/>
              </w:tabs>
              <w:adjustRightInd/>
              <w:spacing w:line="240" w:lineRule="atLeast"/>
              <w:ind w:firstLine="0" w:firstLineChars="0"/>
              <w:jc w:val="center"/>
              <w:textAlignment w:val="baseline"/>
              <w:rPr>
                <w:kern w:val="21"/>
                <w:sz w:val="20"/>
                <w:szCs w:val="21"/>
              </w:rPr>
            </w:pPr>
          </w:p>
        </w:tc>
      </w:tr>
      <w:tr w14:paraId="3DE7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3478FA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ABD4B6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9A0F2D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岭沟</w:t>
            </w:r>
          </w:p>
        </w:tc>
        <w:tc>
          <w:tcPr>
            <w:tcW w:w="1306" w:type="dxa"/>
            <w:vAlign w:val="center"/>
          </w:tcPr>
          <w:p w14:paraId="39422CE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37268C9">
            <w:pPr>
              <w:widowControl w:val="0"/>
              <w:tabs>
                <w:tab w:val="left" w:pos="360"/>
              </w:tabs>
              <w:adjustRightInd/>
              <w:spacing w:line="240" w:lineRule="atLeast"/>
              <w:ind w:firstLine="0" w:firstLineChars="0"/>
              <w:jc w:val="center"/>
              <w:textAlignment w:val="baseline"/>
              <w:rPr>
                <w:kern w:val="21"/>
                <w:sz w:val="20"/>
                <w:szCs w:val="21"/>
              </w:rPr>
            </w:pPr>
          </w:p>
        </w:tc>
      </w:tr>
      <w:tr w14:paraId="401C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63068198">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6</w:t>
            </w:r>
          </w:p>
        </w:tc>
        <w:tc>
          <w:tcPr>
            <w:tcW w:w="1461" w:type="dxa"/>
            <w:vMerge w:val="restart"/>
            <w:vAlign w:val="center"/>
          </w:tcPr>
          <w:p w14:paraId="3592A0C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干沟子村</w:t>
            </w:r>
          </w:p>
        </w:tc>
        <w:tc>
          <w:tcPr>
            <w:tcW w:w="2858" w:type="dxa"/>
            <w:vAlign w:val="bottom"/>
          </w:tcPr>
          <w:p w14:paraId="050C200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大五道阳岔</w:t>
            </w:r>
          </w:p>
        </w:tc>
        <w:tc>
          <w:tcPr>
            <w:tcW w:w="1306" w:type="dxa"/>
            <w:vAlign w:val="center"/>
          </w:tcPr>
          <w:p w14:paraId="4796A6E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BB734F6">
            <w:pPr>
              <w:widowControl w:val="0"/>
              <w:tabs>
                <w:tab w:val="left" w:pos="360"/>
              </w:tabs>
              <w:adjustRightInd/>
              <w:spacing w:line="240" w:lineRule="atLeast"/>
              <w:ind w:firstLine="0" w:firstLineChars="0"/>
              <w:jc w:val="center"/>
              <w:textAlignment w:val="baseline"/>
              <w:rPr>
                <w:kern w:val="21"/>
                <w:sz w:val="20"/>
                <w:szCs w:val="21"/>
              </w:rPr>
            </w:pPr>
          </w:p>
        </w:tc>
      </w:tr>
      <w:tr w14:paraId="44A7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32945F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731218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DBFF3F8">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南沟</w:t>
            </w:r>
          </w:p>
        </w:tc>
        <w:tc>
          <w:tcPr>
            <w:tcW w:w="1306" w:type="dxa"/>
            <w:vAlign w:val="center"/>
          </w:tcPr>
          <w:p w14:paraId="5F513CE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7A7176B">
            <w:pPr>
              <w:widowControl w:val="0"/>
              <w:tabs>
                <w:tab w:val="left" w:pos="360"/>
              </w:tabs>
              <w:adjustRightInd/>
              <w:spacing w:line="240" w:lineRule="atLeast"/>
              <w:ind w:firstLine="0" w:firstLineChars="0"/>
              <w:jc w:val="center"/>
              <w:textAlignment w:val="baseline"/>
              <w:rPr>
                <w:kern w:val="21"/>
                <w:sz w:val="20"/>
                <w:szCs w:val="21"/>
              </w:rPr>
            </w:pPr>
          </w:p>
        </w:tc>
      </w:tr>
      <w:tr w14:paraId="71CC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4E3E82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C3036C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68AE3E1">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干沟子村</w:t>
            </w:r>
          </w:p>
        </w:tc>
        <w:tc>
          <w:tcPr>
            <w:tcW w:w="1306" w:type="dxa"/>
            <w:vAlign w:val="center"/>
          </w:tcPr>
          <w:p w14:paraId="7A72822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ABFF419">
            <w:pPr>
              <w:widowControl w:val="0"/>
              <w:tabs>
                <w:tab w:val="left" w:pos="360"/>
              </w:tabs>
              <w:adjustRightInd/>
              <w:spacing w:line="240" w:lineRule="atLeast"/>
              <w:ind w:firstLine="0" w:firstLineChars="0"/>
              <w:jc w:val="center"/>
              <w:textAlignment w:val="baseline"/>
              <w:rPr>
                <w:kern w:val="21"/>
                <w:sz w:val="20"/>
                <w:szCs w:val="21"/>
              </w:rPr>
            </w:pPr>
          </w:p>
        </w:tc>
      </w:tr>
      <w:tr w14:paraId="13B4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9D5632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242A059">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E24BFB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干沟子</w:t>
            </w:r>
          </w:p>
        </w:tc>
        <w:tc>
          <w:tcPr>
            <w:tcW w:w="1306" w:type="dxa"/>
            <w:vAlign w:val="center"/>
          </w:tcPr>
          <w:p w14:paraId="35E5504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41B2F75">
            <w:pPr>
              <w:widowControl w:val="0"/>
              <w:tabs>
                <w:tab w:val="left" w:pos="360"/>
              </w:tabs>
              <w:adjustRightInd/>
              <w:spacing w:line="240" w:lineRule="atLeast"/>
              <w:ind w:firstLine="0" w:firstLineChars="0"/>
              <w:jc w:val="center"/>
              <w:textAlignment w:val="baseline"/>
              <w:rPr>
                <w:kern w:val="21"/>
                <w:sz w:val="20"/>
                <w:szCs w:val="21"/>
              </w:rPr>
            </w:pPr>
          </w:p>
        </w:tc>
      </w:tr>
      <w:tr w14:paraId="4FFE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5C2A2A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9EF552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1C31D8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四道阳岔</w:t>
            </w:r>
          </w:p>
        </w:tc>
        <w:tc>
          <w:tcPr>
            <w:tcW w:w="1306" w:type="dxa"/>
            <w:vAlign w:val="center"/>
          </w:tcPr>
          <w:p w14:paraId="3494AE6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7CA5752">
            <w:pPr>
              <w:widowControl w:val="0"/>
              <w:tabs>
                <w:tab w:val="left" w:pos="360"/>
              </w:tabs>
              <w:adjustRightInd/>
              <w:spacing w:line="240" w:lineRule="atLeast"/>
              <w:ind w:firstLine="0" w:firstLineChars="0"/>
              <w:jc w:val="center"/>
              <w:textAlignment w:val="baseline"/>
              <w:rPr>
                <w:kern w:val="21"/>
                <w:sz w:val="20"/>
                <w:szCs w:val="21"/>
              </w:rPr>
            </w:pPr>
          </w:p>
        </w:tc>
      </w:tr>
      <w:tr w14:paraId="76EA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920571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65869E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0F080C6">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小西北天</w:t>
            </w:r>
          </w:p>
        </w:tc>
        <w:tc>
          <w:tcPr>
            <w:tcW w:w="1306" w:type="dxa"/>
            <w:vAlign w:val="center"/>
          </w:tcPr>
          <w:p w14:paraId="06D8AF2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1898C9B">
            <w:pPr>
              <w:widowControl w:val="0"/>
              <w:tabs>
                <w:tab w:val="left" w:pos="360"/>
              </w:tabs>
              <w:adjustRightInd/>
              <w:spacing w:line="240" w:lineRule="atLeast"/>
              <w:ind w:firstLine="0" w:firstLineChars="0"/>
              <w:jc w:val="center"/>
              <w:textAlignment w:val="baseline"/>
              <w:rPr>
                <w:kern w:val="21"/>
                <w:sz w:val="20"/>
                <w:szCs w:val="21"/>
              </w:rPr>
            </w:pPr>
          </w:p>
        </w:tc>
      </w:tr>
      <w:tr w14:paraId="0E46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69AF62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6161EA2">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6049A7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干沟子四队</w:t>
            </w:r>
          </w:p>
        </w:tc>
        <w:tc>
          <w:tcPr>
            <w:tcW w:w="1306" w:type="dxa"/>
            <w:vAlign w:val="center"/>
          </w:tcPr>
          <w:p w14:paraId="7906EA18">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19F9BEB">
            <w:pPr>
              <w:widowControl w:val="0"/>
              <w:tabs>
                <w:tab w:val="left" w:pos="360"/>
              </w:tabs>
              <w:adjustRightInd/>
              <w:spacing w:line="240" w:lineRule="atLeast"/>
              <w:ind w:firstLine="0" w:firstLineChars="0"/>
              <w:jc w:val="center"/>
              <w:textAlignment w:val="baseline"/>
              <w:rPr>
                <w:kern w:val="21"/>
                <w:sz w:val="20"/>
                <w:szCs w:val="21"/>
              </w:rPr>
            </w:pPr>
          </w:p>
        </w:tc>
      </w:tr>
      <w:tr w14:paraId="5718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FF9198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0DD6A6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688B07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三道阳岔</w:t>
            </w:r>
          </w:p>
        </w:tc>
        <w:tc>
          <w:tcPr>
            <w:tcW w:w="1306" w:type="dxa"/>
            <w:vAlign w:val="center"/>
          </w:tcPr>
          <w:p w14:paraId="7699ACC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8A855A5">
            <w:pPr>
              <w:widowControl w:val="0"/>
              <w:tabs>
                <w:tab w:val="left" w:pos="360"/>
              </w:tabs>
              <w:adjustRightInd/>
              <w:spacing w:line="240" w:lineRule="atLeast"/>
              <w:ind w:firstLine="0" w:firstLineChars="0"/>
              <w:jc w:val="center"/>
              <w:textAlignment w:val="baseline"/>
              <w:rPr>
                <w:kern w:val="21"/>
                <w:sz w:val="20"/>
                <w:szCs w:val="21"/>
              </w:rPr>
            </w:pPr>
          </w:p>
        </w:tc>
      </w:tr>
      <w:tr w14:paraId="5BCA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764D7C94">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7</w:t>
            </w:r>
          </w:p>
        </w:tc>
        <w:tc>
          <w:tcPr>
            <w:tcW w:w="1461" w:type="dxa"/>
            <w:vMerge w:val="restart"/>
            <w:vAlign w:val="center"/>
          </w:tcPr>
          <w:p w14:paraId="7694D35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秋皮沟村</w:t>
            </w:r>
          </w:p>
        </w:tc>
        <w:tc>
          <w:tcPr>
            <w:tcW w:w="2858" w:type="dxa"/>
            <w:vAlign w:val="bottom"/>
          </w:tcPr>
          <w:p w14:paraId="200ED94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南天门</w:t>
            </w:r>
          </w:p>
        </w:tc>
        <w:tc>
          <w:tcPr>
            <w:tcW w:w="1306" w:type="dxa"/>
            <w:vAlign w:val="center"/>
          </w:tcPr>
          <w:p w14:paraId="28A392E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F5AACCE">
            <w:pPr>
              <w:widowControl w:val="0"/>
              <w:tabs>
                <w:tab w:val="left" w:pos="360"/>
              </w:tabs>
              <w:adjustRightInd/>
              <w:spacing w:line="240" w:lineRule="atLeast"/>
              <w:ind w:firstLine="0" w:firstLineChars="0"/>
              <w:jc w:val="center"/>
              <w:textAlignment w:val="baseline"/>
              <w:rPr>
                <w:kern w:val="21"/>
                <w:sz w:val="20"/>
                <w:szCs w:val="21"/>
              </w:rPr>
            </w:pPr>
          </w:p>
        </w:tc>
      </w:tr>
      <w:tr w14:paraId="427F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6D5DED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44981A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42A309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秋皮沟村</w:t>
            </w:r>
          </w:p>
        </w:tc>
        <w:tc>
          <w:tcPr>
            <w:tcW w:w="1306" w:type="dxa"/>
            <w:vAlign w:val="center"/>
          </w:tcPr>
          <w:p w14:paraId="6660ADE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6A90511">
            <w:pPr>
              <w:widowControl w:val="0"/>
              <w:tabs>
                <w:tab w:val="left" w:pos="360"/>
              </w:tabs>
              <w:adjustRightInd/>
              <w:spacing w:line="240" w:lineRule="atLeast"/>
              <w:ind w:firstLine="0" w:firstLineChars="0"/>
              <w:jc w:val="center"/>
              <w:textAlignment w:val="baseline"/>
              <w:rPr>
                <w:kern w:val="21"/>
                <w:sz w:val="20"/>
                <w:szCs w:val="21"/>
              </w:rPr>
            </w:pPr>
          </w:p>
        </w:tc>
      </w:tr>
      <w:tr w14:paraId="444A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0779DC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A111060">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3C1265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小夹板沟</w:t>
            </w:r>
          </w:p>
        </w:tc>
        <w:tc>
          <w:tcPr>
            <w:tcW w:w="1306" w:type="dxa"/>
            <w:vAlign w:val="center"/>
          </w:tcPr>
          <w:p w14:paraId="0ADBEAB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4D50848">
            <w:pPr>
              <w:widowControl w:val="0"/>
              <w:tabs>
                <w:tab w:val="left" w:pos="360"/>
              </w:tabs>
              <w:adjustRightInd/>
              <w:spacing w:line="240" w:lineRule="atLeast"/>
              <w:ind w:firstLine="0" w:firstLineChars="0"/>
              <w:jc w:val="center"/>
              <w:textAlignment w:val="baseline"/>
              <w:rPr>
                <w:kern w:val="21"/>
                <w:sz w:val="20"/>
                <w:szCs w:val="21"/>
              </w:rPr>
            </w:pPr>
          </w:p>
        </w:tc>
      </w:tr>
      <w:tr w14:paraId="0618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DF0379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18A949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C17DFBF">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小东沟</w:t>
            </w:r>
          </w:p>
        </w:tc>
        <w:tc>
          <w:tcPr>
            <w:tcW w:w="1306" w:type="dxa"/>
            <w:vAlign w:val="center"/>
          </w:tcPr>
          <w:p w14:paraId="79F80E9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464DCEB">
            <w:pPr>
              <w:widowControl w:val="0"/>
              <w:tabs>
                <w:tab w:val="left" w:pos="360"/>
              </w:tabs>
              <w:adjustRightInd/>
              <w:spacing w:line="240" w:lineRule="atLeast"/>
              <w:ind w:firstLine="0" w:firstLineChars="0"/>
              <w:jc w:val="center"/>
              <w:textAlignment w:val="baseline"/>
              <w:rPr>
                <w:kern w:val="21"/>
                <w:sz w:val="20"/>
                <w:szCs w:val="21"/>
              </w:rPr>
            </w:pPr>
          </w:p>
        </w:tc>
      </w:tr>
      <w:tr w14:paraId="6A1C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A1875C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DB672A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6165E13">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大夹板沟</w:t>
            </w:r>
          </w:p>
        </w:tc>
        <w:tc>
          <w:tcPr>
            <w:tcW w:w="1306" w:type="dxa"/>
            <w:vAlign w:val="center"/>
          </w:tcPr>
          <w:p w14:paraId="40EE178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E6DD407">
            <w:pPr>
              <w:widowControl w:val="0"/>
              <w:tabs>
                <w:tab w:val="left" w:pos="360"/>
              </w:tabs>
              <w:adjustRightInd/>
              <w:spacing w:line="240" w:lineRule="atLeast"/>
              <w:ind w:firstLine="0" w:firstLineChars="0"/>
              <w:jc w:val="center"/>
              <w:textAlignment w:val="baseline"/>
              <w:rPr>
                <w:kern w:val="21"/>
                <w:sz w:val="20"/>
                <w:szCs w:val="21"/>
              </w:rPr>
            </w:pPr>
          </w:p>
        </w:tc>
      </w:tr>
      <w:tr w14:paraId="4D83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5524BE0">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F60D8A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386CC5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秋皮沟</w:t>
            </w:r>
          </w:p>
        </w:tc>
        <w:tc>
          <w:tcPr>
            <w:tcW w:w="1306" w:type="dxa"/>
            <w:vAlign w:val="center"/>
          </w:tcPr>
          <w:p w14:paraId="5B447B2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88FA6E2">
            <w:pPr>
              <w:widowControl w:val="0"/>
              <w:tabs>
                <w:tab w:val="left" w:pos="360"/>
              </w:tabs>
              <w:adjustRightInd/>
              <w:spacing w:line="240" w:lineRule="atLeast"/>
              <w:ind w:firstLine="0" w:firstLineChars="0"/>
              <w:jc w:val="center"/>
              <w:textAlignment w:val="baseline"/>
              <w:rPr>
                <w:kern w:val="21"/>
                <w:sz w:val="20"/>
                <w:szCs w:val="21"/>
              </w:rPr>
            </w:pPr>
          </w:p>
        </w:tc>
      </w:tr>
      <w:tr w14:paraId="76F9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D77D3D8">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4B3FE378">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E32C75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老房家沟</w:t>
            </w:r>
          </w:p>
        </w:tc>
        <w:tc>
          <w:tcPr>
            <w:tcW w:w="1306" w:type="dxa"/>
            <w:vAlign w:val="center"/>
          </w:tcPr>
          <w:p w14:paraId="7CC5B2D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8030312">
            <w:pPr>
              <w:widowControl w:val="0"/>
              <w:tabs>
                <w:tab w:val="left" w:pos="360"/>
              </w:tabs>
              <w:adjustRightInd/>
              <w:spacing w:line="240" w:lineRule="atLeast"/>
              <w:ind w:firstLine="0" w:firstLineChars="0"/>
              <w:jc w:val="center"/>
              <w:textAlignment w:val="baseline"/>
              <w:rPr>
                <w:kern w:val="21"/>
                <w:sz w:val="20"/>
                <w:szCs w:val="21"/>
              </w:rPr>
            </w:pPr>
          </w:p>
        </w:tc>
      </w:tr>
      <w:tr w14:paraId="4DCB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D78F0B4">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133160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7BEDB4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前沟</w:t>
            </w:r>
          </w:p>
        </w:tc>
        <w:tc>
          <w:tcPr>
            <w:tcW w:w="1306" w:type="dxa"/>
            <w:vAlign w:val="center"/>
          </w:tcPr>
          <w:p w14:paraId="45CBC59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C118901">
            <w:pPr>
              <w:widowControl w:val="0"/>
              <w:tabs>
                <w:tab w:val="left" w:pos="360"/>
              </w:tabs>
              <w:adjustRightInd/>
              <w:spacing w:line="240" w:lineRule="atLeast"/>
              <w:ind w:firstLine="0" w:firstLineChars="0"/>
              <w:jc w:val="center"/>
              <w:textAlignment w:val="baseline"/>
              <w:rPr>
                <w:kern w:val="21"/>
                <w:sz w:val="20"/>
                <w:szCs w:val="21"/>
              </w:rPr>
            </w:pPr>
          </w:p>
        </w:tc>
      </w:tr>
      <w:tr w14:paraId="6202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F25B15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A72DF5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DB3CD2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小西沟</w:t>
            </w:r>
          </w:p>
        </w:tc>
        <w:tc>
          <w:tcPr>
            <w:tcW w:w="1306" w:type="dxa"/>
            <w:vAlign w:val="center"/>
          </w:tcPr>
          <w:p w14:paraId="04E9E0F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DB21AEC">
            <w:pPr>
              <w:widowControl w:val="0"/>
              <w:tabs>
                <w:tab w:val="left" w:pos="360"/>
              </w:tabs>
              <w:adjustRightInd/>
              <w:spacing w:line="240" w:lineRule="atLeast"/>
              <w:ind w:firstLine="0" w:firstLineChars="0"/>
              <w:jc w:val="center"/>
              <w:textAlignment w:val="baseline"/>
              <w:rPr>
                <w:kern w:val="21"/>
                <w:sz w:val="20"/>
                <w:szCs w:val="21"/>
              </w:rPr>
            </w:pPr>
          </w:p>
        </w:tc>
      </w:tr>
      <w:tr w14:paraId="1AB4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CDDC35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950AE1D">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1938DF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西沟</w:t>
            </w:r>
          </w:p>
        </w:tc>
        <w:tc>
          <w:tcPr>
            <w:tcW w:w="1306" w:type="dxa"/>
            <w:vAlign w:val="center"/>
          </w:tcPr>
          <w:p w14:paraId="3D08DB9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9156A15">
            <w:pPr>
              <w:widowControl w:val="0"/>
              <w:tabs>
                <w:tab w:val="left" w:pos="360"/>
              </w:tabs>
              <w:adjustRightInd/>
              <w:spacing w:line="240" w:lineRule="atLeast"/>
              <w:ind w:firstLine="0" w:firstLineChars="0"/>
              <w:jc w:val="center"/>
              <w:textAlignment w:val="baseline"/>
              <w:rPr>
                <w:kern w:val="21"/>
                <w:sz w:val="20"/>
                <w:szCs w:val="21"/>
              </w:rPr>
            </w:pPr>
          </w:p>
        </w:tc>
      </w:tr>
      <w:tr w14:paraId="633C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C8A1955">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BC5F92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BC33A10">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西岔</w:t>
            </w:r>
          </w:p>
        </w:tc>
        <w:tc>
          <w:tcPr>
            <w:tcW w:w="1306" w:type="dxa"/>
            <w:vAlign w:val="center"/>
          </w:tcPr>
          <w:p w14:paraId="1BCB65BB">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2F30AAE7">
            <w:pPr>
              <w:widowControl w:val="0"/>
              <w:tabs>
                <w:tab w:val="left" w:pos="360"/>
              </w:tabs>
              <w:adjustRightInd/>
              <w:spacing w:line="240" w:lineRule="atLeast"/>
              <w:ind w:firstLine="0" w:firstLineChars="0"/>
              <w:jc w:val="center"/>
              <w:textAlignment w:val="baseline"/>
              <w:rPr>
                <w:kern w:val="21"/>
                <w:sz w:val="20"/>
                <w:szCs w:val="21"/>
              </w:rPr>
            </w:pPr>
          </w:p>
        </w:tc>
      </w:tr>
      <w:tr w14:paraId="0739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C011CFC">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0FEC143">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05148B5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秋皮沟六队</w:t>
            </w:r>
          </w:p>
        </w:tc>
        <w:tc>
          <w:tcPr>
            <w:tcW w:w="1306" w:type="dxa"/>
            <w:vAlign w:val="center"/>
          </w:tcPr>
          <w:p w14:paraId="03B680E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149652C">
            <w:pPr>
              <w:widowControl w:val="0"/>
              <w:tabs>
                <w:tab w:val="left" w:pos="360"/>
              </w:tabs>
              <w:adjustRightInd/>
              <w:spacing w:line="240" w:lineRule="atLeast"/>
              <w:ind w:firstLine="0" w:firstLineChars="0"/>
              <w:jc w:val="center"/>
              <w:textAlignment w:val="baseline"/>
              <w:rPr>
                <w:kern w:val="21"/>
                <w:sz w:val="20"/>
                <w:szCs w:val="21"/>
              </w:rPr>
            </w:pPr>
          </w:p>
        </w:tc>
      </w:tr>
      <w:tr w14:paraId="5B2F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9A6EC7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7D6F47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9A84C0A">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北岔</w:t>
            </w:r>
          </w:p>
        </w:tc>
        <w:tc>
          <w:tcPr>
            <w:tcW w:w="1306" w:type="dxa"/>
            <w:vAlign w:val="center"/>
          </w:tcPr>
          <w:p w14:paraId="137A1BE1">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F158BF3">
            <w:pPr>
              <w:widowControl w:val="0"/>
              <w:tabs>
                <w:tab w:val="left" w:pos="360"/>
              </w:tabs>
              <w:adjustRightInd/>
              <w:spacing w:line="240" w:lineRule="atLeast"/>
              <w:ind w:firstLine="0" w:firstLineChars="0"/>
              <w:jc w:val="center"/>
              <w:textAlignment w:val="baseline"/>
              <w:rPr>
                <w:kern w:val="21"/>
                <w:sz w:val="20"/>
                <w:szCs w:val="21"/>
              </w:rPr>
            </w:pPr>
          </w:p>
        </w:tc>
      </w:tr>
      <w:tr w14:paraId="04CB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83C13F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1061BB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BCA83F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小东沟</w:t>
            </w:r>
          </w:p>
        </w:tc>
        <w:tc>
          <w:tcPr>
            <w:tcW w:w="1306" w:type="dxa"/>
            <w:vAlign w:val="center"/>
          </w:tcPr>
          <w:p w14:paraId="606C84C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47D5D3CF">
            <w:pPr>
              <w:widowControl w:val="0"/>
              <w:tabs>
                <w:tab w:val="left" w:pos="360"/>
              </w:tabs>
              <w:adjustRightInd/>
              <w:spacing w:line="240" w:lineRule="atLeast"/>
              <w:ind w:firstLine="0" w:firstLineChars="0"/>
              <w:jc w:val="center"/>
              <w:textAlignment w:val="baseline"/>
              <w:rPr>
                <w:kern w:val="21"/>
                <w:sz w:val="20"/>
                <w:szCs w:val="21"/>
              </w:rPr>
            </w:pPr>
          </w:p>
        </w:tc>
      </w:tr>
      <w:tr w14:paraId="77D5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2FDD7A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D2B466F">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C94AA05">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东沟</w:t>
            </w:r>
          </w:p>
        </w:tc>
        <w:tc>
          <w:tcPr>
            <w:tcW w:w="1306" w:type="dxa"/>
            <w:vAlign w:val="center"/>
          </w:tcPr>
          <w:p w14:paraId="49E622B3">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BDDA36F">
            <w:pPr>
              <w:widowControl w:val="0"/>
              <w:tabs>
                <w:tab w:val="left" w:pos="360"/>
              </w:tabs>
              <w:adjustRightInd/>
              <w:spacing w:line="240" w:lineRule="atLeast"/>
              <w:ind w:firstLine="0" w:firstLineChars="0"/>
              <w:jc w:val="center"/>
              <w:textAlignment w:val="baseline"/>
              <w:rPr>
                <w:kern w:val="21"/>
                <w:sz w:val="20"/>
                <w:szCs w:val="21"/>
              </w:rPr>
            </w:pPr>
          </w:p>
        </w:tc>
      </w:tr>
      <w:tr w14:paraId="0120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9D8EB1A">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D36E3FC">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889119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吃水洞</w:t>
            </w:r>
          </w:p>
        </w:tc>
        <w:tc>
          <w:tcPr>
            <w:tcW w:w="1306" w:type="dxa"/>
            <w:vAlign w:val="center"/>
          </w:tcPr>
          <w:p w14:paraId="41EB700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04486DC9">
            <w:pPr>
              <w:widowControl w:val="0"/>
              <w:tabs>
                <w:tab w:val="left" w:pos="360"/>
              </w:tabs>
              <w:adjustRightInd/>
              <w:spacing w:line="240" w:lineRule="atLeast"/>
              <w:ind w:firstLine="0" w:firstLineChars="0"/>
              <w:jc w:val="center"/>
              <w:textAlignment w:val="baseline"/>
              <w:rPr>
                <w:kern w:val="21"/>
                <w:sz w:val="20"/>
                <w:szCs w:val="21"/>
              </w:rPr>
            </w:pPr>
          </w:p>
        </w:tc>
      </w:tr>
      <w:tr w14:paraId="2A1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44955050">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8</w:t>
            </w:r>
          </w:p>
        </w:tc>
        <w:tc>
          <w:tcPr>
            <w:tcW w:w="1461" w:type="dxa"/>
            <w:vMerge w:val="restart"/>
            <w:vAlign w:val="center"/>
          </w:tcPr>
          <w:p w14:paraId="51F23CDB">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北沟村</w:t>
            </w:r>
          </w:p>
        </w:tc>
        <w:tc>
          <w:tcPr>
            <w:tcW w:w="2858" w:type="dxa"/>
            <w:vAlign w:val="bottom"/>
          </w:tcPr>
          <w:p w14:paraId="40444C7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曲家沟</w:t>
            </w:r>
          </w:p>
        </w:tc>
        <w:tc>
          <w:tcPr>
            <w:tcW w:w="1306" w:type="dxa"/>
            <w:vAlign w:val="center"/>
          </w:tcPr>
          <w:p w14:paraId="0C29AE7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BD1F497">
            <w:pPr>
              <w:widowControl w:val="0"/>
              <w:tabs>
                <w:tab w:val="left" w:pos="360"/>
              </w:tabs>
              <w:adjustRightInd/>
              <w:spacing w:line="240" w:lineRule="atLeast"/>
              <w:ind w:firstLine="0" w:firstLineChars="0"/>
              <w:jc w:val="center"/>
              <w:textAlignment w:val="baseline"/>
              <w:rPr>
                <w:kern w:val="21"/>
                <w:sz w:val="20"/>
                <w:szCs w:val="21"/>
              </w:rPr>
            </w:pPr>
          </w:p>
        </w:tc>
      </w:tr>
      <w:tr w14:paraId="187C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6" w:hRule="atLeast"/>
          <w:jc w:val="center"/>
        </w:trPr>
        <w:tc>
          <w:tcPr>
            <w:tcW w:w="1658" w:type="dxa"/>
            <w:vMerge w:val="continue"/>
            <w:vAlign w:val="center"/>
          </w:tcPr>
          <w:p w14:paraId="7F681E3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130AB7A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1FE369F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马圈沟</w:t>
            </w:r>
          </w:p>
        </w:tc>
        <w:tc>
          <w:tcPr>
            <w:tcW w:w="1306" w:type="dxa"/>
            <w:vAlign w:val="center"/>
          </w:tcPr>
          <w:p w14:paraId="0E815EC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5D75687">
            <w:pPr>
              <w:widowControl w:val="0"/>
              <w:tabs>
                <w:tab w:val="left" w:pos="360"/>
              </w:tabs>
              <w:adjustRightInd/>
              <w:spacing w:line="240" w:lineRule="atLeast"/>
              <w:ind w:firstLine="0" w:firstLineChars="0"/>
              <w:jc w:val="center"/>
              <w:textAlignment w:val="baseline"/>
              <w:rPr>
                <w:kern w:val="21"/>
                <w:sz w:val="20"/>
                <w:szCs w:val="21"/>
              </w:rPr>
            </w:pPr>
          </w:p>
        </w:tc>
      </w:tr>
      <w:tr w14:paraId="42CD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E239FBF">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A51CCA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FA834D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南干沟子</w:t>
            </w:r>
          </w:p>
        </w:tc>
        <w:tc>
          <w:tcPr>
            <w:tcW w:w="1306" w:type="dxa"/>
            <w:vAlign w:val="center"/>
          </w:tcPr>
          <w:p w14:paraId="4898780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7ADDE58">
            <w:pPr>
              <w:widowControl w:val="0"/>
              <w:tabs>
                <w:tab w:val="left" w:pos="360"/>
              </w:tabs>
              <w:adjustRightInd/>
              <w:spacing w:line="240" w:lineRule="atLeast"/>
              <w:ind w:firstLine="0" w:firstLineChars="0"/>
              <w:jc w:val="center"/>
              <w:textAlignment w:val="baseline"/>
              <w:rPr>
                <w:kern w:val="21"/>
                <w:sz w:val="20"/>
                <w:szCs w:val="21"/>
              </w:rPr>
            </w:pPr>
          </w:p>
        </w:tc>
      </w:tr>
      <w:tr w14:paraId="523E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1AE1632">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w:t>
            </w:r>
          </w:p>
          <w:p w14:paraId="3141845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029DC56">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AD40D6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大西北天</w:t>
            </w:r>
          </w:p>
        </w:tc>
        <w:tc>
          <w:tcPr>
            <w:tcW w:w="1306" w:type="dxa"/>
            <w:vAlign w:val="center"/>
          </w:tcPr>
          <w:p w14:paraId="2C8010CF">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E165EB1">
            <w:pPr>
              <w:widowControl w:val="0"/>
              <w:tabs>
                <w:tab w:val="left" w:pos="360"/>
              </w:tabs>
              <w:adjustRightInd/>
              <w:spacing w:line="240" w:lineRule="atLeast"/>
              <w:ind w:firstLine="0" w:firstLineChars="0"/>
              <w:jc w:val="center"/>
              <w:textAlignment w:val="baseline"/>
              <w:rPr>
                <w:kern w:val="21"/>
                <w:sz w:val="20"/>
                <w:szCs w:val="21"/>
              </w:rPr>
            </w:pPr>
          </w:p>
        </w:tc>
      </w:tr>
      <w:tr w14:paraId="0517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1D71918">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1FACF4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77DDB05C">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猪打泥沟</w:t>
            </w:r>
          </w:p>
        </w:tc>
        <w:tc>
          <w:tcPr>
            <w:tcW w:w="1306" w:type="dxa"/>
            <w:vAlign w:val="center"/>
          </w:tcPr>
          <w:p w14:paraId="06EB8D5A">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1F1ABA6">
            <w:pPr>
              <w:widowControl w:val="0"/>
              <w:tabs>
                <w:tab w:val="left" w:pos="360"/>
              </w:tabs>
              <w:adjustRightInd/>
              <w:spacing w:line="240" w:lineRule="atLeast"/>
              <w:ind w:firstLine="0" w:firstLineChars="0"/>
              <w:jc w:val="center"/>
              <w:textAlignment w:val="baseline"/>
              <w:rPr>
                <w:kern w:val="21"/>
                <w:sz w:val="20"/>
                <w:szCs w:val="21"/>
              </w:rPr>
            </w:pPr>
          </w:p>
        </w:tc>
      </w:tr>
      <w:tr w14:paraId="52DD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B6253C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774EBDF4">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A0C42B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杨家沟</w:t>
            </w:r>
          </w:p>
        </w:tc>
        <w:tc>
          <w:tcPr>
            <w:tcW w:w="1306" w:type="dxa"/>
            <w:vAlign w:val="center"/>
          </w:tcPr>
          <w:p w14:paraId="254852B6">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C1AA8B7">
            <w:pPr>
              <w:widowControl w:val="0"/>
              <w:tabs>
                <w:tab w:val="left" w:pos="360"/>
              </w:tabs>
              <w:adjustRightInd/>
              <w:spacing w:line="240" w:lineRule="atLeast"/>
              <w:ind w:firstLine="0" w:firstLineChars="0"/>
              <w:jc w:val="center"/>
              <w:textAlignment w:val="baseline"/>
              <w:rPr>
                <w:kern w:val="21"/>
                <w:sz w:val="20"/>
                <w:szCs w:val="21"/>
              </w:rPr>
            </w:pPr>
          </w:p>
        </w:tc>
      </w:tr>
      <w:tr w14:paraId="2795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B4C5A1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FBC2A7B">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7719434">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马当沟</w:t>
            </w:r>
          </w:p>
        </w:tc>
        <w:tc>
          <w:tcPr>
            <w:tcW w:w="1306" w:type="dxa"/>
            <w:vAlign w:val="center"/>
          </w:tcPr>
          <w:p w14:paraId="5D9B1E5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36C680A8">
            <w:pPr>
              <w:widowControl w:val="0"/>
              <w:tabs>
                <w:tab w:val="left" w:pos="360"/>
              </w:tabs>
              <w:adjustRightInd/>
              <w:spacing w:line="240" w:lineRule="atLeast"/>
              <w:ind w:firstLine="0" w:firstLineChars="0"/>
              <w:jc w:val="center"/>
              <w:textAlignment w:val="baseline"/>
              <w:rPr>
                <w:kern w:val="21"/>
                <w:sz w:val="20"/>
                <w:szCs w:val="21"/>
              </w:rPr>
            </w:pPr>
          </w:p>
        </w:tc>
      </w:tr>
      <w:tr w14:paraId="18B8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A92E42D">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31F0D36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EA5674B">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北沟村</w:t>
            </w:r>
          </w:p>
        </w:tc>
        <w:tc>
          <w:tcPr>
            <w:tcW w:w="1306" w:type="dxa"/>
            <w:vAlign w:val="center"/>
          </w:tcPr>
          <w:p w14:paraId="61EF4E2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65567246">
            <w:pPr>
              <w:widowControl w:val="0"/>
              <w:tabs>
                <w:tab w:val="left" w:pos="360"/>
              </w:tabs>
              <w:adjustRightInd/>
              <w:spacing w:line="240" w:lineRule="atLeast"/>
              <w:ind w:firstLine="0" w:firstLineChars="0"/>
              <w:jc w:val="center"/>
              <w:textAlignment w:val="baseline"/>
              <w:rPr>
                <w:kern w:val="21"/>
                <w:sz w:val="20"/>
                <w:szCs w:val="21"/>
              </w:rPr>
            </w:pPr>
          </w:p>
        </w:tc>
      </w:tr>
      <w:tr w14:paraId="6007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BEDECD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CE3B85E">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30B970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北干沟子</w:t>
            </w:r>
          </w:p>
        </w:tc>
        <w:tc>
          <w:tcPr>
            <w:tcW w:w="1306" w:type="dxa"/>
            <w:vAlign w:val="center"/>
          </w:tcPr>
          <w:p w14:paraId="1FA1F8E5">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E651015">
            <w:pPr>
              <w:widowControl w:val="0"/>
              <w:tabs>
                <w:tab w:val="left" w:pos="360"/>
              </w:tabs>
              <w:adjustRightInd/>
              <w:spacing w:line="240" w:lineRule="atLeast"/>
              <w:ind w:firstLine="0" w:firstLineChars="0"/>
              <w:jc w:val="center"/>
              <w:textAlignment w:val="baseline"/>
              <w:rPr>
                <w:kern w:val="21"/>
                <w:sz w:val="20"/>
                <w:szCs w:val="21"/>
              </w:rPr>
            </w:pPr>
          </w:p>
        </w:tc>
      </w:tr>
      <w:tr w14:paraId="7B2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88EB3FE">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00B0C22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2AECF78D">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童家沟</w:t>
            </w:r>
          </w:p>
        </w:tc>
        <w:tc>
          <w:tcPr>
            <w:tcW w:w="1306" w:type="dxa"/>
            <w:vAlign w:val="center"/>
          </w:tcPr>
          <w:p w14:paraId="0EE880D7">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748B74DD">
            <w:pPr>
              <w:widowControl w:val="0"/>
              <w:tabs>
                <w:tab w:val="left" w:pos="360"/>
              </w:tabs>
              <w:adjustRightInd/>
              <w:spacing w:line="240" w:lineRule="atLeast"/>
              <w:ind w:firstLine="0" w:firstLineChars="0"/>
              <w:jc w:val="center"/>
              <w:textAlignment w:val="baseline"/>
              <w:rPr>
                <w:kern w:val="21"/>
                <w:sz w:val="20"/>
                <w:szCs w:val="21"/>
              </w:rPr>
            </w:pPr>
          </w:p>
        </w:tc>
      </w:tr>
      <w:tr w14:paraId="3B74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EB9EEF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2EC8F60A">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4455546E">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跳石湖沟</w:t>
            </w:r>
          </w:p>
        </w:tc>
        <w:tc>
          <w:tcPr>
            <w:tcW w:w="1306" w:type="dxa"/>
            <w:vAlign w:val="center"/>
          </w:tcPr>
          <w:p w14:paraId="78DDCD82">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FD1D101">
            <w:pPr>
              <w:widowControl w:val="0"/>
              <w:tabs>
                <w:tab w:val="left" w:pos="360"/>
              </w:tabs>
              <w:adjustRightInd/>
              <w:spacing w:line="240" w:lineRule="atLeast"/>
              <w:ind w:firstLine="0" w:firstLineChars="0"/>
              <w:jc w:val="center"/>
              <w:textAlignment w:val="baseline"/>
              <w:rPr>
                <w:kern w:val="21"/>
                <w:sz w:val="20"/>
                <w:szCs w:val="21"/>
              </w:rPr>
            </w:pPr>
          </w:p>
        </w:tc>
      </w:tr>
      <w:tr w14:paraId="3994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894D6F3">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F7E3E51">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68D47BD9">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火神庙沟</w:t>
            </w:r>
          </w:p>
        </w:tc>
        <w:tc>
          <w:tcPr>
            <w:tcW w:w="1306" w:type="dxa"/>
            <w:vAlign w:val="center"/>
          </w:tcPr>
          <w:p w14:paraId="7B9FCD8D">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0F1EFF7">
            <w:pPr>
              <w:widowControl w:val="0"/>
              <w:tabs>
                <w:tab w:val="left" w:pos="360"/>
              </w:tabs>
              <w:adjustRightInd/>
              <w:spacing w:line="240" w:lineRule="atLeast"/>
              <w:ind w:firstLine="0" w:firstLineChars="0"/>
              <w:jc w:val="center"/>
              <w:textAlignment w:val="baseline"/>
              <w:rPr>
                <w:kern w:val="21"/>
                <w:sz w:val="20"/>
                <w:szCs w:val="21"/>
              </w:rPr>
            </w:pPr>
          </w:p>
        </w:tc>
      </w:tr>
      <w:tr w14:paraId="7A8A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52448D1">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51A811D7">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503EC972">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老平坨</w:t>
            </w:r>
          </w:p>
        </w:tc>
        <w:tc>
          <w:tcPr>
            <w:tcW w:w="1306" w:type="dxa"/>
            <w:vAlign w:val="center"/>
          </w:tcPr>
          <w:p w14:paraId="47DF9C90">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5B01C39B">
            <w:pPr>
              <w:widowControl w:val="0"/>
              <w:tabs>
                <w:tab w:val="left" w:pos="360"/>
              </w:tabs>
              <w:adjustRightInd/>
              <w:spacing w:line="240" w:lineRule="atLeast"/>
              <w:ind w:firstLine="0" w:firstLineChars="0"/>
              <w:jc w:val="center"/>
              <w:textAlignment w:val="baseline"/>
              <w:rPr>
                <w:kern w:val="21"/>
                <w:sz w:val="20"/>
                <w:szCs w:val="21"/>
              </w:rPr>
            </w:pPr>
          </w:p>
        </w:tc>
      </w:tr>
      <w:tr w14:paraId="1D5A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4F55672">
            <w:pPr>
              <w:widowControl w:val="0"/>
              <w:tabs>
                <w:tab w:val="left" w:pos="360"/>
              </w:tabs>
              <w:adjustRightInd/>
              <w:spacing w:line="240" w:lineRule="atLeast"/>
              <w:ind w:firstLine="0" w:firstLineChars="0"/>
              <w:jc w:val="center"/>
              <w:textAlignment w:val="baseline"/>
              <w:rPr>
                <w:kern w:val="21"/>
                <w:sz w:val="20"/>
                <w:szCs w:val="21"/>
              </w:rPr>
            </w:pPr>
          </w:p>
        </w:tc>
        <w:tc>
          <w:tcPr>
            <w:tcW w:w="1461" w:type="dxa"/>
            <w:vMerge w:val="continue"/>
            <w:vAlign w:val="center"/>
          </w:tcPr>
          <w:p w14:paraId="64BBDCC5">
            <w:pPr>
              <w:widowControl w:val="0"/>
              <w:tabs>
                <w:tab w:val="left" w:pos="360"/>
              </w:tabs>
              <w:adjustRightInd/>
              <w:spacing w:line="240" w:lineRule="atLeast"/>
              <w:ind w:firstLine="0" w:firstLineChars="0"/>
              <w:jc w:val="center"/>
              <w:textAlignment w:val="baseline"/>
              <w:rPr>
                <w:kern w:val="21"/>
                <w:sz w:val="20"/>
                <w:szCs w:val="21"/>
              </w:rPr>
            </w:pPr>
          </w:p>
        </w:tc>
        <w:tc>
          <w:tcPr>
            <w:tcW w:w="2858" w:type="dxa"/>
            <w:vAlign w:val="bottom"/>
          </w:tcPr>
          <w:p w14:paraId="38B83B17">
            <w:pPr>
              <w:widowControl w:val="0"/>
              <w:tabs>
                <w:tab w:val="left" w:pos="360"/>
              </w:tabs>
              <w:adjustRightInd/>
              <w:spacing w:line="240" w:lineRule="atLeast"/>
              <w:ind w:firstLine="0" w:firstLineChars="0"/>
              <w:jc w:val="center"/>
              <w:textAlignment w:val="baseline"/>
              <w:rPr>
                <w:kern w:val="21"/>
                <w:sz w:val="20"/>
                <w:szCs w:val="21"/>
              </w:rPr>
            </w:pPr>
            <w:r>
              <w:rPr>
                <w:kern w:val="21"/>
                <w:sz w:val="20"/>
                <w:szCs w:val="21"/>
              </w:rPr>
              <w:t>北干沟子</w:t>
            </w:r>
          </w:p>
        </w:tc>
        <w:tc>
          <w:tcPr>
            <w:tcW w:w="1306" w:type="dxa"/>
            <w:vAlign w:val="center"/>
          </w:tcPr>
          <w:p w14:paraId="4BE5CF59">
            <w:pPr>
              <w:widowControl w:val="0"/>
              <w:adjustRightInd/>
              <w:spacing w:line="240" w:lineRule="atLeast"/>
              <w:ind w:firstLine="0" w:firstLineChars="0"/>
              <w:jc w:val="center"/>
              <w:textAlignment w:val="baseline"/>
              <w:rPr>
                <w:kern w:val="21"/>
                <w:sz w:val="20"/>
                <w:szCs w:val="21"/>
              </w:rPr>
            </w:pPr>
            <w:r>
              <w:rPr>
                <w:rFonts w:hint="eastAsia"/>
                <w:kern w:val="21"/>
                <w:sz w:val="20"/>
                <w:szCs w:val="21"/>
              </w:rPr>
              <w:t>等量型</w:t>
            </w:r>
          </w:p>
        </w:tc>
        <w:tc>
          <w:tcPr>
            <w:tcW w:w="1014" w:type="dxa"/>
            <w:vAlign w:val="center"/>
          </w:tcPr>
          <w:p w14:paraId="1D57A052">
            <w:pPr>
              <w:widowControl w:val="0"/>
              <w:tabs>
                <w:tab w:val="left" w:pos="360"/>
              </w:tabs>
              <w:adjustRightInd/>
              <w:spacing w:line="240" w:lineRule="atLeast"/>
              <w:ind w:firstLine="0" w:firstLineChars="0"/>
              <w:jc w:val="center"/>
              <w:textAlignment w:val="baseline"/>
              <w:rPr>
                <w:kern w:val="21"/>
                <w:sz w:val="20"/>
                <w:szCs w:val="21"/>
              </w:rPr>
            </w:pPr>
          </w:p>
        </w:tc>
      </w:tr>
    </w:tbl>
    <w:p w14:paraId="6ECDC7F8">
      <w:pPr>
        <w:rPr>
          <w:rFonts w:hint="eastAsia"/>
        </w:rPr>
      </w:pPr>
    </w:p>
    <w:p w14:paraId="556A9B72">
      <w:pPr>
        <w:pStyle w:val="3"/>
        <w:numPr>
          <w:ilvl w:val="0"/>
          <w:numId w:val="22"/>
        </w:numPr>
        <w:rPr>
          <w:rFonts w:ascii="Times New Roman" w:hAnsi="Times New Roman" w:cs="Times New Roman"/>
          <w:color w:val="auto"/>
          <w:lang w:bidi="ar"/>
        </w:rPr>
      </w:pPr>
      <w:bookmarkStart w:id="125" w:name="_Toc25436"/>
      <w:bookmarkStart w:id="126" w:name="_Toc21172"/>
      <w:bookmarkStart w:id="127" w:name="_Toc6136"/>
      <w:bookmarkStart w:id="128" w:name="_Toc152937205"/>
      <w:r>
        <w:rPr>
          <w:rFonts w:ascii="Times New Roman" w:hAnsi="Times New Roman" w:cs="Times New Roman"/>
          <w:color w:val="auto"/>
          <w:lang w:bidi="ar"/>
        </w:rPr>
        <w:t>“通则式”村庄规划管理</w:t>
      </w:r>
      <w:bookmarkEnd w:id="125"/>
      <w:bookmarkEnd w:id="126"/>
      <w:bookmarkEnd w:id="127"/>
    </w:p>
    <w:p w14:paraId="75DA4DFC">
      <w:pPr>
        <w:pStyle w:val="4"/>
        <w:numPr>
          <w:ilvl w:val="0"/>
          <w:numId w:val="25"/>
        </w:numPr>
        <w:rPr>
          <w:rFonts w:hint="eastAsia"/>
        </w:rPr>
      </w:pPr>
      <w:r>
        <w:rPr>
          <w:rFonts w:hint="eastAsia"/>
        </w:rPr>
        <w:t>编制“通则式”村庄规划</w:t>
      </w:r>
    </w:p>
    <w:p w14:paraId="52EEBA20">
      <w:pPr>
        <w:rPr>
          <w:rFonts w:cs="仿宋_GB2312"/>
          <w:szCs w:val="32"/>
          <w:lang w:bidi="ar"/>
        </w:rPr>
      </w:pPr>
      <w:r>
        <w:rPr>
          <w:rFonts w:hint="eastAsia" w:cs="仿宋_GB2312"/>
          <w:szCs w:val="32"/>
          <w:lang w:bidi="ar"/>
        </w:rPr>
        <w:t>依据镇域范围内乡村发展实际需求，沙尖子镇涉及“通则式”村庄规划的村庄共3个，为影壁山村、秋皮沟村、北沟村。</w:t>
      </w:r>
    </w:p>
    <w:p w14:paraId="2B6747F3">
      <w:pPr>
        <w:rPr>
          <w:rFonts w:cs="仿宋_GB2312"/>
          <w:szCs w:val="32"/>
          <w:lang w:bidi="ar"/>
        </w:rPr>
      </w:pPr>
      <w:r>
        <w:rPr>
          <w:rFonts w:hint="eastAsia" w:cs="仿宋_GB2312"/>
          <w:szCs w:val="32"/>
          <w:lang w:bidi="ar"/>
        </w:rPr>
        <w:t>“通则式”村庄规划通过“两表、三图、一则”的形式明确村庄国土空间用途管制规则和建设管控要求，作为实施国土空间用途管制、核发乡村建设项目规划许可的依据。</w:t>
      </w:r>
    </w:p>
    <w:p w14:paraId="34400574">
      <w:pPr>
        <w:rPr>
          <w:rFonts w:cs="仿宋_GB2312"/>
          <w:szCs w:val="32"/>
          <w:lang w:bidi="ar"/>
        </w:rPr>
      </w:pPr>
      <w:r>
        <w:rPr>
          <w:rFonts w:hint="eastAsia" w:cs="仿宋_GB2312"/>
          <w:szCs w:val="32"/>
          <w:lang w:bidi="ar"/>
        </w:rPr>
        <w:t>“两表”为规划指标表和国土空间结构调整表。</w:t>
      </w:r>
    </w:p>
    <w:p w14:paraId="171DF442">
      <w:pPr>
        <w:rPr>
          <w:rFonts w:cs="仿宋_GB2312"/>
          <w:szCs w:val="32"/>
          <w:lang w:bidi="ar"/>
        </w:rPr>
      </w:pPr>
      <w:r>
        <w:rPr>
          <w:rFonts w:hint="eastAsia" w:cs="仿宋_GB2312"/>
          <w:szCs w:val="32"/>
          <w:lang w:bidi="ar"/>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73303588">
      <w:pPr>
        <w:rPr>
          <w:rFonts w:cs="仿宋_GB2312"/>
          <w:szCs w:val="32"/>
          <w:lang w:bidi="ar"/>
        </w:rPr>
      </w:pPr>
      <w:r>
        <w:rPr>
          <w:rFonts w:hint="eastAsia" w:cs="仿宋_GB2312"/>
          <w:szCs w:val="32"/>
          <w:lang w:bidi="ar"/>
        </w:rPr>
        <w:t>“一则”为村庄规划管制规则，包括耕地和永久基本农田保护、生态保护、建设管控、防灾减灾等管控要求。</w:t>
      </w:r>
    </w:p>
    <w:p w14:paraId="1B828D08">
      <w:pPr>
        <w:pStyle w:val="4"/>
        <w:rPr>
          <w:rFonts w:hint="eastAsia"/>
          <w:lang w:bidi="ar"/>
        </w:rPr>
      </w:pPr>
      <w:r>
        <w:rPr>
          <w:rFonts w:hint="eastAsia"/>
          <w:lang w:bidi="ar"/>
        </w:rPr>
        <w:t>管制规则样式</w:t>
      </w:r>
    </w:p>
    <w:p w14:paraId="7A6931A9">
      <w:pPr>
        <w:rPr>
          <w:rFonts w:cs="仿宋_GB2312"/>
          <w:szCs w:val="32"/>
          <w:lang w:bidi="ar"/>
        </w:rPr>
      </w:pPr>
      <w:r>
        <w:rPr>
          <w:rFonts w:hint="eastAsia" w:cs="仿宋_GB2312"/>
          <w:szCs w:val="32"/>
          <w:lang w:bidi="ar"/>
        </w:rPr>
        <w:t xml:space="preserve">——耕地和永久基本农田保护 </w:t>
      </w:r>
    </w:p>
    <w:p w14:paraId="30A324B8">
      <w:pPr>
        <w:rPr>
          <w:rFonts w:cs="仿宋_GB2312"/>
          <w:szCs w:val="32"/>
          <w:lang w:bidi="ar"/>
        </w:rPr>
      </w:pPr>
      <w:r>
        <w:rPr>
          <w:rFonts w:hint="eastAsia" w:cs="仿宋_GB2312"/>
          <w:szCs w:val="32"/>
          <w:lang w:bidi="ar"/>
        </w:rPr>
        <w:t xml:space="preserve">明确村庄耕地的面积、管控要求。 </w:t>
      </w:r>
    </w:p>
    <w:p w14:paraId="7DC4784A">
      <w:pPr>
        <w:rPr>
          <w:rFonts w:cs="仿宋_GB2312"/>
          <w:szCs w:val="32"/>
          <w:lang w:bidi="ar"/>
        </w:rPr>
      </w:pPr>
      <w:r>
        <w:rPr>
          <w:rFonts w:hint="eastAsia" w:cs="仿宋_GB2312"/>
          <w:szCs w:val="32"/>
          <w:lang w:bidi="ar"/>
        </w:rPr>
        <w:t xml:space="preserve">明确村庄永久基本农田的面积、管控要求。 </w:t>
      </w:r>
    </w:p>
    <w:p w14:paraId="754799BA">
      <w:pPr>
        <w:rPr>
          <w:rFonts w:cs="仿宋_GB2312"/>
          <w:szCs w:val="32"/>
          <w:lang w:bidi="ar"/>
        </w:rPr>
      </w:pPr>
      <w:r>
        <w:rPr>
          <w:rFonts w:hint="eastAsia" w:cs="仿宋_GB2312"/>
          <w:szCs w:val="32"/>
          <w:lang w:bidi="ar"/>
        </w:rPr>
        <w:t xml:space="preserve">明确村庄可用于农业设施建设用地的面积、用途管制规定。 </w:t>
      </w:r>
    </w:p>
    <w:p w14:paraId="56E175AC">
      <w:pPr>
        <w:rPr>
          <w:rFonts w:cs="仿宋_GB2312"/>
          <w:szCs w:val="32"/>
          <w:lang w:bidi="ar"/>
        </w:rPr>
      </w:pPr>
      <w:r>
        <w:rPr>
          <w:rFonts w:hint="eastAsia" w:cs="仿宋_GB2312"/>
          <w:szCs w:val="32"/>
          <w:lang w:bidi="ar"/>
        </w:rPr>
        <w:t xml:space="preserve">——生态保护 </w:t>
      </w:r>
    </w:p>
    <w:p w14:paraId="226C2020">
      <w:pPr>
        <w:rPr>
          <w:rFonts w:cs="仿宋_GB2312"/>
          <w:szCs w:val="32"/>
          <w:lang w:bidi="ar"/>
        </w:rPr>
      </w:pPr>
      <w:r>
        <w:rPr>
          <w:rFonts w:hint="eastAsia" w:cs="仿宋_GB2312"/>
          <w:szCs w:val="32"/>
          <w:lang w:bidi="ar"/>
        </w:rPr>
        <w:t xml:space="preserve">明确村庄生态保护红线具体名称、面积、管控要求。 </w:t>
      </w:r>
    </w:p>
    <w:p w14:paraId="291940E5">
      <w:pPr>
        <w:rPr>
          <w:rFonts w:cs="仿宋_GB2312"/>
          <w:szCs w:val="32"/>
          <w:lang w:bidi="ar"/>
        </w:rPr>
      </w:pPr>
      <w:r>
        <w:rPr>
          <w:rFonts w:hint="eastAsia" w:cs="仿宋_GB2312"/>
          <w:szCs w:val="32"/>
          <w:lang w:bidi="ar"/>
        </w:rPr>
        <w:t>提出未划入生态保护红线的生态空间管控要求，严格控制开发性、生产性建设活动。交通、水利等重大基础设施确需占用的，按程序办理相关用地手续。</w:t>
      </w:r>
    </w:p>
    <w:p w14:paraId="48DB5FCA">
      <w:pPr>
        <w:rPr>
          <w:rFonts w:cs="仿宋_GB2312"/>
          <w:szCs w:val="32"/>
          <w:lang w:bidi="ar"/>
        </w:rPr>
      </w:pPr>
      <w:r>
        <w:rPr>
          <w:rFonts w:hint="eastAsia" w:cs="仿宋_GB2312"/>
          <w:szCs w:val="32"/>
          <w:lang w:bidi="ar"/>
        </w:rPr>
        <w:t>落实上位规划明确的生态修复项目等内容，提出相应措施。</w:t>
      </w:r>
    </w:p>
    <w:p w14:paraId="22F6B6FB">
      <w:pPr>
        <w:rPr>
          <w:rFonts w:cs="仿宋_GB2312"/>
          <w:szCs w:val="32"/>
          <w:lang w:bidi="ar"/>
        </w:rPr>
      </w:pPr>
      <w:r>
        <w:rPr>
          <w:rFonts w:hint="eastAsia" w:cs="仿宋_GB2312"/>
          <w:szCs w:val="32"/>
          <w:lang w:bidi="ar"/>
        </w:rPr>
        <w:t>——建设管控</w:t>
      </w:r>
    </w:p>
    <w:p w14:paraId="6DD6728E">
      <w:pPr>
        <w:rPr>
          <w:rFonts w:cs="仿宋_GB2312"/>
          <w:szCs w:val="32"/>
          <w:lang w:bidi="ar"/>
        </w:rPr>
      </w:pPr>
      <w:r>
        <w:rPr>
          <w:rFonts w:hint="eastAsia" w:cs="仿宋_GB2312"/>
          <w:szCs w:val="32"/>
          <w:lang w:bidi="ar"/>
        </w:rPr>
        <w:t>总体要求：明确村庄建设边界，各类乡村建设行为原则上应在村庄建设边界内开展。各项目涉及在现状保留区范围内的，允许在原址用地范围内进行改扩建等建设行为，优先使用存量建设用地。涉及新增规划项目用地的，应在村庄建设边界内的规划新增区进行。村庄建设边界外原则上不安排乡村建设用地。涉及农转用的应先办理农转用手续。</w:t>
      </w:r>
    </w:p>
    <w:p w14:paraId="56F59457">
      <w:pPr>
        <w:rPr>
          <w:rFonts w:cs="仿宋_GB2312"/>
          <w:szCs w:val="32"/>
          <w:lang w:bidi="ar"/>
        </w:rPr>
      </w:pPr>
      <w:r>
        <w:rPr>
          <w:rFonts w:hint="eastAsia" w:cs="仿宋_GB2312"/>
          <w:szCs w:val="32"/>
          <w:lang w:bidi="ar"/>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2648B708">
      <w:pPr>
        <w:rPr>
          <w:rFonts w:cs="仿宋_GB2312"/>
          <w:szCs w:val="32"/>
          <w:lang w:bidi="ar"/>
        </w:rPr>
      </w:pPr>
      <w:r>
        <w:rPr>
          <w:rFonts w:hint="eastAsia" w:cs="仿宋_GB2312"/>
          <w:szCs w:val="32"/>
          <w:lang w:bidi="ar"/>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4EA27730">
      <w:pPr>
        <w:rPr>
          <w:rFonts w:cs="仿宋_GB2312"/>
          <w:szCs w:val="32"/>
          <w:lang w:bidi="ar"/>
        </w:rPr>
      </w:pPr>
      <w:r>
        <w:rPr>
          <w:rFonts w:hint="eastAsia" w:cs="仿宋_GB2312"/>
          <w:szCs w:val="32"/>
          <w:lang w:bidi="ar"/>
        </w:rPr>
        <w:t>建筑控制：明确村民宅基地自建房、村镇企业建筑、公共服务设施等各类建筑间距控制、高度控制、风貌控制要求；提出各类市政公用设施邻避、建设技术标准等要求。</w:t>
      </w:r>
    </w:p>
    <w:p w14:paraId="49C338A4">
      <w:pPr>
        <w:rPr>
          <w:rFonts w:cs="仿宋_GB2312"/>
          <w:szCs w:val="32"/>
          <w:lang w:bidi="ar"/>
        </w:rPr>
      </w:pPr>
      <w:r>
        <w:rPr>
          <w:rFonts w:hint="eastAsia" w:cs="仿宋_GB2312"/>
          <w:szCs w:val="32"/>
          <w:lang w:bidi="ar"/>
        </w:rPr>
        <w:t>历史文化保护：明确文物保护单位、历史建筑、古井、古桥、古树等保护内容和管控要求，历史文化保护线范围内禁止开展影响历史风貌的各类建设行为。</w:t>
      </w:r>
    </w:p>
    <w:p w14:paraId="6160BB00">
      <w:pPr>
        <w:rPr>
          <w:rFonts w:cs="仿宋_GB2312"/>
          <w:szCs w:val="32"/>
          <w:lang w:bidi="ar"/>
        </w:rPr>
      </w:pPr>
      <w:r>
        <w:rPr>
          <w:rFonts w:hint="eastAsia" w:cs="仿宋_GB2312"/>
          <w:szCs w:val="32"/>
          <w:lang w:bidi="ar"/>
        </w:rPr>
        <w:t>防灾与减灾：明确地质灾害高易发区、蓄滞洪区等危险区域范围，提出防灾减灾要求和措施。对于确需在危险区域范围内开展建设行为的，应提供相关部门的支持性意见。</w:t>
      </w:r>
    </w:p>
    <w:p w14:paraId="56F2DD85">
      <w:pPr>
        <w:rPr>
          <w:lang w:bidi="ar"/>
        </w:rPr>
      </w:pPr>
      <w:r>
        <w:rPr>
          <w:rFonts w:hint="eastAsia" w:cs="仿宋_GB2312"/>
          <w:szCs w:val="32"/>
          <w:lang w:bidi="ar"/>
        </w:rPr>
        <w:t>其他管制规则：根据各村实际情况制定</w:t>
      </w:r>
      <w:r>
        <w:t>。</w:t>
      </w:r>
    </w:p>
    <w:p w14:paraId="3E290E15">
      <w:pPr>
        <w:pStyle w:val="3"/>
        <w:numPr>
          <w:ilvl w:val="0"/>
          <w:numId w:val="22"/>
        </w:numPr>
        <w:ind w:left="420" w:firstLine="640"/>
        <w:rPr>
          <w:rFonts w:ascii="Times New Roman" w:hAnsi="Times New Roman" w:cs="Times New Roman"/>
          <w:color w:val="auto"/>
        </w:rPr>
      </w:pPr>
      <w:bookmarkStart w:id="129" w:name="_Toc18579"/>
      <w:bookmarkStart w:id="130" w:name="_Toc19301"/>
      <w:bookmarkStart w:id="131" w:name="_Toc14055"/>
      <w:r>
        <w:rPr>
          <w:rFonts w:ascii="Times New Roman" w:hAnsi="Times New Roman" w:cs="Times New Roman"/>
          <w:color w:val="auto"/>
        </w:rPr>
        <w:t>产业</w:t>
      </w:r>
      <w:bookmarkEnd w:id="128"/>
      <w:r>
        <w:rPr>
          <w:rFonts w:hint="eastAsia" w:ascii="Times New Roman" w:hAnsi="Times New Roman" w:cs="Times New Roman"/>
          <w:color w:val="auto"/>
        </w:rPr>
        <w:t>布局</w:t>
      </w:r>
      <w:bookmarkEnd w:id="129"/>
      <w:bookmarkEnd w:id="130"/>
      <w:bookmarkEnd w:id="131"/>
    </w:p>
    <w:p w14:paraId="480E2281">
      <w:pPr>
        <w:pStyle w:val="4"/>
        <w:numPr>
          <w:ilvl w:val="0"/>
          <w:numId w:val="26"/>
        </w:numPr>
        <w:rPr>
          <w:rFonts w:hint="eastAsia"/>
        </w:rPr>
      </w:pPr>
      <w:r>
        <w:rPr>
          <w:rFonts w:hint="eastAsia"/>
        </w:rPr>
        <w:t>产业发展策略</w:t>
      </w:r>
    </w:p>
    <w:p w14:paraId="614E97C3">
      <w:r>
        <w:rPr>
          <w:rFonts w:hint="eastAsia"/>
        </w:rPr>
        <w:t>把握乡村振兴的契机，以特色农业为根基，</w:t>
      </w:r>
      <w:r>
        <w:t>以“三产融合”为目标，依托</w:t>
      </w:r>
      <w:r>
        <w:rPr>
          <w:rFonts w:hint="eastAsia"/>
        </w:rPr>
        <w:t>一产，发挥农业优势，充分利用农业资源；壮大二产，依托现有工业资源，以绿色矿产为招商引资发展方向；催生三产，在保护好山水资源的基础上，挖掘农耕文化、历史文化和民族文化资源，发展镇域旅游、打造特色农业旅游品牌线路。</w:t>
      </w:r>
    </w:p>
    <w:p w14:paraId="1F20F912">
      <w:r>
        <w:rPr>
          <w:rFonts w:hint="eastAsia"/>
        </w:rPr>
        <w:t>稳定粮食播种面积，保障粮食安全，坚决制止耕地“非农化”，防止耕地“非粮化”；大力培育种植大户、家庭农场、专业农业合作社等经营主体，积极发展多种形式的适度规模化种植。积极开展土地整治，提升耕地质量。全面发挥农业科技示范主体作用，加速农业科技成果转化，提升农业现代化水平。有计划地扩大高效农业种植面积、发展以无公害为主的生态农业，建立绿色农业、示范农业等农业观光体验基地。</w:t>
      </w:r>
    </w:p>
    <w:p w14:paraId="4EFFEA3A">
      <w:r>
        <w:rPr>
          <w:rFonts w:hint="eastAsia"/>
        </w:rPr>
        <w:t>调整畜牧业生产结构，着力发展标准化、规模化、环境友好型养殖业，加大牛、羊、猪、鸡养殖规模。持续推进沙尖子镇林下参、板栗、西红柿、猕猴桃、山楂、山野菜等特色种植业发展。</w:t>
      </w:r>
    </w:p>
    <w:p w14:paraId="4AC97FDF">
      <w:r>
        <w:rPr>
          <w:rFonts w:hint="eastAsia"/>
        </w:rPr>
        <w:t>持续壮大第二产业，依托铜、铅、钼、铁、石灰石等特色矿产资源，持续推进产业链的延伸，发展上下游相关产业，使产业健康可持续发展。积极发展特色农产品加工业、中药材加工业。立足于现有的工业布局基础，依托本地资源禀赋，大力发展工业经济，在空间布局上，重点建设工业集群片区。</w:t>
      </w:r>
    </w:p>
    <w:p w14:paraId="2F3B6ED2">
      <w:r>
        <w:rPr>
          <w:rFonts w:hint="eastAsia"/>
        </w:rPr>
        <w:t>促进全域传统服务业向现代服务业转型升级。重点发展特色旅游业，加快发展商贸流通业、信息服务业，充分发挥自然资源优势和区位优势，形成以大型专业市场为龙头的市场体系，为商业贸易提供发展平台，逐步形成“高增值、强辐射、广就业”的现代第三产业新体系，进而增强城镇的综合服务功能。</w:t>
      </w:r>
    </w:p>
    <w:p w14:paraId="16173BD8">
      <w:pPr>
        <w:pStyle w:val="4"/>
        <w:rPr>
          <w:rFonts w:hint="eastAsia"/>
        </w:rPr>
      </w:pPr>
      <w:r>
        <w:rPr>
          <w:rFonts w:hint="eastAsia"/>
        </w:rPr>
        <w:t>产业空间布局</w:t>
      </w:r>
    </w:p>
    <w:p w14:paraId="145F80DF">
      <w:r>
        <w:rPr>
          <w:rFonts w:hint="eastAsia"/>
        </w:rPr>
        <w:t>根据产业基础、资源条件、交通区位以及未来的发展趋势，沙尖子镇应逐步形成“一核引领、两轴驱动、两区协同、多点融合”的产业空间布局，推动全镇经济社会发展。</w:t>
      </w:r>
    </w:p>
    <w:p w14:paraId="2EDFB5B7">
      <w:r>
        <w:rPr>
          <w:rFonts w:hint="eastAsia"/>
        </w:rPr>
        <w:t>“一核引领”，即以沙尖子镇中心区为主的产城融合发展核心，重点发展农资生产集散、农副产品加工、特色文旅、物流转运和商贸服务等。</w:t>
      </w:r>
    </w:p>
    <w:p w14:paraId="574B0AFD">
      <w:r>
        <w:rPr>
          <w:rFonts w:hint="eastAsia"/>
        </w:rPr>
        <w:t>“两轴驱动”：依托集本线和主要对外道路，集聚沿线资源，形成产业发展轴线，重点发展特色农产品种植、休闲旅游等业态，促进农旅规模化经营、融合发展，促进二三产业高端化、集群化发展。</w:t>
      </w:r>
    </w:p>
    <w:p w14:paraId="74F1801F">
      <w:r>
        <w:rPr>
          <w:rFonts w:hint="eastAsia"/>
        </w:rPr>
        <w:t>“两区协同”：依托沙尖子村浑江沿线自然景观资源，推进乡村文旅产业发展，打造镇域旅游发展区；依托干沟子村、北沟村、晓阳村特色农产品基础，打造山林经济发展区。</w:t>
      </w:r>
    </w:p>
    <w:p w14:paraId="6FCD1AE6">
      <w:r>
        <w:rPr>
          <w:rFonts w:hint="eastAsia"/>
        </w:rPr>
        <w:t>“多点融合”：结合镇域产业基础、区位优势、生态环境约束和资源优势，整合低效闲置建设空间和农业生产空间，合理布局特色种植、农产品加工、休闲旅游等点状产业项目，改造提升传统业态，积极发展新兴业态，引导生态空间、农业生产空间、建设空间混合利用，推动形成镇域一二三产业多点融合发展的新格局。</w:t>
      </w:r>
    </w:p>
    <w:p w14:paraId="2A8DCA4A">
      <w:pPr>
        <w:pStyle w:val="4"/>
        <w:rPr>
          <w:rFonts w:hint="eastAsia"/>
        </w:rPr>
      </w:pPr>
      <w:r>
        <w:rPr>
          <w:rFonts w:hint="eastAsia"/>
        </w:rPr>
        <w:t>产业用地保障</w:t>
      </w:r>
    </w:p>
    <w:p w14:paraId="1C963F8B">
      <w:r>
        <w:rPr>
          <w:rFonts w:hint="eastAsia"/>
        </w:rPr>
        <w:t>保障旅游业发展用地。依法实行用地分类管理制度。旅游项目中，属于永久性设施建设用地的，依法按建设用地管理；属于自然景观用地及农牧渔业种植、养殖用地的，不征收（收回）、不转用，按现用途管理，由景区管理机构和经营主体与土地权利人依法协调种植、养殖、管护与旅游经营关系。多方式供应建设用地，鼓励以长期租赁、先租后让、租让结合方式供应旅游项目建设用地。加大旅游厕所用地保障力度，促进自驾车、房车营地旅游有序发展。</w:t>
      </w:r>
    </w:p>
    <w:p w14:paraId="4B1075FC">
      <w:r>
        <w:rPr>
          <w:rFonts w:hint="eastAsia"/>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p w14:paraId="518B311E">
      <w:r>
        <w:rPr>
          <w:rFonts w:hint="eastAsia"/>
        </w:rPr>
        <w:t>持续推进农村一二三产业融合发展，以农业为依托延伸产业链。引导农产品初加工、产地直销等产业在村庄区位优势区域合理布局、适度集中。加强西红柿、中药材等特色农产品及农产品深加工产业发展。合理保障农产品加工流通、电子商务、冷链物流、乡村旅游、休闲农业、民宿经济等新产业、新业态用地需求。根据年度新增用地指标计划情况，在县级和乡镇级国土空间总体规划中安排至少</w:t>
      </w:r>
      <w:r>
        <w:t>10%</w:t>
      </w:r>
      <w:r>
        <w:rPr>
          <w:rFonts w:hint="eastAsia"/>
        </w:rPr>
        <w:t>的建设用地指标，用于支持乡村振兴发展。</w:t>
      </w:r>
    </w:p>
    <w:p w14:paraId="63E82D4E">
      <w:pPr>
        <w:pStyle w:val="3"/>
        <w:numPr>
          <w:ilvl w:val="0"/>
          <w:numId w:val="22"/>
        </w:numPr>
        <w:rPr>
          <w:rFonts w:ascii="Times New Roman" w:hAnsi="Times New Roman" w:cs="Times New Roman"/>
          <w:color w:val="auto"/>
        </w:rPr>
      </w:pPr>
      <w:bookmarkStart w:id="132" w:name="_Toc152937206"/>
      <w:bookmarkStart w:id="133" w:name="_Toc9897"/>
      <w:bookmarkStart w:id="134" w:name="_Toc24970"/>
      <w:bookmarkStart w:id="135" w:name="_Toc22736"/>
      <w:bookmarkStart w:id="136" w:name="_Toc133419342"/>
      <w:r>
        <w:rPr>
          <w:rFonts w:hint="eastAsia" w:ascii="Times New Roman" w:hAnsi="Times New Roman" w:cs="Times New Roman"/>
          <w:color w:val="auto"/>
        </w:rPr>
        <w:t>景观风貌</w:t>
      </w:r>
      <w:bookmarkEnd w:id="132"/>
      <w:r>
        <w:rPr>
          <w:rFonts w:hint="eastAsia" w:ascii="Times New Roman" w:hAnsi="Times New Roman" w:cs="Times New Roman"/>
          <w:color w:val="auto"/>
        </w:rPr>
        <w:t>引导</w:t>
      </w:r>
      <w:bookmarkEnd w:id="133"/>
      <w:bookmarkEnd w:id="134"/>
      <w:bookmarkEnd w:id="135"/>
    </w:p>
    <w:p w14:paraId="5D1EE845">
      <w:pPr>
        <w:pStyle w:val="4"/>
        <w:numPr>
          <w:ilvl w:val="0"/>
          <w:numId w:val="27"/>
        </w:numPr>
        <w:rPr>
          <w:rFonts w:hint="eastAsia"/>
        </w:rPr>
      </w:pPr>
      <w:r>
        <w:rPr>
          <w:rFonts w:hint="eastAsia"/>
        </w:rPr>
        <w:t>凸显山水人文特色景观</w:t>
      </w:r>
    </w:p>
    <w:p w14:paraId="05C17E3B">
      <w:r>
        <w:t>依托</w:t>
      </w:r>
      <w:r>
        <w:rPr>
          <w:rFonts w:hint="eastAsia"/>
        </w:rPr>
        <w:t>沙尖子镇山、水、林、田、村自然资源要素</w:t>
      </w:r>
      <w:r>
        <w:t>，</w:t>
      </w:r>
      <w:r>
        <w:rPr>
          <w:rFonts w:hint="eastAsia"/>
        </w:rPr>
        <w:t>梳理山水资源特色、历史文化脉络、乡村生活网络，着重强化城乡协调、分类引导，打造特色鲜明、宜居宜业的新型城镇，形成绿色生态、淳朴文明的村镇风貌。</w:t>
      </w:r>
    </w:p>
    <w:p w14:paraId="6B1444C5">
      <w:pPr>
        <w:pStyle w:val="4"/>
        <w:rPr>
          <w:rFonts w:hint="eastAsia"/>
        </w:rPr>
      </w:pPr>
      <w:r>
        <w:rPr>
          <w:rFonts w:hint="eastAsia"/>
        </w:rPr>
        <w:t>打造特色乡村风貌</w:t>
      </w:r>
    </w:p>
    <w:p w14:paraId="039F2145">
      <w:r>
        <w:rPr>
          <w:rFonts w:hint="eastAsia"/>
        </w:rPr>
        <w:t>现代</w:t>
      </w:r>
      <w:r>
        <w:t>城镇风貌</w:t>
      </w:r>
      <w:r>
        <w:rPr>
          <w:rFonts w:hint="eastAsia"/>
        </w:rPr>
        <w:t>区。是指沙尖子镇中心区</w:t>
      </w:r>
      <w:r>
        <w:t>城镇风貌格局塑造和管控的重点地区</w:t>
      </w:r>
      <w:r>
        <w:rPr>
          <w:rFonts w:hint="eastAsia"/>
        </w:rPr>
        <w:t>，以城镇总体风貌格局为主导，根据街巷肌理和居住建筑、工业仓储建筑、公共建筑等风貌特征，合理控制建筑高度、体量、色彩，确保城镇风貌整体和谐。</w:t>
      </w:r>
    </w:p>
    <w:p w14:paraId="0ACC1688">
      <w:r>
        <w:rPr>
          <w:rFonts w:hint="eastAsia"/>
        </w:rPr>
        <w:t>宜居村庄风貌区。是指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5289174D">
      <w:r>
        <w:rPr>
          <w:rFonts w:hint="eastAsia"/>
        </w:rPr>
        <w:t>田园乡野风貌区。以农耕文化传承为价值导向，凸显广袤农田景观，展现原生乡土特征，推进高标准农田建设，打造现代农业景观风貌。</w:t>
      </w:r>
    </w:p>
    <w:p w14:paraId="704FD224">
      <w:r>
        <w:rPr>
          <w:rFonts w:hint="eastAsia"/>
        </w:rPr>
        <w:t>滨水景观风貌区。加强水域河流岸线治理，打造滨水生态景观带，建设滨水景观节点，构建自然流域与人工岸线景观融合风貌区。</w:t>
      </w:r>
    </w:p>
    <w:p w14:paraId="413DA1DE">
      <w:r>
        <w:rPr>
          <w:rFonts w:hint="eastAsia"/>
        </w:rPr>
        <w:t>生态山林风貌区。保持原始地形地貌，加强森林植被保护，适度发展林下经济，维护果园、林地、农田等景观的原真性，突出生态涵养的功能，结合特色休闲旅游，体现其山水林田交相辉映的景观魅力。</w:t>
      </w:r>
    </w:p>
    <w:p w14:paraId="7477A5F9">
      <w:pPr>
        <w:pStyle w:val="4"/>
        <w:rPr>
          <w:rFonts w:hint="eastAsia"/>
        </w:rPr>
      </w:pPr>
      <w:r>
        <w:rPr>
          <w:rFonts w:hint="eastAsia"/>
        </w:rPr>
        <w:t>塑造魅力城镇景观空间</w:t>
      </w:r>
    </w:p>
    <w:p w14:paraId="2D2749FA">
      <w:r>
        <w:rPr>
          <w:rFonts w:hint="eastAsia"/>
        </w:rPr>
        <w:t>重视城乡融合的城镇环境。延续沙尖子镇当地的生态环境，并注重自身的传统肌理和空间格局，展现城乡融合的深度与生命力。依托全域开放空间生态网络的建立，平衡土地开发与环境保育。结合自身优势资源，打造商业、旅游、生态、文化、产业等不同功能和空间形态的空间特色，赋予鲜明的地方特征，创建城镇品牌，展现城乡新风貌。</w:t>
      </w:r>
    </w:p>
    <w:p w14:paraId="574DD3DC">
      <w:r>
        <w:rPr>
          <w:rFonts w:hint="eastAsia"/>
        </w:rPr>
        <w:t>营造精彩的水岸生活。充分利用现有水系潜力，塑造沙尖子镇宜居城镇魅力，打造滨水旅游休闲空间，满足旅游业发展，安排层次丰富以及精彩多样的水岸空间和活动，提供滨水旅游城镇悠闲的生活方式。</w:t>
      </w:r>
    </w:p>
    <w:p w14:paraId="5FC5892B">
      <w:pPr>
        <w:pStyle w:val="3"/>
        <w:numPr>
          <w:ilvl w:val="0"/>
          <w:numId w:val="22"/>
        </w:numPr>
        <w:rPr>
          <w:rFonts w:ascii="Times New Roman" w:hAnsi="Times New Roman" w:cs="Times New Roman"/>
          <w:color w:val="auto"/>
        </w:rPr>
      </w:pPr>
      <w:bookmarkStart w:id="137" w:name="_Toc152937207"/>
      <w:bookmarkStart w:id="138" w:name="_Toc133419363"/>
      <w:bookmarkStart w:id="139" w:name="_Toc1799"/>
      <w:bookmarkStart w:id="140" w:name="_Toc2499"/>
      <w:bookmarkStart w:id="141" w:name="_Toc22698"/>
      <w:r>
        <w:rPr>
          <w:rFonts w:ascii="Times New Roman" w:hAnsi="Times New Roman" w:cs="Times New Roman"/>
          <w:color w:val="auto"/>
        </w:rPr>
        <w:t>全域旅游</w:t>
      </w:r>
      <w:bookmarkEnd w:id="137"/>
      <w:bookmarkEnd w:id="138"/>
      <w:r>
        <w:rPr>
          <w:rFonts w:hint="eastAsia" w:ascii="Times New Roman" w:hAnsi="Times New Roman" w:cs="Times New Roman"/>
          <w:color w:val="auto"/>
        </w:rPr>
        <w:t>塑造</w:t>
      </w:r>
      <w:bookmarkEnd w:id="139"/>
      <w:bookmarkEnd w:id="140"/>
      <w:bookmarkEnd w:id="141"/>
    </w:p>
    <w:p w14:paraId="382C2631">
      <w:pPr>
        <w:pStyle w:val="4"/>
        <w:numPr>
          <w:ilvl w:val="0"/>
          <w:numId w:val="28"/>
        </w:numPr>
        <w:rPr>
          <w:rFonts w:hint="eastAsia"/>
        </w:rPr>
      </w:pPr>
      <w:r>
        <w:rPr>
          <w:rFonts w:hint="eastAsia"/>
        </w:rPr>
        <w:t>旅游发展目标</w:t>
      </w:r>
    </w:p>
    <w:p w14:paraId="10C1EB0A">
      <w:r>
        <w:rPr>
          <w:rFonts w:hint="eastAsia"/>
        </w:rPr>
        <w:t>充分利用沙尖子镇的优势资源，打造特色旅游、文化旅游、红色旅游，加大景点、景区的开发力度，多方位开发旅游资源，培育和建设风格独特、环境优雅、设施完善的新景区。</w:t>
      </w:r>
    </w:p>
    <w:p w14:paraId="7A628BD0">
      <w:pPr>
        <w:pStyle w:val="4"/>
        <w:rPr>
          <w:rFonts w:hint="eastAsia"/>
        </w:rPr>
      </w:pPr>
      <w:r>
        <w:rPr>
          <w:rFonts w:hint="eastAsia"/>
        </w:rPr>
        <w:t>构建“一心、一带、三区、多点”旅游发展格局</w:t>
      </w:r>
    </w:p>
    <w:p w14:paraId="319A98B5">
      <w:r>
        <w:rPr>
          <w:rFonts w:hint="eastAsia"/>
        </w:rPr>
        <w:t>“一心”：即以沙尖子村“瀛洲”半岛景观为核心，整合特色民宿等资源，提供旅游综合服务功能，打造集生活居住、休闲购物、教育培训、商贸餐饮住宿为一体的综合旅游服务核心。</w:t>
      </w:r>
    </w:p>
    <w:p w14:paraId="12E13232">
      <w:r>
        <w:rPr>
          <w:rFonts w:hint="eastAsia"/>
        </w:rPr>
        <w:t>“一带”：即以浑江沿岸为依托，串联沿线各类自然奇观、红色文化、历史遗迹资源，将其打造成浑江滨水休闲观光体验带，形成互动发展、互为促进的发展状态。</w:t>
      </w:r>
    </w:p>
    <w:p w14:paraId="644F64DB">
      <w:r>
        <w:rPr>
          <w:rFonts w:hint="eastAsia"/>
        </w:rPr>
        <w:t>“三区”：即根据沙尖子不同区域的资源条件与特征背景及其发展定位，划分的三个不同片区，分别为南部综合景观核心区（建设闹枝沟村旅游服务中心、冰臼地质遗迹公园3A级景区、瀛洲码头3A级景区、地温异常带景区）、中部辽东传统山村风貌区（保留原始山水风貌）、北部自然风光观赏区（整合骆驼岭、仙女洞、影壁山），各个片区共同构成整个区域的支撑载体，同时又各具特色。</w:t>
      </w:r>
    </w:p>
    <w:p w14:paraId="54DD0458">
      <w:r>
        <w:rPr>
          <w:rFonts w:hint="eastAsia"/>
        </w:rPr>
        <w:t>“多点”：结合各自然屯的特色和优势，发展多个旅游度假节点。</w:t>
      </w:r>
    </w:p>
    <w:p w14:paraId="3DFC7531">
      <w:pPr>
        <w:pStyle w:val="4"/>
        <w:rPr>
          <w:rFonts w:hint="eastAsia"/>
        </w:rPr>
      </w:pPr>
      <w:r>
        <w:rPr>
          <w:rFonts w:hint="eastAsia"/>
        </w:rPr>
        <w:t>开放丰富多样的旅游产品</w:t>
      </w:r>
    </w:p>
    <w:p w14:paraId="1928AEBF">
      <w:r>
        <w:rPr>
          <w:rFonts w:hint="eastAsia"/>
        </w:rPr>
        <w:t>重点开发建设特色旅游，充分利用特色农业种植加工、地温异常带天然景观、抗联红色文化遗址遗迹等资源优势，推动沙尖子文化产业发展。</w:t>
      </w:r>
    </w:p>
    <w:p w14:paraId="48C495FA">
      <w:pPr>
        <w:pStyle w:val="4"/>
        <w:rPr>
          <w:rFonts w:hint="eastAsia"/>
        </w:rPr>
      </w:pPr>
      <w:r>
        <w:rPr>
          <w:rFonts w:hint="eastAsia"/>
        </w:rPr>
        <w:t>完善旅游服务支撑体系</w:t>
      </w:r>
    </w:p>
    <w:p w14:paraId="38BA6153">
      <w:r>
        <w:rPr>
          <w:rFonts w:hint="eastAsia"/>
        </w:rPr>
        <w:t>推动全域旅游基础设施建设。打造“小镇客厅”等旅游综合服务综合体，加快旅游公共服务体系建设，重点提升通景公路、标牌标识、旅游厕所、停车场和景区环境，推进旅游自驾服务中心、旅游集散服务中心、导游服务中心建设。构建旅游交通网络。加快推进旅游购物场所建设。加快旅游景区气象灾害预测、旅游预警预报、旅游宣传综合信息发布设施建设，促进旅游与多部门的信息共享。</w:t>
      </w:r>
    </w:p>
    <w:p w14:paraId="61348E42">
      <w:r>
        <w:rPr>
          <w:rFonts w:hint="eastAsia"/>
        </w:rPr>
        <w:t>推动全域旅游智慧化。加快</w:t>
      </w:r>
      <w:r>
        <w:t>5G</w:t>
      </w:r>
      <w:r>
        <w:rPr>
          <w:rFonts w:hint="eastAsia"/>
        </w:rPr>
        <w:t>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38426367">
      <w:pPr>
        <w:pStyle w:val="2"/>
        <w:spacing w:after="360"/>
        <w:rPr>
          <w:rFonts w:hint="eastAsia"/>
        </w:rPr>
      </w:pPr>
      <w:bookmarkStart w:id="142" w:name="_Toc14006"/>
      <w:bookmarkStart w:id="143" w:name="_Toc7535"/>
      <w:bookmarkStart w:id="144" w:name="_Toc2288"/>
      <w:bookmarkStart w:id="145" w:name="_Toc152937218"/>
      <w:bookmarkStart w:id="146" w:name="_Toc381730"/>
      <w:bookmarkStart w:id="147" w:name="_Toc152937221"/>
      <w:bookmarkStart w:id="148" w:name="_Toc152937208"/>
      <w:r>
        <w:rPr>
          <w:rFonts w:hint="eastAsia"/>
        </w:rPr>
        <w:t>第七章 国土空间保障支撑体系</w:t>
      </w:r>
      <w:bookmarkEnd w:id="142"/>
      <w:bookmarkEnd w:id="143"/>
      <w:bookmarkEnd w:id="144"/>
    </w:p>
    <w:p w14:paraId="65EC2FB2">
      <w:pPr>
        <w:pStyle w:val="3"/>
        <w:numPr>
          <w:ilvl w:val="0"/>
          <w:numId w:val="29"/>
        </w:numPr>
        <w:rPr>
          <w:rFonts w:hint="eastAsia"/>
          <w:color w:val="auto"/>
        </w:rPr>
      </w:pPr>
      <w:bookmarkStart w:id="149" w:name="_Toc16886"/>
      <w:bookmarkStart w:id="150" w:name="_Toc152937222"/>
      <w:bookmarkStart w:id="151" w:name="_Toc19541"/>
      <w:bookmarkStart w:id="152" w:name="_Toc17494"/>
      <w:r>
        <w:rPr>
          <w:rFonts w:hint="eastAsia"/>
          <w:color w:val="auto"/>
        </w:rPr>
        <w:t>公共服务设施</w:t>
      </w:r>
      <w:bookmarkEnd w:id="149"/>
      <w:bookmarkEnd w:id="150"/>
      <w:bookmarkEnd w:id="151"/>
      <w:bookmarkEnd w:id="152"/>
    </w:p>
    <w:p w14:paraId="30EEB23B">
      <w:pPr>
        <w:pStyle w:val="4"/>
        <w:numPr>
          <w:ilvl w:val="0"/>
          <w:numId w:val="30"/>
        </w:numPr>
        <w:rPr>
          <w:rFonts w:hint="eastAsia"/>
        </w:rPr>
      </w:pPr>
      <w:r>
        <w:rPr>
          <w:rFonts w:hint="eastAsia"/>
        </w:rPr>
        <w:t>城乡社区生活圈体系构建</w:t>
      </w:r>
    </w:p>
    <w:p w14:paraId="503850DB">
      <w:pPr>
        <w:jc w:val="left"/>
        <w:rPr>
          <w:rFonts w:hint="eastAsia" w:ascii="仿宋_GB2312" w:hAnsi="仿宋_GB2312"/>
          <w:szCs w:val="24"/>
        </w:rPr>
      </w:pPr>
      <w:r>
        <w:rPr>
          <w:rFonts w:hint="eastAsia" w:ascii="仿宋_GB2312" w:hAnsi="仿宋_GB2312"/>
          <w:szCs w:val="24"/>
        </w:rPr>
        <w:t>构建城镇社区生活圈——乡村社区生活圈两级结构，完善沙尖子镇公共服务设施。</w:t>
      </w:r>
    </w:p>
    <w:p w14:paraId="1B82D015">
      <w:pPr>
        <w:jc w:val="left"/>
      </w:pPr>
      <w:r>
        <w:rPr>
          <w:rFonts w:hint="eastAsia"/>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04756609">
      <w:pPr>
        <w:jc w:val="left"/>
      </w:pPr>
      <w:r>
        <w:rPr>
          <w:rFonts w:hint="eastAsia"/>
        </w:rPr>
        <w:t>乡村社区生活圈。按照15分钟步行可达的空间尺度构建城镇社区生活圈，区分步行15分钟、5～10分钟两个层级配置公共服务设施，完善就近服务，营造全龄友好、环境优美、设施配套、活力多元的城镇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26D827C9">
      <w:pPr>
        <w:pStyle w:val="4"/>
        <w:rPr>
          <w:rFonts w:hint="eastAsia"/>
        </w:rPr>
      </w:pPr>
      <w:bookmarkStart w:id="153" w:name="_Toc381769"/>
      <w:bookmarkStart w:id="154" w:name="_Toc133419355"/>
      <w:bookmarkStart w:id="155" w:name="_Toc152937223"/>
      <w:r>
        <w:rPr>
          <w:rFonts w:hint="eastAsia"/>
        </w:rPr>
        <w:t>提升公共服务设施水平</w:t>
      </w:r>
      <w:bookmarkEnd w:id="153"/>
    </w:p>
    <w:p w14:paraId="4D7B0C8E">
      <w:pPr>
        <w:jc w:val="left"/>
      </w:pPr>
      <w:r>
        <w:rPr>
          <w:rFonts w:hint="eastAsia"/>
        </w:rPr>
        <w:t>行政管理设施。镇中心区保留现有镇政府、派出所等行政办公场所。规划积极改善镇政府的建设环境及内部设施，提高镇政府的服务水平。各行政村保留现状各村委会，规划根据各村实际情况，增加村务室等行政管理设施。</w:t>
      </w:r>
    </w:p>
    <w:p w14:paraId="049D88D1">
      <w:pPr>
        <w:jc w:val="left"/>
      </w:pPr>
      <w:r>
        <w:rPr>
          <w:rFonts w:hint="eastAsia"/>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2A967C9D">
      <w:pPr>
        <w:jc w:val="left"/>
      </w:pPr>
      <w:r>
        <w:rPr>
          <w:rFonts w:hint="eastAsia"/>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w:t>
      </w:r>
    </w:p>
    <w:p w14:paraId="6A375FD6">
      <w:pPr>
        <w:jc w:val="left"/>
      </w:pPr>
      <w:r>
        <w:rPr>
          <w:rFonts w:hint="eastAsia"/>
        </w:rPr>
        <w:t>文化活动设施。建立供给丰富、均衡高效的文化服务体系，扩大公共文化服务有效供给，实现城乡文化服务互联互通。中心村设置文化活动室、农家书屋、特色民俗活动点，服务周边村民。一般村结合村委会综合设置。</w:t>
      </w:r>
    </w:p>
    <w:p w14:paraId="6964758C">
      <w:pPr>
        <w:jc w:val="left"/>
      </w:pPr>
      <w:r>
        <w:rPr>
          <w:rFonts w:hint="eastAsia"/>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4DFE6FC6">
      <w:pPr>
        <w:jc w:val="left"/>
      </w:pPr>
      <w:r>
        <w:rPr>
          <w:rFonts w:hint="eastAsia"/>
        </w:rPr>
        <w:t>社会福利设施。提升社会保障水平，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3512D8B2">
      <w:pPr>
        <w:jc w:val="left"/>
      </w:pPr>
      <w:r>
        <w:rPr>
          <w:rFonts w:hint="eastAsia"/>
        </w:rPr>
        <w:t>商业服务设施。加强城乡商业配套服务，建立以镇中心区为核心的城乡商业服务体系。保留各行政村内便民农家店，结合村庄实际情况建设金融电信点、快递投放点等。</w:t>
      </w:r>
    </w:p>
    <w:p w14:paraId="2F0FEF5E">
      <w:pPr>
        <w:jc w:val="left"/>
      </w:pPr>
      <w:r>
        <w:rPr>
          <w:rFonts w:hint="eastAsia"/>
        </w:rPr>
        <w:t>殡葬服务设施。规划完善殡葬设施体系，保障镇、村为解决农村村民安葬需求而建立的殡葬设施。规划对各村村级公益性公墓做好用地保障。</w:t>
      </w:r>
    </w:p>
    <w:p w14:paraId="115EC6AA">
      <w:pPr>
        <w:pStyle w:val="3"/>
        <w:numPr>
          <w:ilvl w:val="0"/>
          <w:numId w:val="29"/>
        </w:numPr>
        <w:rPr>
          <w:rFonts w:hint="eastAsia"/>
          <w:color w:val="auto"/>
        </w:rPr>
      </w:pPr>
      <w:bookmarkStart w:id="156" w:name="_Toc5395"/>
      <w:bookmarkStart w:id="157" w:name="_Toc4144"/>
      <w:bookmarkStart w:id="158" w:name="_Toc13693"/>
      <w:r>
        <w:rPr>
          <w:color w:val="auto"/>
        </w:rPr>
        <w:t>综合交通设施</w:t>
      </w:r>
      <w:bookmarkEnd w:id="154"/>
      <w:bookmarkEnd w:id="155"/>
      <w:bookmarkEnd w:id="156"/>
      <w:bookmarkEnd w:id="157"/>
      <w:bookmarkEnd w:id="158"/>
    </w:p>
    <w:p w14:paraId="7BF80F3E">
      <w:pPr>
        <w:pStyle w:val="4"/>
        <w:numPr>
          <w:ilvl w:val="0"/>
          <w:numId w:val="31"/>
        </w:numPr>
        <w:rPr>
          <w:rFonts w:hint="eastAsia"/>
        </w:rPr>
      </w:pPr>
      <w:r>
        <w:rPr>
          <w:rFonts w:hint="eastAsia"/>
        </w:rPr>
        <w:t>综合交通发展目标</w:t>
      </w:r>
    </w:p>
    <w:p w14:paraId="766DB328">
      <w:r>
        <w:t>建立</w:t>
      </w:r>
      <w:r>
        <w:rPr>
          <w:rFonts w:hint="eastAsia"/>
        </w:rPr>
        <w:t>与沙尖子镇经济和社会发展相适应的道路交通体系和交通网络，为沙尖子镇社会经济发展提供良好交通条件；完善道路等级体系，构建以高速公路、国道为主骨架，省道、乡道为基础，农村公路为补充的安全便捷、内畅外达、智慧高效的综合交通体系；建设高效的道路管理机制，促进道路管理水平的提高</w:t>
      </w:r>
      <w:r>
        <w:t>。</w:t>
      </w:r>
    </w:p>
    <w:p w14:paraId="697F0CA0">
      <w:pPr>
        <w:pStyle w:val="4"/>
        <w:rPr>
          <w:rFonts w:hint="eastAsia"/>
        </w:rPr>
      </w:pPr>
      <w:r>
        <w:rPr>
          <w:rFonts w:hint="eastAsia"/>
        </w:rPr>
        <w:t>构建镇域综合交通网络体系</w:t>
      </w:r>
    </w:p>
    <w:p w14:paraId="4A144325">
      <w:bookmarkStart w:id="159" w:name="_Hlk131258602"/>
      <w:r>
        <w:rPr>
          <w:rFonts w:hint="eastAsia"/>
        </w:rPr>
        <w:t>衔接区域综合交通。落实上位规划确定的高速公路等区域综合交通设施布局，优化城镇主要出口设置，满足城镇内部主要干路与各级公路等对外交通的衔接。加快乡镇级公路网建设及扩容改造，推进乡镇级公路与区域综合交通的衔接，提高公路网络化水平和服务能力。</w:t>
      </w:r>
    </w:p>
    <w:p w14:paraId="0660C74C">
      <w:r>
        <w:rPr>
          <w:rFonts w:hint="eastAsia"/>
        </w:rPr>
        <w:t>慢行交通系统。依托自然山水格局，构建多层次、网络化、开放性的城镇慢行系统。依托城镇道路网布设慢行系统主体网，依托城镇公园、绿道建设的休闲型慢行系统和依托城镇街巷建设的街巷型慢行系统构成慢行系统辅助网。改善步行和自行车出行环境，优先保障人行和骑行路权，促进步行舒适便捷、骑行安全通达。</w:t>
      </w:r>
    </w:p>
    <w:p w14:paraId="49CA74D1">
      <w:r>
        <w:rPr>
          <w:rFonts w:hint="eastAsia"/>
        </w:rPr>
        <w:t>乡村道路交通。完善村庄内部道路网，全面推进硬化改造，按照干路、支路、宅间路三级进行设置。其中，干路道路红线宽度为8～12米，支路道路红线宽度5～7米，宅间路道路红线宽度为3～4米。完善由村道和田间道组成的田间道路系统。结合农用地整理和高标准农田建设，将连接自然村与田块之间农业机械通行的农村道路适度硬化改造为村道，将连接田块与田块之间的农村道路适度改造升级为田间道。</w:t>
      </w:r>
    </w:p>
    <w:p w14:paraId="76F05754">
      <w:r>
        <w:rPr>
          <w:rFonts w:hint="eastAsia"/>
        </w:rPr>
        <w:t>交通设施规划。面向城镇各功能片区，建立以配建为主、路外停车为辅、路内停车为补充的公共停车供应体系，优先在客运站等交通场站和人流、车流集中场所设置社会停车场，鼓励建筑工程按标准配建地面公共停车位，探索城镇集中绿地建设与社会停车场建设相结合，保障静态交通设施多元化供给。加强各村的公共交通建设，保障公共交通的畅通。保留镇域内现状加油站。远期结合电动汽车和新能源汽车发展，将公共停车场作为新能源汽车充电站。提升商业、办公等场所配建停车场以及社会公共停车场的充电桩配建比例。</w:t>
      </w:r>
    </w:p>
    <w:bookmarkEnd w:id="159"/>
    <w:p w14:paraId="7D5336CF">
      <w:pPr>
        <w:pStyle w:val="3"/>
        <w:numPr>
          <w:ilvl w:val="0"/>
          <w:numId w:val="29"/>
        </w:numPr>
        <w:rPr>
          <w:rFonts w:hint="eastAsia"/>
          <w:color w:val="auto"/>
        </w:rPr>
      </w:pPr>
      <w:bookmarkStart w:id="160" w:name="_Toc19136"/>
      <w:bookmarkStart w:id="161" w:name="_Toc16635"/>
      <w:bookmarkStart w:id="162" w:name="_Toc11825"/>
      <w:bookmarkStart w:id="163" w:name="_Toc152937224"/>
      <w:r>
        <w:rPr>
          <w:rFonts w:hint="eastAsia"/>
          <w:color w:val="auto"/>
        </w:rPr>
        <w:t>市政配套设施</w:t>
      </w:r>
      <w:bookmarkEnd w:id="160"/>
      <w:bookmarkEnd w:id="161"/>
      <w:bookmarkEnd w:id="162"/>
      <w:bookmarkEnd w:id="163"/>
    </w:p>
    <w:p w14:paraId="7C6AA8CB">
      <w:pPr>
        <w:pStyle w:val="4"/>
        <w:numPr>
          <w:ilvl w:val="0"/>
          <w:numId w:val="32"/>
        </w:numPr>
        <w:rPr>
          <w:rFonts w:hint="eastAsia"/>
        </w:rPr>
      </w:pPr>
      <w:r>
        <w:rPr>
          <w:rFonts w:hint="eastAsia"/>
        </w:rPr>
        <w:t>给水设施规划</w:t>
      </w:r>
    </w:p>
    <w:p w14:paraId="22DA6EDB">
      <w:r>
        <w:rPr>
          <w:rFonts w:hint="eastAsia"/>
        </w:rPr>
        <w:t>规划完善沙尖子镇域内自来水管网。各村屯根据本地的供水水源情况，建设满足本地发展需求的自来水供应系统。规划保留现状给水厂，供应镇中心区及周边村庄的生产生活用水。供水水源以浅层地下水为主，水源引自深水井。加强水源保护与供水安全。完善镇域内自来水管网。各村屯根据本地的供水水源情况，建设满足本地发展需求的自来水供应系统。</w:t>
      </w:r>
    </w:p>
    <w:p w14:paraId="30DB8BD2">
      <w:pPr>
        <w:pStyle w:val="4"/>
        <w:rPr>
          <w:rFonts w:hint="eastAsia"/>
        </w:rPr>
      </w:pPr>
      <w:bookmarkStart w:id="164" w:name="_Toc381737"/>
      <w:r>
        <w:t>排水</w:t>
      </w:r>
      <w:bookmarkEnd w:id="164"/>
      <w:r>
        <w:rPr>
          <w:rFonts w:hint="eastAsia"/>
        </w:rPr>
        <w:t>设施</w:t>
      </w:r>
      <w:r>
        <w:t>规划</w:t>
      </w:r>
    </w:p>
    <w:p w14:paraId="718FBCF8">
      <w:pPr>
        <w:jc w:val="left"/>
      </w:pPr>
      <w:r>
        <w:rPr>
          <w:rFonts w:hint="eastAsia" w:ascii="仿宋_GB2312" w:hAnsi="仿宋_GB2312"/>
          <w:szCs w:val="24"/>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32517373">
      <w:pPr>
        <w:pStyle w:val="4"/>
        <w:rPr>
          <w:rFonts w:hint="eastAsia"/>
        </w:rPr>
      </w:pPr>
      <w:r>
        <w:t>供电</w:t>
      </w:r>
      <w:r>
        <w:rPr>
          <w:rFonts w:hint="eastAsia"/>
        </w:rPr>
        <w:t>设施</w:t>
      </w:r>
      <w:r>
        <w:t>规划</w:t>
      </w:r>
    </w:p>
    <w:p w14:paraId="79C6D844">
      <w:r>
        <w:rPr>
          <w:rFonts w:hint="eastAsia"/>
        </w:rPr>
        <w:t>完善沙尖子镇域内电网系统。强化电源保障，以区域电网作为供电主电源，落实上位规划中确定的66KV变电站布局，保留现状变电站。优化电网结构，完善输配体系，缩短中压电网供电半径，远期根据实际情况，对满载过载的线路进行改造，线路架设应尽可能做到采用双回线或与高压配电线同杆架设，进行调度自动化二期工程的建设和配网改造工程</w:t>
      </w:r>
      <w:r>
        <w:t>。</w:t>
      </w:r>
    </w:p>
    <w:p w14:paraId="5C63B292">
      <w:pPr>
        <w:pStyle w:val="4"/>
        <w:rPr>
          <w:rFonts w:hint="eastAsia"/>
        </w:rPr>
      </w:pPr>
      <w:r>
        <w:t>通信</w:t>
      </w:r>
      <w:r>
        <w:rPr>
          <w:rFonts w:hint="eastAsia"/>
        </w:rPr>
        <w:t>设施</w:t>
      </w:r>
      <w:r>
        <w:t>规划</w:t>
      </w:r>
    </w:p>
    <w:p w14:paraId="77C66D44">
      <w:r>
        <w:rPr>
          <w:rFonts w:hint="eastAsia"/>
        </w:rPr>
        <w:t>推动第五代移动通讯、工业互联网等数字基础设施建设，扩大5G 基站网络建设规模，积极挖掘5G应用场景，实现全区域覆盖、重点场所深度覆盖。合理安排通信局所等设施建设，完善通信网络结构，统筹通信线路敷设，增强网络互联互通性，提升高速宽带无线通信网络覆盖度和通信综合服务能力。构建以乡镇级邮政支局所、中心村为主体的两级邮政网点体系，提升邮政综合服务能力。镇中心区规划邮政支局，中心村设置邮政代办网点，开展综合服务业务，加快邮政储蓄业务的发展。</w:t>
      </w:r>
    </w:p>
    <w:p w14:paraId="125ACEEE">
      <w:pPr>
        <w:pStyle w:val="4"/>
        <w:rPr>
          <w:rFonts w:hint="eastAsia"/>
        </w:rPr>
      </w:pPr>
      <w:bookmarkStart w:id="165" w:name="_Toc381734"/>
      <w:bookmarkStart w:id="166" w:name="_Toc381733"/>
      <w:r>
        <w:t>燃气</w:t>
      </w:r>
      <w:bookmarkEnd w:id="165"/>
      <w:r>
        <w:rPr>
          <w:rFonts w:hint="eastAsia"/>
        </w:rPr>
        <w:t>设施</w:t>
      </w:r>
      <w:r>
        <w:t>规划</w:t>
      </w:r>
    </w:p>
    <w:p w14:paraId="40C13270">
      <w:r>
        <w:rPr>
          <w:rFonts w:hint="eastAsia"/>
        </w:rPr>
        <w:t>供气气源选择液化天然气，各村以罐装液化气为主，以电能为辅助能源。可考虑与其他形式的清洁能源相结合，如太阳能、风能、沼气等，建设节约型社会，提高能源的使用效率。完善燃气输配系统，大力改造老旧管网，加快新设中压、低压管网建设。合理布设分输站、门站、调压站、储气站。</w:t>
      </w:r>
    </w:p>
    <w:p w14:paraId="4EB8D272">
      <w:pPr>
        <w:pStyle w:val="4"/>
        <w:rPr>
          <w:rFonts w:hint="eastAsia"/>
        </w:rPr>
      </w:pPr>
      <w:r>
        <w:t>供热</w:t>
      </w:r>
      <w:bookmarkEnd w:id="166"/>
      <w:r>
        <w:rPr>
          <w:rFonts w:hint="eastAsia"/>
        </w:rPr>
        <w:t>设施</w:t>
      </w:r>
      <w:r>
        <w:t>规划</w:t>
      </w:r>
    </w:p>
    <w:p w14:paraId="236E3E80">
      <w:r>
        <w:rPr>
          <w:rFonts w:hint="eastAsia"/>
        </w:rPr>
        <w:t>完善集中供热设施。根据热负荷分布情况，以集中供热为主，以分散供热为辅，合理划定供热分区。规划镇中心区采取区域集中供热方式，采用分区式混合管网，环状与枝状相结合。各村屯采用分散区域供暖形式</w:t>
      </w:r>
      <w:r>
        <w:t>。</w:t>
      </w:r>
      <w:r>
        <w:rPr>
          <w:rFonts w:hint="eastAsia"/>
        </w:rPr>
        <w:t>引导具备条件的区域实行供热管网联网运行，促进供热管网与热负荷分布相均衡，提升供热安全性、稳定性和集中供热普及率。</w:t>
      </w:r>
    </w:p>
    <w:p w14:paraId="57607B3B">
      <w:pPr>
        <w:pStyle w:val="4"/>
        <w:rPr>
          <w:rFonts w:hint="eastAsia"/>
        </w:rPr>
      </w:pPr>
      <w:bookmarkStart w:id="167" w:name="_Toc381738"/>
      <w:r>
        <w:t>环卫</w:t>
      </w:r>
      <w:bookmarkEnd w:id="167"/>
      <w:r>
        <w:rPr>
          <w:rFonts w:hint="eastAsia"/>
        </w:rPr>
        <w:t>设施</w:t>
      </w:r>
      <w:r>
        <w:t>规划</w:t>
      </w:r>
    </w:p>
    <w:p w14:paraId="2B647242">
      <w:r>
        <w:rPr>
          <w:rFonts w:hint="eastAsia"/>
        </w:rPr>
        <w:t>规划沙尖子镇采用“户分类、村收集、镇运转、县处理”的模式，实现环境卫生城乡一体化布局。居民将产生的生活垃圾按照四类分类收集，各村设立分类垃圾贮存站，各村庄规划一处分类垃圾收集点，将各类垃圾集中运输到桓仁县垃圾处理场处置。</w:t>
      </w:r>
    </w:p>
    <w:p w14:paraId="47801010">
      <w:r>
        <w:rPr>
          <w:rFonts w:hint="eastAsia"/>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w:t>
      </w:r>
    </w:p>
    <w:p w14:paraId="5396FDA1">
      <w:pPr>
        <w:ind w:firstLine="0" w:firstLineChars="0"/>
        <w:rPr>
          <w:szCs w:val="32"/>
        </w:rPr>
      </w:pPr>
      <w:bookmarkStart w:id="168" w:name="_bookmark141"/>
      <w:bookmarkEnd w:id="168"/>
      <w:bookmarkStart w:id="169" w:name="_bookmark144"/>
      <w:bookmarkEnd w:id="169"/>
      <w:bookmarkStart w:id="170" w:name="_bookmark142"/>
      <w:bookmarkEnd w:id="170"/>
      <w:bookmarkStart w:id="171" w:name="_Toc152937225"/>
      <w:bookmarkStart w:id="172" w:name="_Toc133419357"/>
      <w:r>
        <w:rPr>
          <w:rFonts w:hint="eastAsia"/>
          <w:szCs w:val="32"/>
          <w:lang w:bidi="ar"/>
        </w:rPr>
        <w:t>有毒有害垃圾实行定期或预约收运，根据危险废物类别交由有相应危废经营许可资质的单位进行无害化处置。危险废物焚烧处理设施应满足《危险废物焚烧污染控制标准》（</w:t>
      </w:r>
      <w:r>
        <w:rPr>
          <w:szCs w:val="32"/>
          <w:lang w:bidi="ar"/>
        </w:rPr>
        <w:t>GB18484-2020</w:t>
      </w:r>
      <w:r>
        <w:rPr>
          <w:rFonts w:hint="eastAsia"/>
          <w:szCs w:val="32"/>
          <w:lang w:bidi="ar"/>
        </w:rPr>
        <w:t>）及修改单要求，危险废物安全处置率</w:t>
      </w:r>
      <w:r>
        <w:rPr>
          <w:szCs w:val="32"/>
          <w:lang w:bidi="ar"/>
        </w:rPr>
        <w:t>100%</w:t>
      </w:r>
      <w:r>
        <w:rPr>
          <w:rFonts w:hint="eastAsia"/>
          <w:szCs w:val="32"/>
          <w:lang w:bidi="ar"/>
        </w:rPr>
        <w:t>。</w:t>
      </w:r>
    </w:p>
    <w:p w14:paraId="628CFA67">
      <w:pPr>
        <w:pStyle w:val="3"/>
        <w:numPr>
          <w:ilvl w:val="0"/>
          <w:numId w:val="29"/>
        </w:numPr>
        <w:rPr>
          <w:rFonts w:hint="eastAsia"/>
          <w:color w:val="auto"/>
        </w:rPr>
      </w:pPr>
      <w:bookmarkStart w:id="173" w:name="_Toc22409"/>
      <w:bookmarkStart w:id="174" w:name="_Toc27744"/>
      <w:bookmarkStart w:id="175" w:name="_Toc7282"/>
      <w:r>
        <w:rPr>
          <w:color w:val="auto"/>
        </w:rPr>
        <w:t>防灾减灾</w:t>
      </w:r>
      <w:r>
        <w:rPr>
          <w:rFonts w:hint="eastAsia"/>
          <w:color w:val="auto"/>
        </w:rPr>
        <w:t>与公共安全</w:t>
      </w:r>
      <w:r>
        <w:rPr>
          <w:color w:val="auto"/>
        </w:rPr>
        <w:t>设施</w:t>
      </w:r>
      <w:bookmarkEnd w:id="171"/>
      <w:bookmarkEnd w:id="172"/>
      <w:bookmarkEnd w:id="173"/>
      <w:bookmarkEnd w:id="174"/>
      <w:bookmarkEnd w:id="175"/>
    </w:p>
    <w:p w14:paraId="556F375B">
      <w:pPr>
        <w:pStyle w:val="4"/>
        <w:numPr>
          <w:ilvl w:val="0"/>
          <w:numId w:val="33"/>
        </w:numPr>
        <w:rPr>
          <w:rFonts w:hint="eastAsia"/>
        </w:rPr>
      </w:pPr>
      <w:r>
        <w:rPr>
          <w:rFonts w:hint="eastAsia"/>
        </w:rPr>
        <w:t>防灾减灾目标</w:t>
      </w:r>
    </w:p>
    <w:p w14:paraId="26AB7427">
      <w:pPr>
        <w:jc w:val="left"/>
        <w:rPr>
          <w:lang w:bidi="ar"/>
        </w:rPr>
      </w:pPr>
      <w:r>
        <w:rPr>
          <w:rFonts w:hint="eastAsia" w:ascii="仿宋_GB2312" w:hAnsi="仿宋_GB2312"/>
          <w:szCs w:val="24"/>
        </w:rPr>
        <w:t>采取“以防为主，防治结合，全面规划，综合治理”的方针，采取多种措施和技术手段，加强乡镇防灾减灾基础设施建设，完善灾害应急机制，提高防洪、排涝、消防、人防、抗震等能力，尽可能避免和减少灾害的发生，提高安全防灾保障能力</w:t>
      </w:r>
      <w:r>
        <w:rPr>
          <w:rFonts w:hint="eastAsia"/>
          <w:lang w:bidi="ar"/>
        </w:rPr>
        <w:t>。</w:t>
      </w:r>
    </w:p>
    <w:p w14:paraId="1A93CAB2">
      <w:pPr>
        <w:pStyle w:val="4"/>
        <w:rPr>
          <w:rFonts w:hint="eastAsia"/>
        </w:rPr>
      </w:pPr>
      <w:r>
        <w:t>抗震减灾</w:t>
      </w:r>
      <w:r>
        <w:rPr>
          <w:rFonts w:hint="eastAsia"/>
        </w:rPr>
        <w:t>规划</w:t>
      </w:r>
    </w:p>
    <w:p w14:paraId="32D3CFEE">
      <w:pPr>
        <w:rPr>
          <w:u w:val="single"/>
        </w:rPr>
      </w:pPr>
      <w:r>
        <w:rPr>
          <w:rFonts w:hint="eastAsia"/>
        </w:rPr>
        <w:t>提高防震抗震能力。依据地震重点监视防御区抗震防灾专项规划，适度提高重要设施、灾害高风险地段抗震设防等级。</w:t>
      </w:r>
      <w:r>
        <w:rPr>
          <w:rFonts w:hint="eastAsia"/>
          <w:u w:val="single"/>
        </w:rPr>
        <w:t>新建建筑物和构筑物均按地震烈度Ⅶ度设防。一般建设工程按照中国地震动参数区划图所确定的抗震设防要求进行抗震设防；对学校、医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02DC98F5">
      <w:r>
        <w:rPr>
          <w:rFonts w:hint="eastAsia"/>
        </w:rPr>
        <w:t>规划沙尖子镇</w:t>
      </w:r>
      <w:r>
        <w:t>镇政府</w:t>
      </w:r>
      <w:r>
        <w:rPr>
          <w:rFonts w:hint="eastAsia"/>
        </w:rPr>
        <w:t>作为震灾时的临时抗震指挥中心，负责制定防震减灾应急方案，在受到灾情时，能及时协调统一指挥，组织人员疏散、物资转移和生产自救。规划急救中心位于沙尖子镇中心卫生院。规划利用镇中心区公园绿地、广场、学校操场及外围田野等开阔空间作为避震场地。利用主、次干路作为疏散通道，疏散通道应保证两侧建筑物倒塌后还有</w:t>
      </w:r>
      <w:r>
        <w:t>7米以</w:t>
      </w:r>
      <w:r>
        <w:rPr>
          <w:rFonts w:hint="eastAsia"/>
        </w:rPr>
        <w:t>上的双向行车通道。重视次生灾害，加油站、高压输配电设施、高压输气管道等应严格按照有关规定进行建设和管理，以免地震时发生爆炸和火灾等次生灾害。</w:t>
      </w:r>
    </w:p>
    <w:p w14:paraId="63E4AB05">
      <w:pPr>
        <w:pStyle w:val="4"/>
        <w:rPr>
          <w:rFonts w:hint="eastAsia"/>
        </w:rPr>
      </w:pPr>
      <w:r>
        <w:rPr>
          <w:rFonts w:hint="eastAsia"/>
        </w:rPr>
        <w:t>防洪排涝规划</w:t>
      </w:r>
    </w:p>
    <w:p w14:paraId="5681CB9D">
      <w:bookmarkStart w:id="176" w:name="_Hlk131263270"/>
      <w:r>
        <w:rPr>
          <w:rFonts w:hint="eastAsia"/>
          <w:u w:val="single"/>
        </w:rPr>
        <w:t>规划确定沙尖子镇境内河流水系防洪标准为1</w:t>
      </w:r>
      <w:r>
        <w:rPr>
          <w:u w:val="single"/>
        </w:rPr>
        <w:t>0年一遇</w:t>
      </w:r>
      <w:r>
        <w:rPr>
          <w:rFonts w:hint="eastAsia"/>
          <w:u w:val="single"/>
        </w:rPr>
        <w:t>，镇中心区为20年一遇</w:t>
      </w:r>
      <w:r>
        <w:t>。</w:t>
      </w:r>
      <w:r>
        <w:rPr>
          <w:rFonts w:hint="eastAsia"/>
        </w:rPr>
        <w:t>洪水预防从流域的治理入手，按照“上蓄水、中圈堤、下利泻”原则，主要河流上游地区“以蓄为主”，进一步做好植树造林等水土保持工作。加强洪水控制工程，规划对河流进行整治，修建堤坝，清理河道，保证城镇安全。推动沿河岸线以及靠近村庄和镇中心区的节点地段进行有效的绿化景观设计，起到景观与防洪的双重效果。提升河流附近道路标高，兼顾防洪堤坝。沿河一侧局部地段，采取筑堤与拆迁相结合的措施，解决防洪防涝问题。</w:t>
      </w:r>
    </w:p>
    <w:bookmarkEnd w:id="176"/>
    <w:p w14:paraId="4C6D2CFC">
      <w:pPr>
        <w:pStyle w:val="4"/>
        <w:rPr>
          <w:rFonts w:hint="eastAsia"/>
        </w:rPr>
      </w:pPr>
      <w:bookmarkStart w:id="177" w:name="_Hlk131263279"/>
      <w:r>
        <w:rPr>
          <w:rFonts w:hint="eastAsia"/>
        </w:rPr>
        <w:t>消防规划</w:t>
      </w:r>
    </w:p>
    <w:bookmarkEnd w:id="177"/>
    <w:p w14:paraId="1363AF6B">
      <w:r>
        <w:t>贯彻</w:t>
      </w:r>
      <w:r>
        <w:rPr>
          <w:rFonts w:hint="eastAsia"/>
        </w:rPr>
        <w:t>“</w:t>
      </w:r>
      <w:r>
        <w:t>预防为主，防消结合</w:t>
      </w:r>
      <w:r>
        <w:rPr>
          <w:rFonts w:hint="eastAsia"/>
        </w:rPr>
        <w:t>”</w:t>
      </w:r>
      <w:r>
        <w:t>的消防工作方针，推进消防站建设和市政消防水源建设，合理划分消防责任区。</w:t>
      </w:r>
      <w:r>
        <w:rPr>
          <w:rFonts w:hint="eastAsia"/>
        </w:rPr>
        <w:t>构建以沙尖子镇二级消防站为中心，村庄微型消防站为补充的消防救援体系。</w:t>
      </w:r>
      <w:r>
        <w:rPr>
          <w:rFonts w:hint="eastAsia" w:ascii="仿宋_GB2312" w:hAnsi="仿宋_GB2312" w:cs="仿宋_GB2312"/>
          <w:szCs w:val="32"/>
        </w:rPr>
        <w:t>加强消防通道建设。居住区道路宽度不应小于4米道路转弯半径不应小于12米，净高不低于4.0米，消防通道间距应小于160米</w:t>
      </w:r>
    </w:p>
    <w:p w14:paraId="724D569D">
      <w:r>
        <w:t>消防给水系统与城镇给水系统</w:t>
      </w:r>
      <w:r>
        <w:rPr>
          <w:rFonts w:hint="eastAsia"/>
        </w:rPr>
        <w:t>保持</w:t>
      </w:r>
      <w:r>
        <w:t>一致，沿路供水管线不超过120米设一处消火栓。</w:t>
      </w:r>
      <w:r>
        <w:rPr>
          <w:rFonts w:hint="eastAsia"/>
        </w:rPr>
        <w:t>在工业区、大型公共建筑和供水低压区内设置消防水池，以保证消防用水所需流量。结合镇中心区给水规划，形成环支状管网，增大供水能力，保证消防供水的安全性。</w:t>
      </w:r>
      <w:r>
        <w:t>给水管网供水压力要保证市政消防栓流量不小于15升/秒，压力不低于0.1MPa。增设消防栓，新建和改造的道路的配水管上均应按不大120米间距配套建</w:t>
      </w:r>
      <w:r>
        <w:rPr>
          <w:rFonts w:hint="eastAsia"/>
        </w:rPr>
        <w:t>设市政消防栓。镇中心区内河流作为补充水源。</w:t>
      </w:r>
    </w:p>
    <w:p w14:paraId="1C00AE76">
      <w:r>
        <w:t>消防站应与全镇消防指挥中心建立可靠的有线通信、无线通信联系；消防无线通信系统应按专用通信网设置</w:t>
      </w:r>
      <w:r>
        <w:rPr>
          <w:rFonts w:hint="eastAsia"/>
        </w:rPr>
        <w:t>，</w:t>
      </w:r>
      <w:r>
        <w:t>并能与</w:t>
      </w:r>
      <w:r>
        <w:rPr>
          <w:rFonts w:hint="eastAsia"/>
        </w:rPr>
        <w:t>其他</w:t>
      </w:r>
      <w:r>
        <w:t>通信网连接，设置无线通讯基地台，保证线路、通信信号畅通。</w:t>
      </w:r>
      <w:bookmarkStart w:id="178" w:name="_Hlk131266021"/>
      <w:r>
        <w:rPr>
          <w:rFonts w:hint="eastAsia"/>
        </w:rPr>
        <w:t>电信支局应设两条火警专用线与桓仁县消防指挥中心连接，消防站至少有一条火警调度专线，重要的工厂、企事业单位设置报警专用线。</w:t>
      </w:r>
      <w:r>
        <w:t>建立无线调度网络，采用非民用频点。重点单位和重要建筑设置无线自动和手动报警终端，将其与消防指挥中心</w:t>
      </w:r>
      <w:r>
        <w:rPr>
          <w:rFonts w:hint="eastAsia"/>
        </w:rPr>
        <w:t>自动接收系统连接。</w:t>
      </w:r>
    </w:p>
    <w:p w14:paraId="6131AE38">
      <w:r>
        <w:rPr>
          <w:rFonts w:hint="eastAsia"/>
        </w:rPr>
        <w:t>提高森林防火能力，完善林区火灾预警监测、通信指挥等信息系统，补足消防人员及装备，加强森林防火区（防火隔离带）、高森林火险区防火管控和消防基础设施配套，提高森林防火和消防能力。</w:t>
      </w:r>
    </w:p>
    <w:p w14:paraId="49F593E1">
      <w:pPr>
        <w:pStyle w:val="4"/>
        <w:rPr>
          <w:rFonts w:hint="eastAsia"/>
        </w:rPr>
      </w:pPr>
      <w:r>
        <w:rPr>
          <w:rFonts w:hint="eastAsia"/>
        </w:rPr>
        <w:t>地质</w:t>
      </w:r>
      <w:r>
        <w:t>灾害</w:t>
      </w:r>
      <w:r>
        <w:rPr>
          <w:rFonts w:hint="eastAsia"/>
        </w:rPr>
        <w:t>防治规划</w:t>
      </w:r>
    </w:p>
    <w:p w14:paraId="6D36EA0A">
      <w:r>
        <w:rPr>
          <w:rFonts w:hint="eastAsia"/>
        </w:rPr>
        <w:t>在地质灾害区域的居民点（自然屯）规划考虑搬迁避让。规划以生物治理与工程治理相结合的方式，生物工程措施包括林业措施、农业措施和种草措施，改善山地生态环境，稳定松散碎屑物，增加生态水源涵养能力。土建工程措施以护岸护坡工程、拦挡工程和排导工程为主，对于山地环境差、松散堆积物多、生物工程治理效果较差时，修筑必要的工程，通过稳、拦、排等工程措施，对泥石流等地质灾害进行拦截和疏导。建立灾后自救体系，加强主要灾害防灾设施、救灾队伍及物资储备建设，加强交通生命线通道、供水、供电、通信的骨干线路抗灾能力建设。</w:t>
      </w:r>
    </w:p>
    <w:p w14:paraId="6EBD7086">
      <w:pPr>
        <w:pStyle w:val="4"/>
        <w:rPr>
          <w:rFonts w:hint="eastAsia"/>
        </w:rPr>
      </w:pPr>
      <w:r>
        <w:t>气象灾害</w:t>
      </w:r>
      <w:r>
        <w:rPr>
          <w:rFonts w:hint="eastAsia"/>
        </w:rPr>
        <w:t>防治规划</w:t>
      </w:r>
    </w:p>
    <w:p w14:paraId="7492BE49">
      <w:r>
        <w:rPr>
          <w:rFonts w:hint="eastAsia"/>
        </w:rPr>
        <w:t>加强沙尖子镇镇政府气象防灾减灾救灾管理职能，构建以镇气象工作站为单位，以自然村、气象灾害防御重点单位、气象次生灾害易发区等责任区为网格的基层气象防灾减灾救灾组织体系。涉及安全的重大规划与重点工程项目建设前要开展气候可行性论证，科学规范评估气象灾害及气候变化对重大规划工程可能产生的影响。组织开展气象灾害应急演练，提高应急救援能力，加强防护林和紧急避难场所等建设，并定期组织开展建（构）筑物防风避险的监督检查。按照相关政策文件要求加强气象观测站等气象设施和气象探测环境的保护，保障关键气象设施用地供给与环境保护，实行分类保护、分级管理。</w:t>
      </w:r>
      <w:bookmarkEnd w:id="178"/>
    </w:p>
    <w:p w14:paraId="3C9AEF3B">
      <w:pPr>
        <w:pStyle w:val="4"/>
        <w:rPr>
          <w:rFonts w:hint="eastAsia"/>
        </w:rPr>
      </w:pPr>
      <w:bookmarkStart w:id="179" w:name="_Hlk133412565"/>
      <w:r>
        <w:rPr>
          <w:rFonts w:hint="eastAsia"/>
        </w:rPr>
        <w:t>人防规划</w:t>
      </w:r>
    </w:p>
    <w:p w14:paraId="1ED875E4">
      <w:pPr>
        <w:jc w:val="left"/>
      </w:pPr>
      <w:r>
        <w:rPr>
          <w:rFonts w:hint="eastAsia" w:ascii="仿宋_GB2312" w:hAnsi="仿宋_GB2312"/>
          <w:szCs w:val="24"/>
        </w:rPr>
        <w:t>按照“平战结合、平灾结合”的原则，逐步建立城镇防空系统，增强城镇防护能力。以重要的工矿企业、交通枢纽、通信枢纽、桥梁、水库等为重要防护目标，加强生命线工程建设。构建平灾结合人防工事。新建民用建筑应依法同步规划、设计、建设防空地下室，地下空间开发利用和市政基础设施建设兼顾人防防护要求。镇卫生院应配套建设战时用途为医疗救护工程的人防工程</w:t>
      </w:r>
      <w:r>
        <w:rPr>
          <w:rFonts w:hint="eastAsia"/>
        </w:rPr>
        <w:t>。</w:t>
      </w:r>
    </w:p>
    <w:p w14:paraId="712F5BEE">
      <w:pPr>
        <w:pStyle w:val="4"/>
        <w:rPr>
          <w:rFonts w:hint="eastAsia"/>
        </w:rPr>
      </w:pPr>
      <w:r>
        <w:rPr>
          <w:rFonts w:hint="eastAsia"/>
        </w:rPr>
        <w:t>应急保障系统规划</w:t>
      </w:r>
    </w:p>
    <w:p w14:paraId="40E6AAD4">
      <w:r>
        <w:rPr>
          <w:rFonts w:hint="eastAsia"/>
          <w:lang w:bidi="ar"/>
        </w:rPr>
        <w:t>优先保证镇域应急通道大灾后的基本通行能力。生命线工程包括交通、通讯、供电、供水、供气、供热、消防等基础设施，均应按基本烈度提高1度进行设防，以保证在遭受设防烈度以内的地震时，仍能正常运转。做好防火灾、防爆炸规划，对贮存易燃、易爆危险品的设施进行抗震方面检查，提高抗震能力，达到设防标准。</w:t>
      </w:r>
      <w:r>
        <w:rPr>
          <w:rFonts w:hint="eastAsia"/>
        </w:rPr>
        <w:t>规范应急避难场所类型划分，选择适宜级别和类型的应急避难场所进行规划建设，设置满足避难需求的必要功能区，实行分级分类配置设施设备和物资。</w:t>
      </w:r>
    </w:p>
    <w:p w14:paraId="6C345A1C">
      <w:pPr>
        <w:jc w:val="left"/>
        <w:rPr>
          <w:rFonts w:hint="eastAsia" w:ascii="仿宋_GB2312" w:hAnsi="仿宋_GB2312"/>
          <w:szCs w:val="24"/>
        </w:rPr>
      </w:pPr>
      <w:r>
        <w:rPr>
          <w:rFonts w:hint="eastAsia" w:ascii="仿宋_GB2312" w:hAnsi="仿宋_GB2312"/>
          <w:szCs w:val="24"/>
        </w:rPr>
        <w:t>提高气象灾害的全天候、高时空分辨率、高精度监测，推进卫星遥感技术在气象灾害监测中的应用，强化基于气象灾害风险评估预警的防灾减灾服务，保障关键气象设施用地。推进气象观测精密化、预测精准化、服务精细化、信息集约化。推动重大气象衍生灾害多部门联合监测和综合预警，满足国家关于气象设施和气象探测环境保护的相关要求。进行台风、暴雨、干旱、高温、低温、大风、冰雹、雪灾、雷电等综合风险普查和精细化风险区划，建立数字化气象灾害风险地图。涉及安全的重大规划与重点工程项目建设前要开展气候可行性论证，科学规范评估气象灾害及气候变化对重大工程可能产生的影响。</w:t>
      </w:r>
    </w:p>
    <w:p w14:paraId="2F71CEDF">
      <w:pPr>
        <w:jc w:val="left"/>
        <w:rPr>
          <w:rFonts w:hint="eastAsia" w:ascii="仿宋_GB2312" w:hAnsi="仿宋_GB2312"/>
          <w:szCs w:val="24"/>
        </w:rPr>
      </w:pPr>
      <w:r>
        <w:rPr>
          <w:rFonts w:hint="eastAsia" w:ascii="仿宋_GB2312" w:hAnsi="仿宋_GB2312"/>
          <w:szCs w:val="24"/>
        </w:rPr>
        <w:t>密切关注大风、强降雨过程和台风发展态势，严格落实预警响应联动机制和临灾预警“叫应”机制，提前做好风险隐患排查和人员避险转移。配合加快救灾资金预拨进度，及时开展灾情核定，推进灾毁房屋恢复重建，确保受灾群众入冬前回家或搬入新居、安全温暖过冬。</w:t>
      </w:r>
    </w:p>
    <w:p w14:paraId="3C1A0DAA">
      <w:pPr>
        <w:pStyle w:val="4"/>
        <w:rPr>
          <w:rFonts w:hint="eastAsia"/>
        </w:rPr>
      </w:pPr>
      <w:r>
        <w:rPr>
          <w:rFonts w:hint="eastAsia"/>
        </w:rPr>
        <w:t>卫生防控防治规划</w:t>
      </w:r>
    </w:p>
    <w:bookmarkEnd w:id="179"/>
    <w:p w14:paraId="4E8B05A1">
      <w:bookmarkStart w:id="180" w:name="_Hlk133412580"/>
      <w:r>
        <w:rPr>
          <w:rFonts w:hint="eastAsia"/>
        </w:rPr>
        <w:t>针对突发公共卫生事件，建立以“镇－</w:t>
      </w:r>
      <w:r>
        <w:t>村</w:t>
      </w:r>
      <w:r>
        <w:rPr>
          <w:rFonts w:hint="eastAsia"/>
        </w:rPr>
        <w:t>”</w:t>
      </w:r>
      <w:r>
        <w:t>防控分区联防联控机制，落实分级响应、分区管控措施和要求</w:t>
      </w:r>
      <w:r>
        <w:rPr>
          <w:rFonts w:hint="eastAsia"/>
        </w:rPr>
        <w:t>，形成镇村两级医疗应急防疫体系。利用镇域内的文体中心、学校等公共服务设施作为应急关键设施。各村基层防控以自然屯为单元划定防疫片区，建设以村卫生室为核心的卫生服务功能。</w:t>
      </w:r>
    </w:p>
    <w:bookmarkEnd w:id="180"/>
    <w:p w14:paraId="4663C748">
      <w:pPr>
        <w:pStyle w:val="4"/>
        <w:rPr>
          <w:rFonts w:hint="eastAsia"/>
        </w:rPr>
      </w:pPr>
      <w:bookmarkStart w:id="181" w:name="_Hlk131266047"/>
      <w:r>
        <w:rPr>
          <w:rFonts w:hint="eastAsia"/>
        </w:rPr>
        <w:t>重大危险源管控</w:t>
      </w:r>
    </w:p>
    <w:bookmarkEnd w:id="181"/>
    <w:p w14:paraId="7CE0EE2B">
      <w:bookmarkStart w:id="182" w:name="_Hlk131412776"/>
      <w:bookmarkStart w:id="183" w:name="_Hlk131266057"/>
      <w:r>
        <w:rPr>
          <w:rFonts w:hint="eastAsia"/>
          <w:lang w:bidi="ar"/>
        </w:rPr>
        <w:t>加强加油站、天然气储气站等重大危险源的安全管理，合理设置重大危险源的安全距离，降低危险源的事故风险。</w:t>
      </w:r>
    </w:p>
    <w:bookmarkEnd w:id="182"/>
    <w:bookmarkEnd w:id="183"/>
    <w:p w14:paraId="5C1DDFBB">
      <w:pPr>
        <w:pStyle w:val="2"/>
        <w:spacing w:after="360"/>
        <w:rPr>
          <w:rFonts w:hint="eastAsia"/>
        </w:rPr>
      </w:pPr>
      <w:bookmarkStart w:id="184" w:name="_Toc4213"/>
      <w:bookmarkStart w:id="185" w:name="_Toc32510"/>
      <w:bookmarkStart w:id="186" w:name="_Toc21010"/>
      <w:r>
        <w:rPr>
          <w:rFonts w:hint="eastAsia"/>
        </w:rPr>
        <w:t>第八章 生态修复</w:t>
      </w:r>
      <w:bookmarkEnd w:id="145"/>
      <w:r>
        <w:rPr>
          <w:rFonts w:hint="eastAsia"/>
        </w:rPr>
        <w:t>和国土综合整治</w:t>
      </w:r>
      <w:bookmarkEnd w:id="184"/>
      <w:bookmarkEnd w:id="185"/>
      <w:bookmarkEnd w:id="186"/>
    </w:p>
    <w:p w14:paraId="011CE95F">
      <w:pPr>
        <w:pStyle w:val="3"/>
        <w:numPr>
          <w:ilvl w:val="0"/>
          <w:numId w:val="34"/>
        </w:numPr>
        <w:rPr>
          <w:rFonts w:hint="eastAsia"/>
          <w:color w:val="auto"/>
        </w:rPr>
      </w:pPr>
      <w:bookmarkStart w:id="187" w:name="_Toc25722"/>
      <w:bookmarkStart w:id="188" w:name="_Toc22897"/>
      <w:bookmarkStart w:id="189" w:name="_Toc16844"/>
      <w:bookmarkStart w:id="190" w:name="_Toc152937219"/>
      <w:r>
        <w:rPr>
          <w:color w:val="auto"/>
        </w:rPr>
        <w:t>生态修复</w:t>
      </w:r>
      <w:bookmarkEnd w:id="187"/>
      <w:bookmarkEnd w:id="188"/>
      <w:bookmarkEnd w:id="189"/>
      <w:bookmarkEnd w:id="190"/>
    </w:p>
    <w:p w14:paraId="4D318C38">
      <w:pPr>
        <w:pStyle w:val="4"/>
        <w:numPr>
          <w:ilvl w:val="0"/>
          <w:numId w:val="35"/>
        </w:numPr>
        <w:rPr>
          <w:rFonts w:hint="eastAsia"/>
        </w:rPr>
      </w:pPr>
      <w:r>
        <w:rPr>
          <w:rFonts w:hint="eastAsia"/>
        </w:rPr>
        <w:t>生态修复目标任务</w:t>
      </w:r>
    </w:p>
    <w:p w14:paraId="00DD2EB8">
      <w:pPr>
        <w:rPr>
          <w:lang w:bidi="ar"/>
        </w:rPr>
      </w:pPr>
      <w:r>
        <w:rPr>
          <w:rFonts w:hint="eastAsia"/>
          <w:lang w:bidi="ar"/>
        </w:rPr>
        <w:t>全面贯彻落实习近平生态文明思想，坚持人与自然和谐共生基本方略，促进自然生态保护修复，提高资源环境承载能力，最终从整体上构建安全和谐、开放、协调、富有竞争力和可持续发展。</w:t>
      </w:r>
    </w:p>
    <w:p w14:paraId="4055F6C6">
      <w:pPr>
        <w:pStyle w:val="4"/>
        <w:rPr>
          <w:rFonts w:hint="eastAsia"/>
        </w:rPr>
      </w:pPr>
      <w:r>
        <w:rPr>
          <w:rFonts w:hint="eastAsia"/>
        </w:rPr>
        <w:t>山水林田湖草一体化生态修复</w:t>
      </w:r>
    </w:p>
    <w:p w14:paraId="3CE8F108">
      <w:pPr>
        <w:rPr>
          <w:lang w:bidi="ar"/>
        </w:rPr>
      </w:pPr>
      <w:r>
        <w:rPr>
          <w:rFonts w:hint="eastAsia"/>
          <w:lang w:bidi="ar"/>
        </w:rPr>
        <w:t>为解决山水林田湖草沙各自然要素存在的问题，使生态环境质量得到有效改善，生态功能支撑和生态涵养明显增强，生态系统服务与保障功能、生态廊道系统功能得到提升，划定山水林田湖草沙一体化生态修复重点区域，并设置重点工程。</w:t>
      </w:r>
    </w:p>
    <w:p w14:paraId="4F73A2D0">
      <w:pPr>
        <w:rPr>
          <w:lang w:bidi="ar"/>
        </w:rPr>
      </w:pPr>
      <w:r>
        <w:rPr>
          <w:rFonts w:hint="eastAsia"/>
          <w:lang w:bidi="ar"/>
        </w:rPr>
        <w:t>森林生态修复工程。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2239D66A">
      <w:pPr>
        <w:rPr>
          <w:lang w:bidi="ar"/>
        </w:rPr>
      </w:pPr>
      <w:r>
        <w:rPr>
          <w:rFonts w:hint="eastAsia"/>
          <w:lang w:bidi="ar"/>
        </w:rPr>
        <w:t>水土流失生态修复工程。根据水土流失情况和特点，贯彻绿色发展理念，将工程措施、生物措施和农业措施相结合，实施水土保持重点工程，加强重点区域及山洪地质灾害易发区的水土流失防治。</w:t>
      </w:r>
    </w:p>
    <w:p w14:paraId="1FE3539C">
      <w:pPr>
        <w:rPr>
          <w:lang w:bidi="ar"/>
        </w:rPr>
      </w:pPr>
      <w:r>
        <w:rPr>
          <w:rFonts w:hint="eastAsia"/>
          <w:lang w:bidi="ar"/>
        </w:rPr>
        <w:t>水环境和水生态修复工程。严格控制污染源，实施河道治理工程、水源地保护工程。做好防洪堤修建工作，建立河长制，负责组织领导相应河流的管理和保护工作。实施农田防护林建设，河道及堤防岸坡治理、人工湿地建设等治理措施，推进水系连通及农村水系综合整治，保障河道水质达标，促进生态修复，保障农村灌溉安全。</w:t>
      </w:r>
    </w:p>
    <w:p w14:paraId="6F0B5CDD">
      <w:pPr>
        <w:rPr>
          <w:lang w:bidi="ar"/>
        </w:rPr>
      </w:pPr>
      <w:r>
        <w:rPr>
          <w:rFonts w:hint="eastAsia"/>
          <w:lang w:bidi="ar"/>
        </w:rPr>
        <w:t>湿地生态修复工程。通过实施湿地恢复与综合治理工程，改善湿地生态质量，提高湿地生态系统完整性和稳定性。推进小微湿地建设，开展湿地公园建设，打造生态景观水系，改善河流水质。</w:t>
      </w:r>
    </w:p>
    <w:p w14:paraId="21F67848">
      <w:pPr>
        <w:pStyle w:val="4"/>
        <w:rPr>
          <w:rFonts w:hint="eastAsia"/>
        </w:rPr>
      </w:pPr>
      <w:r>
        <w:rPr>
          <w:rFonts w:hint="eastAsia"/>
        </w:rPr>
        <w:t>土壤污染生态修复</w:t>
      </w:r>
    </w:p>
    <w:p w14:paraId="07712E83">
      <w: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1C120E97">
      <w:pPr>
        <w:pStyle w:val="4"/>
        <w:rPr>
          <w:rFonts w:hint="eastAsia"/>
        </w:rPr>
      </w:pPr>
      <w:r>
        <w:rPr>
          <w:rFonts w:hint="eastAsia"/>
        </w:rPr>
        <w:t>矿山生态修复</w:t>
      </w:r>
    </w:p>
    <w:p w14:paraId="7BC676C4">
      <w:r>
        <w:rPr>
          <w:rFonts w:hint="eastAsia"/>
          <w:lang w:bidi="ar"/>
        </w:rPr>
        <w:t>有序实施工矿废弃地复垦工程，积极推进矿山生态修复工程，结合各矿山立地条件等因素，按照自然恢复、辅助再生、生态重塑、转型利用等模式对已关闭和废弃遗留矿山进行分类修复。正在生产矿山，采取“边开采边治理，谁开采谁治理”的原则，要求采矿权人对其造成的矿山地质环境破坏及时治理。开展矿山采空区地面塌陷、水土环境污染和矿山固体废弃物占用损毁土地的矿山地质环境治理，促进矿山地质环境得到明显改善。</w:t>
      </w:r>
    </w:p>
    <w:p w14:paraId="07C73B16">
      <w:pPr>
        <w:pStyle w:val="4"/>
        <w:rPr>
          <w:rFonts w:hint="eastAsia"/>
        </w:rPr>
      </w:pPr>
      <w:r>
        <w:rPr>
          <w:rFonts w:hint="eastAsia"/>
        </w:rPr>
        <w:t>重大自然灾害生态修复</w:t>
      </w:r>
    </w:p>
    <w:p w14:paraId="01327477">
      <w:r>
        <w:rPr>
          <w:rFonts w:hint="eastAsia"/>
        </w:rPr>
        <w:t>对</w:t>
      </w:r>
      <w:r>
        <w:t>重大自然灾害损毁土地</w:t>
      </w:r>
      <w:r>
        <w:rPr>
          <w:rFonts w:hint="eastAsia"/>
        </w:rPr>
        <w:t>进行</w:t>
      </w:r>
      <w:r>
        <w:t>评价</w:t>
      </w:r>
      <w:r>
        <w:rPr>
          <w:rFonts w:hint="eastAsia"/>
        </w:rPr>
        <w:t>并</w:t>
      </w:r>
      <w:r>
        <w:t>分类，对可复垦利用的土地，</w:t>
      </w:r>
      <w:r>
        <w:rPr>
          <w:rFonts w:hint="eastAsia"/>
        </w:rPr>
        <w:t>实施</w:t>
      </w:r>
      <w:r>
        <w:t>复垦</w:t>
      </w:r>
      <w:r>
        <w:rPr>
          <w:rFonts w:hint="eastAsia"/>
        </w:rPr>
        <w:t>工程</w:t>
      </w:r>
      <w:r>
        <w:t>。加强耕地抗灾能力建设，减少耕地灾毁数量。</w:t>
      </w:r>
      <w:r>
        <w:rPr>
          <w:rFonts w:hint="eastAsia"/>
        </w:rPr>
        <w:t>采取工程措施对损毁土地内的田、水、路及受损的生态环境等进行整治和恢复，使损毁土地恢复生态功能。</w:t>
      </w:r>
    </w:p>
    <w:p w14:paraId="07AAB8EC">
      <w:pPr>
        <w:pStyle w:val="3"/>
        <w:numPr>
          <w:ilvl w:val="0"/>
          <w:numId w:val="34"/>
        </w:numPr>
        <w:ind w:left="420" w:hanging="420"/>
        <w:rPr>
          <w:rFonts w:hint="eastAsia"/>
          <w:color w:val="auto"/>
        </w:rPr>
      </w:pPr>
      <w:bookmarkStart w:id="191" w:name="_Toc24846"/>
      <w:bookmarkStart w:id="192" w:name="_Toc152937220"/>
      <w:bookmarkStart w:id="193" w:name="_Toc13849"/>
      <w:bookmarkStart w:id="194" w:name="_Toc27571"/>
      <w:r>
        <w:rPr>
          <w:rFonts w:hint="eastAsia"/>
          <w:color w:val="auto"/>
        </w:rPr>
        <w:t>国土综合整治</w:t>
      </w:r>
      <w:bookmarkEnd w:id="191"/>
      <w:bookmarkEnd w:id="192"/>
      <w:bookmarkEnd w:id="193"/>
      <w:bookmarkEnd w:id="194"/>
    </w:p>
    <w:p w14:paraId="3B84F859">
      <w:pPr>
        <w:pStyle w:val="4"/>
        <w:numPr>
          <w:ilvl w:val="0"/>
          <w:numId w:val="36"/>
        </w:numPr>
        <w:rPr>
          <w:rFonts w:hint="eastAsia"/>
        </w:rPr>
      </w:pPr>
      <w:r>
        <w:rPr>
          <w:rFonts w:hint="eastAsia"/>
        </w:rPr>
        <w:t>建设用地综合整治</w:t>
      </w:r>
    </w:p>
    <w:p w14:paraId="77383FAA">
      <w:pPr>
        <w:widowControl w:val="0"/>
        <w:rPr>
          <w:rFonts w:cs="仿宋_GB2312"/>
          <w:szCs w:val="32"/>
          <w:lang w:bidi="ar"/>
        </w:rPr>
      </w:pPr>
      <w:r>
        <w:rPr>
          <w:rFonts w:hint="eastAsia" w:cs="仿宋_GB2312"/>
          <w:szCs w:val="32"/>
          <w:lang w:bidi="ar"/>
        </w:rPr>
        <w:t>实施“严控总量、盘活存量、精准调控、提质增效”的建设用地优化策略。推进城镇更新治理进程，以旧居住用地、旧产业用地、旧村用地、其他用地等为重点对象，促进低效建设用地开发再利用。推动城镇分类整治、盘活低效及存量建设用地、违法建设综合治理，增加</w:t>
      </w:r>
      <w:del w:id="0" w:author="杨起" w:date="2026-03-24T15:46:57Z">
        <w:r>
          <w:rPr>
            <w:rFonts w:hint="eastAsia" w:cs="仿宋_GB2312"/>
            <w:szCs w:val="32"/>
            <w:lang w:bidi="ar"/>
          </w:rPr>
          <w:delText>流量</w:delText>
        </w:r>
      </w:del>
      <w:r>
        <w:rPr>
          <w:rFonts w:hint="eastAsia" w:cs="仿宋_GB2312"/>
          <w:szCs w:val="32"/>
          <w:lang w:bidi="ar"/>
        </w:rPr>
        <w:t>建设用地面积。提升土地节约集约利用率，提高建设用地地均产值。</w:t>
      </w:r>
    </w:p>
    <w:p w14:paraId="43EF504C">
      <w:pPr>
        <w:widowControl w:val="0"/>
        <w:rPr>
          <w:rFonts w:cs="仿宋_GB2312"/>
          <w:szCs w:val="32"/>
          <w:lang w:bidi="ar"/>
        </w:rPr>
      </w:pPr>
      <w:r>
        <w:rPr>
          <w:rFonts w:hint="eastAsia" w:cs="仿宋_GB2312"/>
          <w:szCs w:val="32"/>
          <w:lang w:bidi="ar"/>
        </w:rPr>
        <w:t>积极推进低效建设用地利用，大力挖掘城镇用地潜力。推动集中成片开发，将边角地等难以独立开发的零星土地一并纳入整治范围。实施城镇更新，突出镇中心区的更新治理，优化提升镇中心区功能，完善各项基础设施建设，实现土地集约利用水平明显提高。</w:t>
      </w:r>
    </w:p>
    <w:p w14:paraId="4EE8510B">
      <w:pPr>
        <w:widowControl w:val="0"/>
        <w:rPr>
          <w:rFonts w:cs="仿宋_GB2312"/>
          <w:szCs w:val="32"/>
          <w:lang w:bidi="ar"/>
        </w:rPr>
      </w:pPr>
      <w:r>
        <w:rPr>
          <w:rFonts w:hint="eastAsia" w:cs="仿宋_GB2312"/>
          <w:szCs w:val="32"/>
          <w:lang w:bidi="ar"/>
        </w:rPr>
        <w:t>积极盘活存量建设用地。统筹推进存量建设用地盘活利用，挖掘地下空间利用潜力，充分发挥土地交易平台作用，实现存量建设用地高效利用。鼓励原土地使用权人通过自主、联合等方式盘活利用，进一步提高节约集约用地水平，为经济社会高质量发展提供有效用地保障。探索农村集体建设用地流转，盘活农村闲置建设用地，促进农村建设用地集中布置。</w:t>
      </w:r>
    </w:p>
    <w:p w14:paraId="417A003E">
      <w:pPr>
        <w:widowControl w:val="0"/>
        <w:rPr>
          <w:rFonts w:cs="仿宋_GB2312"/>
          <w:szCs w:val="32"/>
          <w:lang w:bidi="ar"/>
        </w:rPr>
      </w:pPr>
      <w:r>
        <w:rPr>
          <w:rFonts w:hint="eastAsia" w:cs="仿宋_GB2312"/>
          <w:szCs w:val="32"/>
          <w:lang w:bidi="ar"/>
        </w:rPr>
        <w:t>积极增加</w:t>
      </w:r>
      <w:del w:id="1" w:author="杨起" w:date="2026-03-24T15:47:01Z">
        <w:r>
          <w:rPr>
            <w:rFonts w:hint="eastAsia" w:cs="仿宋_GB2312"/>
            <w:szCs w:val="32"/>
            <w:lang w:bidi="ar"/>
          </w:rPr>
          <w:delText>流量</w:delText>
        </w:r>
      </w:del>
      <w:r>
        <w:rPr>
          <w:rFonts w:hint="eastAsia" w:cs="仿宋_GB2312"/>
          <w:szCs w:val="32"/>
          <w:lang w:bidi="ar"/>
        </w:rPr>
        <w:t>建设用地。以国土空间规划为引领统筹推进全域国土综合整治，逐步增加城乡建设用地增减挂钩、工矿废弃地复垦利用和城镇低效用地再开发等流量指标，保障建设用地供给。摸清低效建设用地和存量建设用地规模及位置，落实增减挂钩、增存挂钩制度，优化建设用地空间布局，促进国土资源集约、高效利用。</w:t>
      </w:r>
    </w:p>
    <w:p w14:paraId="00681DEC">
      <w:pPr>
        <w:rPr>
          <w:rFonts w:cs="仿宋_GB2312"/>
          <w:szCs w:val="32"/>
          <w:lang w:bidi="ar"/>
        </w:rPr>
      </w:pPr>
      <w:r>
        <w:rPr>
          <w:rFonts w:hint="eastAsia" w:cs="仿宋_GB2312"/>
          <w:szCs w:val="32"/>
          <w:lang w:bidi="ar"/>
        </w:rPr>
        <w:t>农村建设用地整理。充分尊重农民意愿，开展农村建设用地整理，推进城乡建设用地增减挂钩，优先保障农民安置、配套和完善村庄的道路交通、给水排水、电力电讯、污水及垃圾处理等基础</w:t>
      </w:r>
      <w:bookmarkStart w:id="269" w:name="_GoBack"/>
      <w:bookmarkEnd w:id="269"/>
      <w:r>
        <w:rPr>
          <w:rFonts w:hint="eastAsia" w:cs="仿宋_GB2312"/>
          <w:szCs w:val="32"/>
          <w:lang w:bidi="ar"/>
        </w:rPr>
        <w:t>设施和教育、医疗卫生、文化等公共服务设施，保障人居环境建设。腾出的建设用地指标优先用于支持农村一二三产业融合发展和乡村振兴，并因地制宜，适度增加耕地面积。规划期间在沙尖子镇域范围重点挖潜村庄内部低效、闲置建设用地，提高建设用地节约集约利用程度，提升农村建设用地质量。</w:t>
      </w:r>
    </w:p>
    <w:p w14:paraId="3550A094">
      <w:pPr>
        <w:pStyle w:val="4"/>
        <w:rPr>
          <w:rFonts w:hint="eastAsia"/>
        </w:rPr>
      </w:pPr>
      <w:r>
        <w:rPr>
          <w:rFonts w:hint="eastAsia"/>
        </w:rPr>
        <w:t>用地综合整治</w:t>
      </w:r>
    </w:p>
    <w:p w14:paraId="712D304C">
      <w:pPr>
        <w:rPr>
          <w:rFonts w:cs="仿宋_GB2312"/>
          <w:szCs w:val="32"/>
          <w:lang w:bidi="ar"/>
        </w:rPr>
      </w:pPr>
      <w:r>
        <w:rPr>
          <w:rFonts w:hint="eastAsia" w:cs="仿宋_GB2312"/>
          <w:szCs w:val="32"/>
          <w:lang w:bidi="ar"/>
        </w:rPr>
        <w:t>统筹推进沙尖子镇全域全要素的国土综合整治及生态系统保护和修复工作，布置农用地整理、农村建设用地整理、宜耕后备资源开发、农村生态环境修复等重点建设工程，整体推进乡村地区耕地质量提升、建设用地集约利用、山水林田湖草沙系统保护修复工作实施。</w:t>
      </w:r>
    </w:p>
    <w:p w14:paraId="6DA2B65D">
      <w:pPr>
        <w:rPr>
          <w:rFonts w:cs="仿宋_GB2312"/>
          <w:szCs w:val="32"/>
          <w:lang w:bidi="ar"/>
        </w:rPr>
      </w:pPr>
      <w:r>
        <w:rPr>
          <w:rFonts w:hint="eastAsia" w:cs="仿宋_GB2312"/>
          <w:szCs w:val="32"/>
          <w:lang w:bidi="ar"/>
        </w:rPr>
        <w:t>农用地整理。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规划农用地整理项目包括高标准农田建设工程和旱改水工程等。大力实施高标准农田建设工程。规划至2035年，全域永久基本农田全部建成高标准农田。</w:t>
      </w:r>
    </w:p>
    <w:p w14:paraId="163AF736">
      <w:pPr>
        <w:rPr>
          <w:rFonts w:cs="仿宋_GB2312"/>
          <w:szCs w:val="32"/>
          <w:lang w:bidi="ar"/>
        </w:rPr>
      </w:pPr>
      <w:r>
        <w:rPr>
          <w:rFonts w:hint="eastAsia" w:cs="仿宋_GB2312"/>
          <w:szCs w:val="32"/>
          <w:lang w:bidi="ar"/>
        </w:rPr>
        <w:t>宜耕后备资源开发。在保护生态环境的前提下，依据土地适宜性条件，有序推进沙尖子镇宜耕后备资源开发，通过工程措施，将项目区开垦成为高产田、稳产田，以增加有效耕地面积，提升粮食产量，保障粮食安全，控制土壤退化，涵养水源、防止水土流失，促进生态环境的可持续发展。本次规划布置宜耕后备资源开发工程，工程实施后，确保耕地面积有增加、质量有保障。</w:t>
      </w:r>
    </w:p>
    <w:p w14:paraId="6F2A9BF8">
      <w:pPr>
        <w:rPr>
          <w:rFonts w:cs="仿宋_GB2312"/>
          <w:szCs w:val="32"/>
          <w:lang w:bidi="ar"/>
        </w:rPr>
      </w:pPr>
      <w:r>
        <w:rPr>
          <w:rFonts w:hint="eastAsia" w:cs="仿宋_GB2312"/>
          <w:szCs w:val="32"/>
          <w:lang w:bidi="ar"/>
        </w:rPr>
        <w:t>农村生态环境修复。尊重和保护村域内原有的地形地貌，全面推进农村环境整治，加大农村面源污染整治力度。完善交通设施两侧生态廊道，实施道路绿化工程、中小河流治理工程，推进安全饮水工程，优化农村水系、林网、绿道等生态空间，促进人与自然和谐共生。规划到2035年，沙尖子镇各村屯均实施农村生态环境修复工程。</w:t>
      </w:r>
    </w:p>
    <w:bookmarkEnd w:id="146"/>
    <w:bookmarkEnd w:id="147"/>
    <w:p w14:paraId="50AE72A0">
      <w:pPr>
        <w:pStyle w:val="2"/>
        <w:spacing w:after="360"/>
        <w:rPr>
          <w:rFonts w:hint="eastAsia"/>
        </w:rPr>
      </w:pPr>
      <w:bookmarkStart w:id="195" w:name="_Toc32428"/>
      <w:bookmarkStart w:id="196" w:name="_Toc10506"/>
      <w:bookmarkStart w:id="197" w:name="_Toc12324"/>
      <w:r>
        <w:rPr>
          <w:rFonts w:hint="eastAsia"/>
        </w:rPr>
        <w:t>第九章 镇中心区功能布局与规划管控</w:t>
      </w:r>
      <w:bookmarkEnd w:id="148"/>
      <w:bookmarkEnd w:id="195"/>
      <w:bookmarkEnd w:id="196"/>
      <w:bookmarkEnd w:id="197"/>
    </w:p>
    <w:p w14:paraId="4F7055F1">
      <w:pPr>
        <w:pStyle w:val="3"/>
        <w:numPr>
          <w:ilvl w:val="0"/>
          <w:numId w:val="37"/>
        </w:numPr>
        <w:rPr>
          <w:rFonts w:hint="eastAsia"/>
          <w:color w:val="auto"/>
        </w:rPr>
      </w:pPr>
      <w:bookmarkStart w:id="198" w:name="_Toc9426"/>
      <w:bookmarkStart w:id="199" w:name="_Toc2452"/>
      <w:bookmarkStart w:id="200" w:name="_Toc152937209"/>
      <w:bookmarkStart w:id="201" w:name="_Toc26770"/>
      <w:r>
        <w:rPr>
          <w:rFonts w:hint="eastAsia"/>
          <w:color w:val="auto"/>
        </w:rPr>
        <w:t>用地结构和布局</w:t>
      </w:r>
      <w:bookmarkEnd w:id="198"/>
      <w:bookmarkEnd w:id="199"/>
      <w:bookmarkEnd w:id="200"/>
      <w:bookmarkEnd w:id="201"/>
    </w:p>
    <w:p w14:paraId="239DD505">
      <w:pPr>
        <w:pStyle w:val="4"/>
        <w:numPr>
          <w:ilvl w:val="0"/>
          <w:numId w:val="38"/>
        </w:numPr>
        <w:rPr>
          <w:rFonts w:hint="eastAsia"/>
        </w:rPr>
      </w:pPr>
      <w:r>
        <w:rPr>
          <w:rFonts w:hint="eastAsia"/>
        </w:rPr>
        <w:t>发展方向</w:t>
      </w:r>
    </w:p>
    <w:p w14:paraId="7901EBD1">
      <w:r>
        <w:rPr>
          <w:rFonts w:hint="eastAsia"/>
        </w:rPr>
        <w:t>从沙尖子镇社会经济发展的实际需要出发，充分把握节约土地的原则，有序引导沙尖子镇中心区空间发展，镇中心区沿木通线两侧南北向发展，以镇中心区中部为城镇发展的主体，逐步形成集行政、商贸、居住、文化于一体的综合发展核心。</w:t>
      </w:r>
      <w:bookmarkStart w:id="202" w:name="_Toc381764"/>
    </w:p>
    <w:p w14:paraId="59C0AA4F">
      <w:pPr>
        <w:pStyle w:val="4"/>
        <w:rPr>
          <w:rFonts w:hint="eastAsia"/>
        </w:rPr>
      </w:pPr>
      <w:r>
        <w:rPr>
          <w:rFonts w:hint="eastAsia"/>
        </w:rPr>
        <w:t>空间格局</w:t>
      </w:r>
      <w:bookmarkEnd w:id="202"/>
    </w:p>
    <w:p w14:paraId="4F527C6E">
      <w:bookmarkStart w:id="203" w:name="OLE_LINK36"/>
      <w:r>
        <w:rPr>
          <w:rFonts w:hint="eastAsia"/>
        </w:rPr>
        <w:t>沙尖子镇中心区道路网为空间布局结构的基本骨架。以此骨架为依托，形成</w:t>
      </w:r>
      <w:bookmarkStart w:id="204" w:name="OLE_LINK1"/>
      <w:r>
        <w:rPr>
          <w:rFonts w:hint="eastAsia"/>
        </w:rPr>
        <w:t>“一心、一轴、多片区”</w:t>
      </w:r>
      <w:bookmarkEnd w:id="204"/>
      <w:r>
        <w:rPr>
          <w:rFonts w:hint="eastAsia"/>
        </w:rPr>
        <w:t>的空间布局结构。</w:t>
      </w:r>
    </w:p>
    <w:p w14:paraId="2A7C58BC">
      <w:r>
        <w:rPr>
          <w:rFonts w:hint="eastAsia"/>
        </w:rPr>
        <w:t>“一心”指政府及周边商业设施形成的综合服务中心。</w:t>
      </w:r>
    </w:p>
    <w:p w14:paraId="7F64F6CA">
      <w:r>
        <w:rPr>
          <w:rFonts w:hint="eastAsia"/>
        </w:rPr>
        <w:t>“一轴”指以木通线形成的主要发展轴线。</w:t>
      </w:r>
    </w:p>
    <w:p w14:paraId="5F5CA30F">
      <w:r>
        <w:rPr>
          <w:rFonts w:hint="eastAsia"/>
        </w:rPr>
        <w:t>“多片区”分别指镇中心区中部的综合服务区、南北两个居民生活区、东西两个产业发展区。</w:t>
      </w:r>
    </w:p>
    <w:bookmarkEnd w:id="203"/>
    <w:p w14:paraId="7FE86411">
      <w:pPr>
        <w:pStyle w:val="4"/>
        <w:rPr>
          <w:rFonts w:hint="eastAsia"/>
        </w:rPr>
      </w:pPr>
      <w:r>
        <w:rPr>
          <w:rFonts w:hint="eastAsia"/>
        </w:rPr>
        <w:t>用地结构布局</w:t>
      </w:r>
    </w:p>
    <w:p w14:paraId="1153D66A">
      <w:r>
        <w:rPr>
          <w:rFonts w:hint="eastAsia"/>
        </w:rPr>
        <w:t>沙尖子镇中心区规划建设用地</w:t>
      </w:r>
      <w:bookmarkStart w:id="205" w:name="OLE_LINK35"/>
      <w:r>
        <w:rPr>
          <w:u w:val="none"/>
        </w:rPr>
        <w:t>29.87</w:t>
      </w:r>
      <w:bookmarkEnd w:id="205"/>
      <w:r>
        <w:rPr>
          <w:rFonts w:hint="eastAsia"/>
        </w:rPr>
        <w:t>公顷，以居住用地、公共管理与公共服务用地、商业服务业用地、工矿用地、仓储用地为主。未来用地结构优化方向要进一步促进产城融合，合理确定各类建设用地的比例。</w:t>
      </w:r>
    </w:p>
    <w:p w14:paraId="58556C42">
      <w:pPr>
        <w:rPr>
          <w:rFonts w:hint="eastAsia"/>
        </w:rPr>
      </w:pPr>
      <w:r>
        <w:rPr>
          <w:rFonts w:hint="eastAsia"/>
        </w:rPr>
        <w:t>科学调控居住用地规模，增加商业用地、公共管理与公共服务用地规模，集聚综合服务、商贸服务等功能。保障市政道路和公用设施等用地需求，完善城镇路网结构，提升空间组织效能。重点保障供水、排水、供电、供热、环卫、消防等设施用地，提高基础设施建设水平。提升公园绿地和开敞空间用地比重，提高城镇环境品质。</w:t>
      </w:r>
    </w:p>
    <w:p w14:paraId="4D23F2C3">
      <w:pPr>
        <w:rPr>
          <w:rFonts w:hint="eastAsia"/>
        </w:rPr>
      </w:pPr>
    </w:p>
    <w:tbl>
      <w:tblPr>
        <w:tblStyle w:val="2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76"/>
        <w:gridCol w:w="1134"/>
        <w:gridCol w:w="1134"/>
        <w:gridCol w:w="1134"/>
        <w:gridCol w:w="1134"/>
      </w:tblGrid>
      <w:tr w14:paraId="7794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restart"/>
            <w:vAlign w:val="center"/>
          </w:tcPr>
          <w:p w14:paraId="75B4E56D">
            <w:pPr>
              <w:widowControl w:val="0"/>
              <w:tabs>
                <w:tab w:val="left" w:pos="360"/>
              </w:tabs>
              <w:adjustRightInd/>
              <w:spacing w:line="240" w:lineRule="auto"/>
              <w:ind w:firstLine="0" w:firstLineChars="0"/>
              <w:jc w:val="center"/>
              <w:textAlignment w:val="baseline"/>
              <w:rPr>
                <w:kern w:val="21"/>
                <w:sz w:val="20"/>
                <w:szCs w:val="21"/>
              </w:rPr>
            </w:pPr>
            <w:r>
              <w:rPr>
                <w:kern w:val="21"/>
                <w:sz w:val="20"/>
                <w:szCs w:val="21"/>
              </w:rPr>
              <w:t>序号</w:t>
            </w:r>
          </w:p>
        </w:tc>
        <w:tc>
          <w:tcPr>
            <w:tcW w:w="2976" w:type="dxa"/>
            <w:vMerge w:val="restart"/>
            <w:vAlign w:val="center"/>
          </w:tcPr>
          <w:p w14:paraId="294D688D">
            <w:pPr>
              <w:tabs>
                <w:tab w:val="left" w:pos="360"/>
              </w:tabs>
              <w:adjustRightInd/>
              <w:spacing w:line="240" w:lineRule="auto"/>
              <w:ind w:firstLine="0" w:firstLineChars="0"/>
              <w:jc w:val="center"/>
              <w:textAlignment w:val="baseline"/>
              <w:rPr>
                <w:kern w:val="21"/>
                <w:sz w:val="20"/>
                <w:szCs w:val="21"/>
              </w:rPr>
            </w:pPr>
            <w:r>
              <w:rPr>
                <w:kern w:val="21"/>
                <w:sz w:val="20"/>
                <w:szCs w:val="21"/>
              </w:rPr>
              <w:t>用地类型</w:t>
            </w:r>
          </w:p>
        </w:tc>
        <w:tc>
          <w:tcPr>
            <w:tcW w:w="2268" w:type="dxa"/>
            <w:gridSpan w:val="2"/>
          </w:tcPr>
          <w:p w14:paraId="4C15B5EA">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规划基期年（2</w:t>
            </w:r>
            <w:r>
              <w:rPr>
                <w:kern w:val="21"/>
                <w:sz w:val="20"/>
                <w:szCs w:val="21"/>
              </w:rPr>
              <w:t>020</w:t>
            </w:r>
            <w:r>
              <w:rPr>
                <w:rFonts w:hint="eastAsia"/>
                <w:kern w:val="21"/>
                <w:sz w:val="20"/>
                <w:szCs w:val="21"/>
              </w:rPr>
              <w:t>年）</w:t>
            </w:r>
          </w:p>
        </w:tc>
        <w:tc>
          <w:tcPr>
            <w:tcW w:w="2268" w:type="dxa"/>
            <w:gridSpan w:val="2"/>
          </w:tcPr>
          <w:p w14:paraId="044EFC47">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规划目标年（2</w:t>
            </w:r>
            <w:r>
              <w:rPr>
                <w:kern w:val="21"/>
                <w:sz w:val="20"/>
                <w:szCs w:val="21"/>
              </w:rPr>
              <w:t>035</w:t>
            </w:r>
            <w:r>
              <w:rPr>
                <w:rFonts w:hint="eastAsia"/>
                <w:kern w:val="21"/>
                <w:sz w:val="20"/>
                <w:szCs w:val="21"/>
              </w:rPr>
              <w:t>年）</w:t>
            </w:r>
          </w:p>
        </w:tc>
      </w:tr>
      <w:tr w14:paraId="5A63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Merge w:val="continue"/>
          </w:tcPr>
          <w:p w14:paraId="6A0BB39F">
            <w:pPr>
              <w:widowControl w:val="0"/>
              <w:tabs>
                <w:tab w:val="left" w:pos="360"/>
              </w:tabs>
              <w:adjustRightInd/>
              <w:spacing w:line="240" w:lineRule="auto"/>
              <w:ind w:firstLine="0" w:firstLineChars="0"/>
              <w:jc w:val="center"/>
              <w:textAlignment w:val="baseline"/>
              <w:rPr>
                <w:kern w:val="21"/>
                <w:sz w:val="20"/>
                <w:szCs w:val="21"/>
              </w:rPr>
            </w:pPr>
          </w:p>
        </w:tc>
        <w:tc>
          <w:tcPr>
            <w:tcW w:w="2976" w:type="dxa"/>
            <w:vMerge w:val="continue"/>
          </w:tcPr>
          <w:p w14:paraId="24D9C20F">
            <w:pPr>
              <w:tabs>
                <w:tab w:val="left" w:pos="360"/>
              </w:tabs>
              <w:adjustRightInd/>
              <w:spacing w:line="240" w:lineRule="auto"/>
              <w:ind w:firstLine="0" w:firstLineChars="0"/>
              <w:jc w:val="center"/>
              <w:textAlignment w:val="baseline"/>
              <w:rPr>
                <w:kern w:val="21"/>
                <w:sz w:val="20"/>
                <w:szCs w:val="21"/>
              </w:rPr>
            </w:pPr>
          </w:p>
        </w:tc>
        <w:tc>
          <w:tcPr>
            <w:tcW w:w="1134" w:type="dxa"/>
          </w:tcPr>
          <w:p w14:paraId="567FB21D">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面积</w:t>
            </w:r>
          </w:p>
        </w:tc>
        <w:tc>
          <w:tcPr>
            <w:tcW w:w="1134" w:type="dxa"/>
          </w:tcPr>
          <w:p w14:paraId="7F94EDBA">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比例</w:t>
            </w:r>
          </w:p>
        </w:tc>
        <w:tc>
          <w:tcPr>
            <w:tcW w:w="1134" w:type="dxa"/>
          </w:tcPr>
          <w:p w14:paraId="23FBC37D">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面积</w:t>
            </w:r>
          </w:p>
        </w:tc>
        <w:tc>
          <w:tcPr>
            <w:tcW w:w="1134" w:type="dxa"/>
          </w:tcPr>
          <w:p w14:paraId="230F37AB">
            <w:pPr>
              <w:tabs>
                <w:tab w:val="left" w:pos="360"/>
              </w:tabs>
              <w:adjustRightInd/>
              <w:spacing w:line="240" w:lineRule="auto"/>
              <w:ind w:firstLine="0" w:firstLineChars="0"/>
              <w:jc w:val="center"/>
              <w:textAlignment w:val="baseline"/>
              <w:rPr>
                <w:kern w:val="21"/>
                <w:sz w:val="20"/>
                <w:szCs w:val="21"/>
              </w:rPr>
            </w:pPr>
            <w:r>
              <w:rPr>
                <w:rFonts w:hint="eastAsia"/>
                <w:kern w:val="21"/>
                <w:sz w:val="20"/>
                <w:szCs w:val="21"/>
              </w:rPr>
              <w:t>比例</w:t>
            </w:r>
          </w:p>
        </w:tc>
      </w:tr>
      <w:tr w14:paraId="6E3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65DD44E5">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2976" w:type="dxa"/>
            <w:vAlign w:val="center"/>
          </w:tcPr>
          <w:p w14:paraId="0C38B3E3">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居住用地</w:t>
            </w:r>
          </w:p>
        </w:tc>
        <w:tc>
          <w:tcPr>
            <w:tcW w:w="1134" w:type="dxa"/>
            <w:vAlign w:val="center"/>
          </w:tcPr>
          <w:p w14:paraId="28A90BD7">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14.06</w:t>
            </w:r>
          </w:p>
        </w:tc>
        <w:tc>
          <w:tcPr>
            <w:tcW w:w="1134" w:type="dxa"/>
            <w:vAlign w:val="center"/>
          </w:tcPr>
          <w:p w14:paraId="564AEC4C">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55.90%</w:t>
            </w:r>
          </w:p>
        </w:tc>
        <w:tc>
          <w:tcPr>
            <w:tcW w:w="1134" w:type="dxa"/>
            <w:vAlign w:val="bottom"/>
          </w:tcPr>
          <w:p w14:paraId="1D6A64C1">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11.6</w:t>
            </w:r>
            <w:r>
              <w:rPr>
                <w:rFonts w:hint="eastAsia" w:ascii="仿宋" w:hAnsi="仿宋" w:eastAsia="仿宋" w:cs="仿宋"/>
                <w:kern w:val="0"/>
                <w:sz w:val="21"/>
                <w:szCs w:val="21"/>
                <w:lang w:bidi="ar"/>
              </w:rPr>
              <w:t>0</w:t>
            </w:r>
            <w:r>
              <w:rPr>
                <w:rFonts w:ascii="仿宋" w:hAnsi="仿宋" w:eastAsia="仿宋" w:cs="仿宋"/>
                <w:color w:val="auto"/>
                <w:kern w:val="0"/>
                <w:sz w:val="21"/>
                <w:szCs w:val="21"/>
                <w:lang w:bidi="ar"/>
              </w:rPr>
              <w:t xml:space="preserve"> </w:t>
            </w:r>
          </w:p>
        </w:tc>
        <w:tc>
          <w:tcPr>
            <w:tcW w:w="1134" w:type="dxa"/>
            <w:vAlign w:val="bottom"/>
          </w:tcPr>
          <w:p w14:paraId="7AE1E811">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38.86%</w:t>
            </w:r>
          </w:p>
        </w:tc>
      </w:tr>
      <w:tr w14:paraId="3B4A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5A6C99D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2976" w:type="dxa"/>
            <w:vAlign w:val="center"/>
          </w:tcPr>
          <w:p w14:paraId="4B807B53">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公共管理与公共服务用地</w:t>
            </w:r>
          </w:p>
        </w:tc>
        <w:tc>
          <w:tcPr>
            <w:tcW w:w="1134" w:type="dxa"/>
            <w:vAlign w:val="center"/>
          </w:tcPr>
          <w:p w14:paraId="4BF588D0">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6.86</w:t>
            </w:r>
          </w:p>
        </w:tc>
        <w:tc>
          <w:tcPr>
            <w:tcW w:w="1134" w:type="dxa"/>
            <w:vAlign w:val="center"/>
          </w:tcPr>
          <w:p w14:paraId="4540E719">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27.28%</w:t>
            </w:r>
          </w:p>
        </w:tc>
        <w:tc>
          <w:tcPr>
            <w:tcW w:w="1134" w:type="dxa"/>
            <w:vAlign w:val="bottom"/>
          </w:tcPr>
          <w:p w14:paraId="239EE19A">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4.83 </w:t>
            </w:r>
          </w:p>
        </w:tc>
        <w:tc>
          <w:tcPr>
            <w:tcW w:w="1134" w:type="dxa"/>
            <w:vAlign w:val="bottom"/>
          </w:tcPr>
          <w:p w14:paraId="16FDF319">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16.17%</w:t>
            </w:r>
          </w:p>
        </w:tc>
      </w:tr>
      <w:tr w14:paraId="4608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B645CB0">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2976" w:type="dxa"/>
            <w:vAlign w:val="center"/>
          </w:tcPr>
          <w:p w14:paraId="725631A8">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商业服务业用地</w:t>
            </w:r>
          </w:p>
        </w:tc>
        <w:tc>
          <w:tcPr>
            <w:tcW w:w="1134" w:type="dxa"/>
            <w:vAlign w:val="center"/>
          </w:tcPr>
          <w:p w14:paraId="72D5DA37">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0.04</w:t>
            </w:r>
          </w:p>
        </w:tc>
        <w:tc>
          <w:tcPr>
            <w:tcW w:w="1134" w:type="dxa"/>
            <w:vAlign w:val="center"/>
          </w:tcPr>
          <w:p w14:paraId="116D8E44">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0.16%</w:t>
            </w:r>
          </w:p>
        </w:tc>
        <w:tc>
          <w:tcPr>
            <w:tcW w:w="1134" w:type="dxa"/>
            <w:vAlign w:val="bottom"/>
          </w:tcPr>
          <w:p w14:paraId="723E4917">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1.10 </w:t>
            </w:r>
          </w:p>
        </w:tc>
        <w:tc>
          <w:tcPr>
            <w:tcW w:w="1134" w:type="dxa"/>
            <w:vAlign w:val="bottom"/>
          </w:tcPr>
          <w:p w14:paraId="69664328">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3.68%</w:t>
            </w:r>
          </w:p>
        </w:tc>
      </w:tr>
      <w:tr w14:paraId="438E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7BDED06">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2976" w:type="dxa"/>
            <w:vAlign w:val="center"/>
          </w:tcPr>
          <w:p w14:paraId="274162CF">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工矿用地</w:t>
            </w:r>
          </w:p>
        </w:tc>
        <w:tc>
          <w:tcPr>
            <w:tcW w:w="1134" w:type="dxa"/>
            <w:vAlign w:val="center"/>
          </w:tcPr>
          <w:p w14:paraId="5FFD2008">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1.45</w:t>
            </w:r>
          </w:p>
        </w:tc>
        <w:tc>
          <w:tcPr>
            <w:tcW w:w="1134" w:type="dxa"/>
            <w:vAlign w:val="center"/>
          </w:tcPr>
          <w:p w14:paraId="5554CD57">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5.77%</w:t>
            </w:r>
          </w:p>
        </w:tc>
        <w:tc>
          <w:tcPr>
            <w:tcW w:w="1134" w:type="dxa"/>
            <w:vAlign w:val="bottom"/>
          </w:tcPr>
          <w:p w14:paraId="49BF9961">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7.60 </w:t>
            </w:r>
          </w:p>
        </w:tc>
        <w:tc>
          <w:tcPr>
            <w:tcW w:w="1134" w:type="dxa"/>
            <w:vAlign w:val="bottom"/>
          </w:tcPr>
          <w:p w14:paraId="6AA79757">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25.46%</w:t>
            </w:r>
          </w:p>
        </w:tc>
      </w:tr>
      <w:tr w14:paraId="089D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028BBEA1">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976" w:type="dxa"/>
            <w:vAlign w:val="center"/>
          </w:tcPr>
          <w:p w14:paraId="2DD050C4">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仓储用地</w:t>
            </w:r>
          </w:p>
        </w:tc>
        <w:tc>
          <w:tcPr>
            <w:tcW w:w="1134" w:type="dxa"/>
            <w:vAlign w:val="center"/>
          </w:tcPr>
          <w:p w14:paraId="070665EC">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w:t>
            </w:r>
          </w:p>
        </w:tc>
        <w:tc>
          <w:tcPr>
            <w:tcW w:w="1134" w:type="dxa"/>
            <w:vAlign w:val="center"/>
          </w:tcPr>
          <w:p w14:paraId="16383D64">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0.00%</w:t>
            </w:r>
          </w:p>
        </w:tc>
        <w:tc>
          <w:tcPr>
            <w:tcW w:w="1134" w:type="dxa"/>
            <w:vAlign w:val="bottom"/>
          </w:tcPr>
          <w:p w14:paraId="1C251F03">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0.69 </w:t>
            </w:r>
          </w:p>
        </w:tc>
        <w:tc>
          <w:tcPr>
            <w:tcW w:w="1134" w:type="dxa"/>
            <w:vAlign w:val="bottom"/>
          </w:tcPr>
          <w:p w14:paraId="5AD8D543">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2.30%</w:t>
            </w:r>
          </w:p>
        </w:tc>
      </w:tr>
      <w:tr w14:paraId="4FFE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35F601FF">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976" w:type="dxa"/>
            <w:vAlign w:val="center"/>
          </w:tcPr>
          <w:p w14:paraId="23E33DA9">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交通运输用地</w:t>
            </w:r>
          </w:p>
        </w:tc>
        <w:tc>
          <w:tcPr>
            <w:tcW w:w="1134" w:type="dxa"/>
            <w:vAlign w:val="center"/>
          </w:tcPr>
          <w:p w14:paraId="20307914">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2.66</w:t>
            </w:r>
          </w:p>
        </w:tc>
        <w:tc>
          <w:tcPr>
            <w:tcW w:w="1134" w:type="dxa"/>
            <w:vAlign w:val="center"/>
          </w:tcPr>
          <w:p w14:paraId="782A7C48">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10.58%</w:t>
            </w:r>
          </w:p>
        </w:tc>
        <w:tc>
          <w:tcPr>
            <w:tcW w:w="1134" w:type="dxa"/>
            <w:vAlign w:val="bottom"/>
          </w:tcPr>
          <w:p w14:paraId="032A7C74">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3.42 </w:t>
            </w:r>
          </w:p>
        </w:tc>
        <w:tc>
          <w:tcPr>
            <w:tcW w:w="1134" w:type="dxa"/>
            <w:vAlign w:val="bottom"/>
          </w:tcPr>
          <w:p w14:paraId="76640CF6">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11.4</w:t>
            </w:r>
            <w:r>
              <w:rPr>
                <w:rFonts w:hint="eastAsia" w:ascii="仿宋" w:hAnsi="仿宋" w:eastAsia="仿宋" w:cs="仿宋"/>
                <w:kern w:val="0"/>
                <w:sz w:val="21"/>
                <w:szCs w:val="21"/>
                <w:lang w:bidi="ar"/>
              </w:rPr>
              <w:t>3</w:t>
            </w:r>
            <w:r>
              <w:rPr>
                <w:rFonts w:ascii="仿宋" w:hAnsi="仿宋" w:eastAsia="仿宋" w:cs="仿宋"/>
                <w:color w:val="auto"/>
                <w:kern w:val="0"/>
                <w:sz w:val="21"/>
                <w:szCs w:val="21"/>
                <w:lang w:bidi="ar"/>
              </w:rPr>
              <w:t>%</w:t>
            </w:r>
          </w:p>
        </w:tc>
      </w:tr>
      <w:tr w14:paraId="030E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7E7C8AA0">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2976" w:type="dxa"/>
            <w:vAlign w:val="center"/>
          </w:tcPr>
          <w:p w14:paraId="1725722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公用设施用地</w:t>
            </w:r>
          </w:p>
        </w:tc>
        <w:tc>
          <w:tcPr>
            <w:tcW w:w="1134" w:type="dxa"/>
            <w:vAlign w:val="center"/>
          </w:tcPr>
          <w:p w14:paraId="4221BC8A">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0.08</w:t>
            </w:r>
          </w:p>
        </w:tc>
        <w:tc>
          <w:tcPr>
            <w:tcW w:w="1134" w:type="dxa"/>
            <w:vAlign w:val="center"/>
          </w:tcPr>
          <w:p w14:paraId="1E4D30CC">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0.32%</w:t>
            </w:r>
          </w:p>
        </w:tc>
        <w:tc>
          <w:tcPr>
            <w:tcW w:w="1134" w:type="dxa"/>
            <w:vAlign w:val="bottom"/>
          </w:tcPr>
          <w:p w14:paraId="15C12DF8">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0.35 </w:t>
            </w:r>
          </w:p>
        </w:tc>
        <w:tc>
          <w:tcPr>
            <w:tcW w:w="1134" w:type="dxa"/>
            <w:vAlign w:val="bottom"/>
          </w:tcPr>
          <w:p w14:paraId="0144752F">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1.18%</w:t>
            </w:r>
          </w:p>
        </w:tc>
      </w:tr>
      <w:tr w14:paraId="2B64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88" w:type="dxa"/>
            <w:vAlign w:val="center"/>
          </w:tcPr>
          <w:p w14:paraId="25C93EA4">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2976" w:type="dxa"/>
            <w:vAlign w:val="center"/>
          </w:tcPr>
          <w:p w14:paraId="111C5DAD">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绿地与开敞空间用地</w:t>
            </w:r>
          </w:p>
        </w:tc>
        <w:tc>
          <w:tcPr>
            <w:tcW w:w="1134" w:type="dxa"/>
            <w:vAlign w:val="center"/>
          </w:tcPr>
          <w:p w14:paraId="6B86DA11">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w:t>
            </w:r>
          </w:p>
        </w:tc>
        <w:tc>
          <w:tcPr>
            <w:tcW w:w="1134" w:type="dxa"/>
            <w:vAlign w:val="center"/>
          </w:tcPr>
          <w:p w14:paraId="00CF0935">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0.00%</w:t>
            </w:r>
          </w:p>
        </w:tc>
        <w:tc>
          <w:tcPr>
            <w:tcW w:w="1134" w:type="dxa"/>
            <w:vAlign w:val="bottom"/>
          </w:tcPr>
          <w:p w14:paraId="4E0F0A1D">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 xml:space="preserve">0.28 </w:t>
            </w:r>
          </w:p>
        </w:tc>
        <w:tc>
          <w:tcPr>
            <w:tcW w:w="1134" w:type="dxa"/>
            <w:vAlign w:val="bottom"/>
          </w:tcPr>
          <w:p w14:paraId="1A6433B4">
            <w:pPr>
              <w:spacing w:line="240" w:lineRule="auto"/>
              <w:ind w:firstLine="0" w:firstLineChars="0"/>
              <w:jc w:val="center"/>
              <w:textAlignment w:val="center"/>
              <w:rPr>
                <w:rFonts w:ascii="仿宋" w:hAnsi="仿宋" w:eastAsia="仿宋" w:cs="仿宋"/>
                <w:kern w:val="0"/>
                <w:sz w:val="21"/>
                <w:szCs w:val="21"/>
                <w:lang w:bidi="ar"/>
              </w:rPr>
            </w:pPr>
            <w:r>
              <w:rPr>
                <w:rFonts w:ascii="仿宋" w:hAnsi="仿宋" w:eastAsia="仿宋" w:cs="仿宋"/>
                <w:color w:val="auto"/>
                <w:kern w:val="0"/>
                <w:sz w:val="21"/>
                <w:szCs w:val="21"/>
                <w:lang w:bidi="ar"/>
              </w:rPr>
              <w:t>0.9</w:t>
            </w:r>
            <w:r>
              <w:rPr>
                <w:rFonts w:hint="eastAsia" w:ascii="仿宋" w:hAnsi="仿宋" w:eastAsia="仿宋" w:cs="仿宋"/>
                <w:kern w:val="0"/>
                <w:sz w:val="21"/>
                <w:szCs w:val="21"/>
                <w:lang w:bidi="ar"/>
              </w:rPr>
              <w:t>2</w:t>
            </w:r>
            <w:r>
              <w:rPr>
                <w:rFonts w:ascii="仿宋" w:hAnsi="仿宋" w:eastAsia="仿宋" w:cs="仿宋"/>
                <w:color w:val="auto"/>
                <w:kern w:val="0"/>
                <w:sz w:val="21"/>
                <w:szCs w:val="21"/>
                <w:lang w:bidi="ar"/>
              </w:rPr>
              <w:t>%</w:t>
            </w:r>
          </w:p>
        </w:tc>
      </w:tr>
      <w:tr w14:paraId="5AC6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4" w:type="dxa"/>
            <w:gridSpan w:val="2"/>
          </w:tcPr>
          <w:p w14:paraId="1FBE59AC">
            <w:pPr>
              <w:widowControl w:val="0"/>
              <w:adjustRightInd/>
              <w:spacing w:line="240" w:lineRule="auto"/>
              <w:ind w:firstLine="0" w:firstLineChars="0"/>
              <w:jc w:val="center"/>
              <w:rPr>
                <w:rFonts w:ascii="仿宋" w:eastAsia="仿宋"/>
                <w:sz w:val="21"/>
                <w:szCs w:val="21"/>
              </w:rPr>
            </w:pPr>
            <w:r>
              <w:rPr>
                <w:rFonts w:hint="eastAsia" w:ascii="仿宋" w:eastAsia="仿宋"/>
                <w:sz w:val="21"/>
                <w:szCs w:val="21"/>
              </w:rPr>
              <w:t>合计</w:t>
            </w:r>
          </w:p>
        </w:tc>
        <w:tc>
          <w:tcPr>
            <w:tcW w:w="1134" w:type="dxa"/>
          </w:tcPr>
          <w:p w14:paraId="2CE254BE">
            <w:pPr>
              <w:spacing w:line="240" w:lineRule="auto"/>
              <w:ind w:firstLine="0" w:firstLineChars="0"/>
              <w:jc w:val="center"/>
              <w:textAlignment w:val="top"/>
              <w:rPr>
                <w:rFonts w:hint="eastAsia" w:ascii="仿宋" w:hAnsi="仿宋" w:eastAsia="仿宋"/>
                <w:kern w:val="0"/>
                <w:sz w:val="21"/>
                <w:szCs w:val="21"/>
              </w:rPr>
            </w:pPr>
            <w:r>
              <w:rPr>
                <w:rFonts w:hint="eastAsia" w:ascii="仿宋" w:hAnsi="仿宋" w:eastAsia="仿宋" w:cs="仿宋"/>
                <w:kern w:val="0"/>
                <w:sz w:val="21"/>
                <w:szCs w:val="21"/>
                <w:lang w:bidi="ar"/>
              </w:rPr>
              <w:t>25.15</w:t>
            </w:r>
          </w:p>
        </w:tc>
        <w:tc>
          <w:tcPr>
            <w:tcW w:w="1134" w:type="dxa"/>
            <w:vAlign w:val="center"/>
          </w:tcPr>
          <w:p w14:paraId="0BEAE53A">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100.00%</w:t>
            </w:r>
          </w:p>
        </w:tc>
        <w:tc>
          <w:tcPr>
            <w:tcW w:w="1134" w:type="dxa"/>
          </w:tcPr>
          <w:p w14:paraId="3D46CA30">
            <w:pPr>
              <w:spacing w:line="240" w:lineRule="auto"/>
              <w:ind w:firstLine="0" w:firstLineChars="0"/>
              <w:jc w:val="center"/>
              <w:textAlignment w:val="top"/>
              <w:rPr>
                <w:rFonts w:ascii="仿宋" w:eastAsia="仿宋"/>
                <w:sz w:val="21"/>
                <w:szCs w:val="21"/>
              </w:rPr>
            </w:pPr>
            <w:r>
              <w:rPr>
                <w:rFonts w:hint="eastAsia" w:ascii="仿宋" w:hAnsi="仿宋" w:eastAsia="仿宋" w:cs="仿宋"/>
                <w:kern w:val="0"/>
                <w:sz w:val="21"/>
                <w:szCs w:val="21"/>
                <w:lang w:bidi="ar"/>
              </w:rPr>
              <w:t>29.87</w:t>
            </w:r>
          </w:p>
        </w:tc>
        <w:tc>
          <w:tcPr>
            <w:tcW w:w="1134" w:type="dxa"/>
            <w:vAlign w:val="center"/>
          </w:tcPr>
          <w:p w14:paraId="6FD07026">
            <w:pPr>
              <w:spacing w:line="240" w:lineRule="auto"/>
              <w:ind w:firstLine="0" w:firstLineChars="0"/>
              <w:jc w:val="center"/>
              <w:textAlignment w:val="center"/>
              <w:rPr>
                <w:rFonts w:ascii="仿宋" w:eastAsia="仿宋"/>
                <w:sz w:val="21"/>
                <w:szCs w:val="21"/>
              </w:rPr>
            </w:pPr>
            <w:r>
              <w:rPr>
                <w:rFonts w:hint="eastAsia" w:ascii="仿宋" w:hAnsi="仿宋" w:eastAsia="仿宋" w:cs="仿宋"/>
                <w:kern w:val="0"/>
                <w:sz w:val="21"/>
                <w:szCs w:val="21"/>
                <w:lang w:bidi="ar"/>
              </w:rPr>
              <w:t>100.00%</w:t>
            </w:r>
          </w:p>
        </w:tc>
      </w:tr>
    </w:tbl>
    <w:p w14:paraId="32249771">
      <w:pPr>
        <w:rPr>
          <w:rFonts w:hint="eastAsia"/>
        </w:rPr>
      </w:pPr>
    </w:p>
    <w:p w14:paraId="1254404A">
      <w:pPr>
        <w:rPr>
          <w:rFonts w:hint="eastAsia"/>
        </w:rPr>
      </w:pPr>
    </w:p>
    <w:p w14:paraId="60271251">
      <w:pPr>
        <w:pStyle w:val="3"/>
        <w:numPr>
          <w:ilvl w:val="0"/>
          <w:numId w:val="37"/>
        </w:numPr>
        <w:rPr>
          <w:rFonts w:hint="eastAsia"/>
          <w:color w:val="auto"/>
        </w:rPr>
      </w:pPr>
      <w:bookmarkStart w:id="206" w:name="_Toc18993"/>
      <w:bookmarkStart w:id="207" w:name="_Toc2425"/>
      <w:bookmarkStart w:id="208" w:name="_Toc32681"/>
      <w:bookmarkStart w:id="209" w:name="_Toc152937210"/>
      <w:bookmarkStart w:id="210" w:name="_Toc133419347"/>
      <w:r>
        <w:rPr>
          <w:rFonts w:hint="eastAsia"/>
          <w:color w:val="auto"/>
        </w:rPr>
        <w:t>绿地系统和开敞空间</w:t>
      </w:r>
      <w:bookmarkEnd w:id="206"/>
      <w:bookmarkEnd w:id="207"/>
      <w:bookmarkEnd w:id="208"/>
      <w:bookmarkEnd w:id="209"/>
    </w:p>
    <w:p w14:paraId="55F68E4F">
      <w:pPr>
        <w:pStyle w:val="4"/>
        <w:numPr>
          <w:ilvl w:val="0"/>
          <w:numId w:val="39"/>
        </w:numPr>
        <w:rPr>
          <w:rFonts w:hint="eastAsia"/>
        </w:rPr>
      </w:pPr>
      <w:bookmarkStart w:id="211" w:name="_Toc381767"/>
      <w:r>
        <w:rPr>
          <w:rFonts w:hint="eastAsia"/>
        </w:rPr>
        <w:t>绿地系统规划</w:t>
      </w:r>
    </w:p>
    <w:p w14:paraId="6EBE4137">
      <w:r>
        <w:rPr>
          <w:rFonts w:hint="eastAsia"/>
        </w:rPr>
        <w:t>结合生态保护的要求，统筹安排公园绿地、防护绿地用地等，构建尺度宜人、富有活力、具有特色的城镇街巷、公园和滨水空间等绿地体系，推进共用共享，提高公共空间利用效率。至规划期末，绿地规模达到0.28公顷，占比0.93%。</w:t>
      </w:r>
    </w:p>
    <w:p w14:paraId="13D8D6FD">
      <w:pPr>
        <w:pStyle w:val="4"/>
        <w:rPr>
          <w:rFonts w:hint="eastAsia"/>
        </w:rPr>
      </w:pPr>
      <w:r>
        <w:rPr>
          <w:rFonts w:hint="eastAsia"/>
        </w:rPr>
        <w:t>公园绿地</w:t>
      </w:r>
    </w:p>
    <w:p w14:paraId="00BC7311">
      <w:r>
        <w:rPr>
          <w:rFonts w:hint="eastAsia"/>
        </w:rPr>
        <w:t>规划利用空闲地、边角地规划多处公园绿地，为城镇居民提供便捷可达、充足友好的游憩休闲空间，并确保与相互干扰的功能区保持防护隔离。</w:t>
      </w:r>
    </w:p>
    <w:p w14:paraId="58970DC5">
      <w:pPr>
        <w:pStyle w:val="4"/>
        <w:rPr>
          <w:rFonts w:hint="eastAsia"/>
        </w:rPr>
      </w:pPr>
      <w:r>
        <w:rPr>
          <w:rFonts w:hint="eastAsia"/>
        </w:rPr>
        <w:t>防护绿地</w:t>
      </w:r>
    </w:p>
    <w:p w14:paraId="35F81A0E">
      <w:bookmarkStart w:id="212" w:name="_Hlk131091474"/>
      <w:r>
        <w:rPr>
          <w:rFonts w:hint="eastAsia"/>
        </w:rPr>
        <w:t>加强公路沿线、工业区卫生隔离带等防护绿带的控制和建设，构建安全、连续的防护绿地空间骨架。利用道路断面特征，在绿化带内和人行道两侧布置乔、灌、草相结合的植被。</w:t>
      </w:r>
      <w:bookmarkEnd w:id="212"/>
    </w:p>
    <w:bookmarkEnd w:id="211"/>
    <w:p w14:paraId="0A0C6813">
      <w:pPr>
        <w:pStyle w:val="4"/>
        <w:rPr>
          <w:rFonts w:hint="eastAsia"/>
        </w:rPr>
      </w:pPr>
      <w:r>
        <w:rPr>
          <w:rFonts w:hint="eastAsia"/>
        </w:rPr>
        <w:t>其他绿地</w:t>
      </w:r>
    </w:p>
    <w:p w14:paraId="19016457">
      <w:bookmarkStart w:id="213" w:name="_Hlk129182003"/>
      <w:r>
        <w:rPr>
          <w:rFonts w:hint="eastAsia"/>
        </w:rPr>
        <w:t>与居住片区公共活动中心相结合布置居住片区内部绿地。宅旁绿地应满足环境美化与居住区的卫生防护和通风采光等功能要求。加快推进机关、学校、医院和工矿企业、事业单位的庭院绿化全覆盖。市政设施附属绿地应以卫生防护功能为主，同时结合市政设施类型选择绿化方式，打造绿地景观。</w:t>
      </w:r>
    </w:p>
    <w:p w14:paraId="6573235D">
      <w:pPr>
        <w:pStyle w:val="4"/>
        <w:rPr>
          <w:rFonts w:hint="eastAsia"/>
        </w:rPr>
      </w:pPr>
      <w:r>
        <w:rPr>
          <w:rFonts w:hint="eastAsia"/>
        </w:rPr>
        <w:t>河流水系</w:t>
      </w:r>
    </w:p>
    <w:p w14:paraId="0D2084C0">
      <w:bookmarkStart w:id="214" w:name="_Hlk131412270"/>
      <w:r>
        <w:t>严格保护自然河流水系本底，避免</w:t>
      </w:r>
      <w:r>
        <w:rPr>
          <w:rFonts w:hint="eastAsia"/>
        </w:rPr>
        <w:t>城镇</w:t>
      </w:r>
      <w:r>
        <w:t>建设过程中与水争地、破坏水系现象。保障</w:t>
      </w:r>
      <w:r>
        <w:rPr>
          <w:rFonts w:hint="eastAsia"/>
        </w:rPr>
        <w:t>城镇</w:t>
      </w:r>
      <w:r>
        <w:t>防洪除涝安全，推进河道综合治理，促进水生态建设，提升</w:t>
      </w:r>
      <w:r>
        <w:rPr>
          <w:rFonts w:hint="eastAsia"/>
        </w:rPr>
        <w:t>城镇</w:t>
      </w:r>
      <w:r>
        <w:t>涉水景观。滨水岸线规划与道路交通相结合，强化滨水空间的交通可达性。</w:t>
      </w:r>
      <w:bookmarkEnd w:id="214"/>
    </w:p>
    <w:p w14:paraId="339164AF">
      <w:pPr>
        <w:pStyle w:val="4"/>
        <w:rPr>
          <w:rFonts w:hint="eastAsia"/>
        </w:rPr>
      </w:pPr>
      <w:r>
        <w:rPr>
          <w:rFonts w:hint="eastAsia"/>
        </w:rPr>
        <w:t>公共开敞空间</w:t>
      </w:r>
    </w:p>
    <w:p w14:paraId="6BD06A7C">
      <w:bookmarkStart w:id="215" w:name="_Hlk131091622"/>
      <w:r>
        <w:rPr>
          <w:rFonts w:hint="eastAsia"/>
        </w:rPr>
        <w:t>构建多层次、多类型的开放空间体系，强化公共空间的贯通性与网络化，为居民提供舒适、便捷、无障碍的休闲活动场所。规划沙尖子镇建立以沿河休闲景观带为骨架，微绿地为补充的公共开敞空间体系，实现空间的有效整合与优化配置，提升公共空间的环境品质与服务功能，</w:t>
      </w:r>
      <w:r>
        <w:t>加强无障碍设施、休息座椅、智慧信息服务配套设施配置，</w:t>
      </w:r>
      <w:r>
        <w:rPr>
          <w:rFonts w:hint="eastAsia"/>
        </w:rPr>
        <w:t>创造更加宜居的城镇环境。</w:t>
      </w:r>
    </w:p>
    <w:p w14:paraId="3591F9E1">
      <w:pPr>
        <w:pStyle w:val="3"/>
        <w:numPr>
          <w:ilvl w:val="0"/>
          <w:numId w:val="37"/>
        </w:numPr>
        <w:rPr>
          <w:rFonts w:hint="eastAsia"/>
          <w:color w:val="auto"/>
        </w:rPr>
      </w:pPr>
      <w:bookmarkStart w:id="216" w:name="_Toc30181"/>
      <w:bookmarkStart w:id="217" w:name="_Toc3149"/>
      <w:bookmarkStart w:id="218" w:name="_Toc21180"/>
      <w:r>
        <w:rPr>
          <w:rFonts w:hint="eastAsia"/>
          <w:color w:val="auto"/>
        </w:rPr>
        <w:t>景观风貌塑造</w:t>
      </w:r>
      <w:bookmarkEnd w:id="216"/>
      <w:bookmarkEnd w:id="217"/>
      <w:bookmarkEnd w:id="218"/>
    </w:p>
    <w:p w14:paraId="3C2BF6B1">
      <w:pPr>
        <w:pStyle w:val="4"/>
        <w:numPr>
          <w:ilvl w:val="0"/>
          <w:numId w:val="40"/>
        </w:numPr>
        <w:rPr>
          <w:rFonts w:hint="eastAsia"/>
        </w:rPr>
      </w:pPr>
      <w:r>
        <w:rPr>
          <w:rFonts w:hint="eastAsia"/>
        </w:rPr>
        <w:t>景观风貌控制及引导</w:t>
      </w:r>
    </w:p>
    <w:p w14:paraId="7DA3C8DA">
      <w:r>
        <w:rPr>
          <w:rFonts w:hint="eastAsia"/>
        </w:rPr>
        <w:t>规划以周边农田、山体、河流等生态环境为背景，结合用地布局形成宜居生活风貌区和现代工业风貌区。其中宜居生活风貌区以构建生态宜居典范为目标，延续现状城镇空间尺度与肌理，强化秩序感。现代工业风貌区突出现代工业园区形象，形成简洁、高效的片区印象。</w:t>
      </w:r>
    </w:p>
    <w:p w14:paraId="0F5D4A42">
      <w:pPr>
        <w:pStyle w:val="4"/>
        <w:rPr>
          <w:rFonts w:hint="eastAsia"/>
        </w:rPr>
      </w:pPr>
      <w:r>
        <w:rPr>
          <w:rFonts w:hint="eastAsia"/>
        </w:rPr>
        <w:t>建筑控制引导</w:t>
      </w:r>
    </w:p>
    <w:p w14:paraId="08F69195">
      <w:r>
        <w:rPr>
          <w:rFonts w:hint="eastAsia"/>
        </w:rPr>
        <w:t>对闲置建筑进行内部改造，植入新功能，对新建建筑色彩、风格、高度、材料等进行指引，选择适合地域特色的暖色调，保证新老建筑风格统一；结合房屋改造工程，并对违法建筑进行清除，对沿路建筑立面进行优化提升。建筑色彩结合不同地段的使用功能和景观要求进行综合设计，其中公共建筑色彩可相对活泼，体现其在城镇中的景观地位。</w:t>
      </w:r>
    </w:p>
    <w:p w14:paraId="763BBF2B">
      <w:pPr>
        <w:pStyle w:val="4"/>
        <w:rPr>
          <w:rFonts w:hint="eastAsia"/>
        </w:rPr>
      </w:pPr>
      <w:r>
        <w:rPr>
          <w:rFonts w:hint="eastAsia"/>
        </w:rPr>
        <w:t>街区界面引导</w:t>
      </w:r>
    </w:p>
    <w:p w14:paraId="6D21BDBE">
      <w:r>
        <w:rPr>
          <w:rFonts w:hint="eastAsia"/>
        </w:rPr>
        <w:t>规划控制木通线商业临街界面，优化街区环境品质，置换底商功能业态，同时对街区广告牌，景观小品等风格进行规范，保证街区界面整洁有序。鼓励商家使用具有照明效果的灯箱广告，结合街区路灯等照明设施，创造夜间的良好氛围。</w:t>
      </w:r>
    </w:p>
    <w:bookmarkEnd w:id="210"/>
    <w:bookmarkEnd w:id="213"/>
    <w:bookmarkEnd w:id="215"/>
    <w:p w14:paraId="42791C3B">
      <w:pPr>
        <w:pStyle w:val="3"/>
        <w:numPr>
          <w:ilvl w:val="0"/>
          <w:numId w:val="37"/>
        </w:numPr>
        <w:rPr>
          <w:rFonts w:hint="eastAsia"/>
          <w:color w:val="auto"/>
        </w:rPr>
      </w:pPr>
      <w:bookmarkStart w:id="219" w:name="_Toc578"/>
      <w:bookmarkStart w:id="220" w:name="_Toc152937211"/>
      <w:bookmarkStart w:id="221" w:name="_Toc1084"/>
      <w:bookmarkStart w:id="222" w:name="_Toc31278"/>
      <w:r>
        <w:rPr>
          <w:rFonts w:hint="eastAsia"/>
          <w:color w:val="auto"/>
        </w:rPr>
        <w:t>住房保障</w:t>
      </w:r>
      <w:bookmarkEnd w:id="219"/>
      <w:bookmarkEnd w:id="220"/>
      <w:bookmarkEnd w:id="221"/>
      <w:bookmarkEnd w:id="222"/>
    </w:p>
    <w:p w14:paraId="3B3CE72A">
      <w:pPr>
        <w:pStyle w:val="4"/>
        <w:numPr>
          <w:ilvl w:val="0"/>
          <w:numId w:val="41"/>
        </w:numPr>
        <w:rPr>
          <w:rFonts w:hint="eastAsia"/>
        </w:rPr>
      </w:pPr>
      <w:r>
        <w:rPr>
          <w:rFonts w:hint="eastAsia"/>
        </w:rPr>
        <w:t>居住用地规模和布局</w:t>
      </w:r>
    </w:p>
    <w:p w14:paraId="2A7D0708">
      <w:bookmarkStart w:id="223" w:name="_Hlk133418041"/>
      <w:r>
        <w:rPr>
          <w:rFonts w:hint="eastAsia"/>
        </w:rPr>
        <w:t>合理确定居住用地的规模和布局，加强旧居住片区更新改造，完善生活配套设施，改善人居环境，逐步推进新居住片区建设，有序增加新居住用地。</w:t>
      </w:r>
      <w:r>
        <w:t>至规划</w:t>
      </w:r>
      <w:r>
        <w:rPr>
          <w:rFonts w:hint="eastAsia"/>
        </w:rPr>
        <w:t>期末</w:t>
      </w:r>
      <w:r>
        <w:t>，</w:t>
      </w:r>
      <w:r>
        <w:rPr>
          <w:rFonts w:hint="eastAsia"/>
        </w:rPr>
        <w:t>居住用地</w:t>
      </w:r>
      <w:r>
        <w:t>面积约</w:t>
      </w:r>
      <w:r>
        <w:rPr>
          <w:rFonts w:hint="eastAsia"/>
        </w:rPr>
        <w:t>11.61</w:t>
      </w:r>
      <w:r>
        <w:t>公顷</w:t>
      </w:r>
      <w:r>
        <w:rPr>
          <w:rFonts w:hint="eastAsia"/>
        </w:rPr>
        <w:t>，占城镇建设用地的比重为38.86%。</w:t>
      </w:r>
      <w:bookmarkEnd w:id="223"/>
    </w:p>
    <w:p w14:paraId="40BB2B8E">
      <w:pPr>
        <w:pStyle w:val="3"/>
        <w:numPr>
          <w:ilvl w:val="0"/>
          <w:numId w:val="37"/>
        </w:numPr>
        <w:rPr>
          <w:rFonts w:hint="eastAsia"/>
          <w:color w:val="auto"/>
        </w:rPr>
      </w:pPr>
      <w:bookmarkStart w:id="224" w:name="_Toc11228"/>
      <w:bookmarkStart w:id="225" w:name="_Toc12985"/>
      <w:bookmarkStart w:id="226" w:name="_Toc20358"/>
      <w:r>
        <w:rPr>
          <w:rFonts w:hint="eastAsia"/>
          <w:color w:val="auto"/>
        </w:rPr>
        <w:t>城镇更新</w:t>
      </w:r>
      <w:bookmarkEnd w:id="224"/>
      <w:bookmarkEnd w:id="225"/>
      <w:bookmarkEnd w:id="226"/>
    </w:p>
    <w:p w14:paraId="6782B675">
      <w:pPr>
        <w:pStyle w:val="4"/>
        <w:numPr>
          <w:ilvl w:val="0"/>
          <w:numId w:val="42"/>
        </w:numPr>
        <w:rPr>
          <w:rFonts w:hint="eastAsia"/>
        </w:rPr>
      </w:pPr>
      <w:bookmarkStart w:id="227" w:name="_Toc133419348"/>
      <w:r>
        <w:rPr>
          <w:rFonts w:hint="eastAsia"/>
        </w:rPr>
        <w:t>城镇更新目标</w:t>
      </w:r>
    </w:p>
    <w:p w14:paraId="1C9E9879">
      <w:r>
        <w:rPr>
          <w:rFonts w:hint="eastAsia"/>
        </w:rPr>
        <w:t>以盘活存量为重点，因地制宜推进实施城镇更新行动，补齐镇中心区发展短板，完善镇中心区设施配置，</w:t>
      </w:r>
      <w:r>
        <w:t>以保护历史文化、保障产业发展、旧区焕发新活力、完善公共服务等为目标，</w:t>
      </w:r>
      <w:r>
        <w:rPr>
          <w:rFonts w:hint="eastAsia"/>
        </w:rPr>
        <w:t>打造宜居宜业的现代化城镇。</w:t>
      </w:r>
    </w:p>
    <w:p w14:paraId="0B4C1800">
      <w:pPr>
        <w:pStyle w:val="4"/>
        <w:rPr>
          <w:rFonts w:hint="eastAsia"/>
        </w:rPr>
      </w:pPr>
      <w:r>
        <w:rPr>
          <w:rFonts w:hint="eastAsia"/>
        </w:rPr>
        <w:t>城镇更新片区划分</w:t>
      </w:r>
    </w:p>
    <w:p w14:paraId="01417AC4">
      <w:r>
        <w:t>结合城镇空间、农业空间、生态空间及历史文化要素管控要求，综合考虑城</w:t>
      </w:r>
      <w:r>
        <w:rPr>
          <w:rFonts w:hint="eastAsia"/>
        </w:rPr>
        <w:t>镇</w:t>
      </w:r>
      <w:r>
        <w:t>物质形态、配套设施、基础支撑能力、生态环境等基础条件，划定</w:t>
      </w:r>
      <w:r>
        <w:rPr>
          <w:rFonts w:hint="eastAsia"/>
        </w:rPr>
        <w:t>城</w:t>
      </w:r>
      <w:r>
        <w:t>镇更新重点范围。针对</w:t>
      </w:r>
      <w:r>
        <w:rPr>
          <w:rFonts w:hint="eastAsia"/>
        </w:rPr>
        <w:t>镇中心区</w:t>
      </w:r>
      <w:r>
        <w:t>设施老化，增量空间不足、绿地缺失，着力解决发展中的突出问题，规划将更新对象分为老旧住区、低效工业仓储区、景观设施更新、拆旧新建组团四类，以</w:t>
      </w:r>
      <w:r>
        <w:rPr>
          <w:rFonts w:hint="eastAsia"/>
        </w:rPr>
        <w:t>城</w:t>
      </w:r>
      <w:r>
        <w:t>镇更新统筹协调城</w:t>
      </w:r>
      <w:r>
        <w:rPr>
          <w:rFonts w:hint="eastAsia"/>
        </w:rPr>
        <w:t>镇</w:t>
      </w:r>
      <w:r>
        <w:t>存量空间改造，充分发挥存量空间的经济、社会、文化和环境等多方面价值。</w:t>
      </w:r>
    </w:p>
    <w:p w14:paraId="292C07DD">
      <w:pPr>
        <w:pStyle w:val="3"/>
        <w:numPr>
          <w:ilvl w:val="0"/>
          <w:numId w:val="37"/>
        </w:numPr>
        <w:rPr>
          <w:rFonts w:hint="eastAsia"/>
          <w:color w:val="auto"/>
        </w:rPr>
      </w:pPr>
      <w:bookmarkStart w:id="228" w:name="_Toc18855"/>
      <w:bookmarkStart w:id="229" w:name="_Toc28280"/>
      <w:bookmarkStart w:id="230" w:name="_Toc21693"/>
      <w:bookmarkStart w:id="231" w:name="_Hlk129183451"/>
      <w:r>
        <w:rPr>
          <w:rFonts w:hint="eastAsia"/>
          <w:color w:val="auto"/>
        </w:rPr>
        <w:t>公共服务设施</w:t>
      </w:r>
      <w:bookmarkEnd w:id="228"/>
      <w:bookmarkEnd w:id="229"/>
      <w:bookmarkEnd w:id="230"/>
    </w:p>
    <w:p w14:paraId="1936745E">
      <w:pPr>
        <w:pStyle w:val="4"/>
        <w:numPr>
          <w:ilvl w:val="0"/>
          <w:numId w:val="43"/>
        </w:numPr>
        <w:rPr>
          <w:rFonts w:hint="eastAsia"/>
        </w:rPr>
      </w:pPr>
      <w:r>
        <w:rPr>
          <w:rFonts w:hint="eastAsia"/>
        </w:rPr>
        <w:t>社区生活圈建设引导</w:t>
      </w:r>
    </w:p>
    <w:p w14:paraId="591AEDC6">
      <w:r>
        <w:rPr>
          <w:rFonts w:hint="eastAsia"/>
        </w:rPr>
        <w:t>打造镇中心区15分钟社区生活圈，强化生活圈内基本服务功能可达性，将生活圈作为功能资源配置和治理的基本单元，鼓励服务中心功能混合，一站式解决餐饮、社交、娱乐、健身以及学习办公等各方面。</w:t>
      </w:r>
    </w:p>
    <w:p w14:paraId="7920A489">
      <w:pPr>
        <w:pStyle w:val="4"/>
        <w:rPr>
          <w:rFonts w:hint="eastAsia"/>
        </w:rPr>
      </w:pPr>
      <w:r>
        <w:rPr>
          <w:rFonts w:hint="eastAsia"/>
        </w:rPr>
        <w:t>公共服务设施规划</w:t>
      </w:r>
    </w:p>
    <w:p w14:paraId="74551347">
      <w:r>
        <w:rPr>
          <w:rFonts w:hint="eastAsia"/>
        </w:rPr>
        <w:t>强化镇中心区综合服务辐射功能，完善文体、医疗和养老等公共服务设施配套建设，提升公共服务设施整体服务水平，加快推动高品质生活性服务业发展。</w:t>
      </w:r>
    </w:p>
    <w:p w14:paraId="7ED18034">
      <w:bookmarkStart w:id="232" w:name="_Hlk131058273"/>
      <w:r>
        <w:rPr>
          <w:rFonts w:hint="eastAsia"/>
        </w:rPr>
        <w:t>行政管理设施。为满足服务半径的需求，规划保留原镇中心区镇政府、邮政所、电信分局、税务所、工商所等设施，加强设施服务水平的提升，推动形成综合服务中心。</w:t>
      </w:r>
    </w:p>
    <w:p w14:paraId="46303D02">
      <w:r>
        <w:rPr>
          <w:rFonts w:hint="eastAsia"/>
        </w:rPr>
        <w:t>教育设施。深化教育改革，全面提高教育质量，合理配置教育资源，改善学校办学条件。推进中小学优质特色化发展，助力实现教育资源均衡化、优质化。推进学前教育普及普惠发展。规划保留现状沙尖子镇学校用地。</w:t>
      </w:r>
    </w:p>
    <w:p w14:paraId="43A141C7">
      <w:r>
        <w:rPr>
          <w:rFonts w:hint="eastAsia"/>
        </w:rPr>
        <w:t>医疗卫生设施。规划保留沙尖子镇中心卫生院，在原有基础上提级改造，补齐短板，建成规模合理的综合性医院，建设现代医疗卫生服务体系，完善妇幼健康服务模式。</w:t>
      </w:r>
    </w:p>
    <w:p w14:paraId="1C655725">
      <w:r>
        <w:rPr>
          <w:rFonts w:hint="eastAsia"/>
        </w:rPr>
        <w:t>文体设施。鼓励社会力量建设小型化、多样化文化体育活动场所。注重室内外文化体育设施的建设。建设以“15分钟健身圈”为基础的全民健身设施网络，鼓励文体设施集中布置。学校文体场所和设施可考虑对社会开放，提高学校文体设施利用率，也为居民提供高质量的娱乐健身场所。</w:t>
      </w:r>
    </w:p>
    <w:p w14:paraId="76CCF6D6">
      <w:r>
        <w:rPr>
          <w:rFonts w:hint="eastAsia"/>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30266C20">
      <w:r>
        <w:rPr>
          <w:rFonts w:hint="eastAsia"/>
        </w:rPr>
        <w:t>商业服务设施。提升镇中心区内的沿街商业服务业设施数量及服务水平，改善沿街商业对道路交通的影响。合理布设商业设施，统筹安排加油、加气、电信、邮政、电力等公用设施营业网点，促进形成布局均衡、功能齐全的商业服务业网络。鼓励居民利用自有宅基地，发展农家院、便民商业等服务设施。</w:t>
      </w:r>
    </w:p>
    <w:bookmarkEnd w:id="232"/>
    <w:p w14:paraId="4D0ECF2E">
      <w:pPr>
        <w:pStyle w:val="3"/>
        <w:numPr>
          <w:ilvl w:val="0"/>
          <w:numId w:val="37"/>
        </w:numPr>
        <w:rPr>
          <w:rFonts w:hint="eastAsia"/>
          <w:color w:val="auto"/>
        </w:rPr>
      </w:pPr>
      <w:bookmarkStart w:id="233" w:name="_Toc21801"/>
      <w:bookmarkStart w:id="234" w:name="_Toc19572"/>
      <w:bookmarkStart w:id="235" w:name="_Toc28319"/>
      <w:r>
        <w:rPr>
          <w:rFonts w:hint="eastAsia"/>
          <w:color w:val="auto"/>
        </w:rPr>
        <w:t>道路交通设施</w:t>
      </w:r>
      <w:bookmarkEnd w:id="233"/>
      <w:bookmarkEnd w:id="234"/>
      <w:bookmarkEnd w:id="235"/>
    </w:p>
    <w:p w14:paraId="4C2F0375">
      <w:pPr>
        <w:pStyle w:val="4"/>
        <w:numPr>
          <w:ilvl w:val="0"/>
          <w:numId w:val="44"/>
        </w:numPr>
        <w:rPr>
          <w:rFonts w:hint="eastAsia"/>
        </w:rPr>
      </w:pPr>
      <w:r>
        <w:rPr>
          <w:rFonts w:hint="eastAsia"/>
        </w:rPr>
        <w:t>道路系统优化</w:t>
      </w:r>
    </w:p>
    <w:p w14:paraId="42A480FC">
      <w:bookmarkStart w:id="236" w:name="_Hlk131258654"/>
      <w:r>
        <w:t>构建过境通道和</w:t>
      </w:r>
      <w:r>
        <w:rPr>
          <w:rFonts w:hint="eastAsia"/>
        </w:rPr>
        <w:t>镇中心区内部</w:t>
      </w:r>
      <w:r>
        <w:t>道路系统相结合的路网模式。结合组团化的</w:t>
      </w:r>
      <w:r>
        <w:rPr>
          <w:rFonts w:hint="eastAsia"/>
        </w:rPr>
        <w:t>城镇</w:t>
      </w:r>
      <w:r>
        <w:t>布局，优化</w:t>
      </w:r>
      <w:r>
        <w:rPr>
          <w:rFonts w:hint="eastAsia"/>
        </w:rPr>
        <w:t>镇中心区</w:t>
      </w:r>
      <w:r>
        <w:t>道路网络结构，构建层次分明、级配合理、网络化、系统化的主次干道体系。以打通断头路、改善瓶颈路段为主，注重路网形态、间距与用地功能和土地使用强度相适应，差异化控制，充分发挥微循环交通组织，提升用地可达性。居住区遵从</w:t>
      </w:r>
      <w:r>
        <w:rPr>
          <w:rFonts w:hint="eastAsia"/>
        </w:rPr>
        <w:t>“</w:t>
      </w:r>
      <w:r>
        <w:t>小街区、密路网</w:t>
      </w:r>
      <w:r>
        <w:rPr>
          <w:rFonts w:hint="eastAsia"/>
        </w:rPr>
        <w:t>”</w:t>
      </w:r>
      <w:r>
        <w:t>理念，为慢行活动提供更多通道和便利，丰富街道公共活动空间，打造舒适宜居生活空间</w:t>
      </w:r>
      <w:bookmarkEnd w:id="236"/>
      <w:r>
        <w:t>。</w:t>
      </w:r>
    </w:p>
    <w:p w14:paraId="3BF52973">
      <w:pPr>
        <w:pStyle w:val="4"/>
        <w:rPr>
          <w:rFonts w:hint="eastAsia"/>
        </w:rPr>
      </w:pPr>
      <w:r>
        <w:rPr>
          <w:rFonts w:hint="eastAsia"/>
        </w:rPr>
        <w:t>路网结构</w:t>
      </w:r>
    </w:p>
    <w:p w14:paraId="4743FBD1">
      <w:r>
        <w:rPr>
          <w:rFonts w:hint="eastAsia"/>
        </w:rPr>
        <w:t>镇中心区路网建设要满足车、人、公交和防灾救护等功能为主。通过合理功能布局、适度降低密度，合理有效地组织交通。避免大拆大建式的道路拓宽对镇中心区的整体影响；布置完善的道路设施，满足新建工业片区的交通需要。</w:t>
      </w:r>
    </w:p>
    <w:p w14:paraId="16204F01">
      <w:r>
        <w:rPr>
          <w:rFonts w:hint="eastAsia"/>
        </w:rPr>
        <w:t>根据现状道路特点和城镇开发边界，搭建镇中心区道路系统。镇中心区道路由干路、支路、巷路等构成。其中，干路是各功能片区内部之间的联络干道，兼有集散交通和服务性功能。道路红线宽度8~16米，新建干路道路红线宽度16米，现状不满足条件的位置，在允许的情况下适当考虑拓宽。支路是干路与街坊内部道路的连接线，道路红线宽度6~10米，现状不满足条件的位置，在允许的情况下适当考虑拓宽。巷路是对干路和支路网络系统的完善和补充，道路红线宽度3.5~6米，新建巷路道路红线宽度6米，现状不满足条件的位置，在允许的情况下适当考虑拓宽。镇中心区路道路断面均为一块板。</w:t>
      </w:r>
    </w:p>
    <w:p w14:paraId="7083972D">
      <w:pPr>
        <w:pStyle w:val="4"/>
        <w:rPr>
          <w:rFonts w:hint="eastAsia"/>
        </w:rPr>
      </w:pPr>
      <w:r>
        <w:rPr>
          <w:rFonts w:hint="eastAsia"/>
        </w:rPr>
        <w:t>绿色出行</w:t>
      </w:r>
    </w:p>
    <w:p w14:paraId="034B93EF">
      <w:r>
        <w:rPr>
          <w:rFonts w:hint="eastAsia"/>
        </w:rPr>
        <w:t>综合考虑城镇尺度、通勤距离、步行及非机动车出行比例等实际情况，优先打造安全、宜行的绿色交通体系，重点完善干路及滨河岸线两侧步行和自行车出行空间，鼓励绿色交通出行，提升慢行交通生活品质。</w:t>
      </w:r>
    </w:p>
    <w:p w14:paraId="0576F199">
      <w:r>
        <w:rPr>
          <w:rFonts w:hint="eastAsia"/>
        </w:rPr>
        <w:t>根据用地性质和居民需求布设公交停靠站、停保场及相关配套设施，便于运营调度提升公共交通服务水平。加强与慢行交通衔接换乘，步行短时间可达。持续推动城乡公交一体化发展，推动城镇公交线路向周边村庄延伸，引领城镇发展。</w:t>
      </w:r>
    </w:p>
    <w:p w14:paraId="3F1F2FC9">
      <w:pPr>
        <w:pStyle w:val="3"/>
        <w:numPr>
          <w:ilvl w:val="0"/>
          <w:numId w:val="37"/>
        </w:numPr>
        <w:rPr>
          <w:rFonts w:hint="eastAsia"/>
          <w:color w:val="auto"/>
        </w:rPr>
      </w:pPr>
      <w:bookmarkStart w:id="237" w:name="_Toc24175"/>
      <w:bookmarkStart w:id="238" w:name="_Toc30948"/>
      <w:bookmarkStart w:id="239" w:name="_Toc4461"/>
      <w:r>
        <w:rPr>
          <w:rFonts w:hint="eastAsia"/>
          <w:color w:val="auto"/>
        </w:rPr>
        <w:t>市政设施</w:t>
      </w:r>
      <w:bookmarkEnd w:id="237"/>
      <w:bookmarkEnd w:id="238"/>
      <w:bookmarkEnd w:id="239"/>
    </w:p>
    <w:p w14:paraId="2A78FB24">
      <w:pPr>
        <w:pStyle w:val="4"/>
        <w:numPr>
          <w:ilvl w:val="0"/>
          <w:numId w:val="45"/>
        </w:numPr>
        <w:rPr>
          <w:rFonts w:hint="eastAsia"/>
        </w:rPr>
      </w:pPr>
      <w:r>
        <w:rPr>
          <w:rFonts w:hint="eastAsia"/>
        </w:rPr>
        <w:t>给水设施规划</w:t>
      </w:r>
    </w:p>
    <w:p w14:paraId="7E47696B">
      <w:r>
        <w:rPr>
          <w:rFonts w:hint="eastAsia"/>
        </w:rPr>
        <w:t>用水量预测。规划镇中心区人均综合用水量120L/d，至规划期末，镇中心区规划人口2000人，镇中心区用水总量240m³/d。</w:t>
      </w:r>
      <w:r>
        <w:t>规划集中供水普及率达到100%</w:t>
      </w:r>
      <w:r>
        <w:rPr>
          <w:rFonts w:hint="eastAsia"/>
        </w:rPr>
        <w:t>，镇中心区实现全天集中供水</w:t>
      </w:r>
      <w:r>
        <w:t>。镇</w:t>
      </w:r>
      <w:r>
        <w:rPr>
          <w:rFonts w:hint="eastAsia"/>
        </w:rPr>
        <w:t>中心</w:t>
      </w:r>
      <w:r>
        <w:t>区公共建筑用水量按居民生活用水量的25%计算。</w:t>
      </w:r>
      <w:r>
        <w:rPr>
          <w:rFonts w:hint="eastAsia"/>
        </w:rPr>
        <w:t>道路、绿化的浇洒用水和维修施工用水等市政用水，取综合生活用水量的</w:t>
      </w:r>
      <w:r>
        <w:t>12.5%。</w:t>
      </w:r>
      <w:r>
        <w:rPr>
          <w:rFonts w:hint="eastAsia"/>
        </w:rPr>
        <w:t>消防用水量以及未预见用水量，参照一般镇中心区的管网实际运营情况，取日常镇中心区用水量的</w:t>
      </w:r>
      <w:r>
        <w:t>10%</w:t>
      </w:r>
      <w:r>
        <w:rPr>
          <w:rFonts w:hint="eastAsia"/>
        </w:rPr>
        <w:t>计算</w:t>
      </w:r>
      <w:r>
        <w:t>。</w:t>
      </w:r>
    </w:p>
    <w:p w14:paraId="14A429CE">
      <w:r>
        <w:rPr>
          <w:rFonts w:hint="eastAsia"/>
        </w:rPr>
        <w:t>水源规划。保留现状水厂，</w:t>
      </w:r>
      <w:r>
        <w:t>划定水源点周围200米范围内为地下水饮用水源保护区。加强水源保护区的水土保持，种植水源涵养林，合理利用自然资源，维持生态良性循环。加强水源地水质的调查研究，定时抽查监测地下水水质，加强对水源地的控制和保护。</w:t>
      </w:r>
    </w:p>
    <w:p w14:paraId="78E48818">
      <w:r>
        <w:rPr>
          <w:rFonts w:hint="eastAsia"/>
        </w:rPr>
        <w:t>管网规划。</w:t>
      </w:r>
      <w:r>
        <w:t>考虑远期发展需求，</w:t>
      </w:r>
      <w:r>
        <w:rPr>
          <w:rFonts w:hint="eastAsia"/>
        </w:rPr>
        <w:t>结合沙尖子镇多组团的布局模式，</w:t>
      </w:r>
      <w:r>
        <w:t>市政给水管网需采用多水源统一供水系统，其管网采用环状加枝状的形式</w:t>
      </w:r>
      <w:r>
        <w:rPr>
          <w:rFonts w:hint="eastAsia"/>
        </w:rPr>
        <w:t>，</w:t>
      </w:r>
      <w:r>
        <w:t>沿主要道路布置环状连通管道，</w:t>
      </w:r>
      <w:r>
        <w:rPr>
          <w:rFonts w:hint="eastAsia"/>
        </w:rPr>
        <w:t>其他道路</w:t>
      </w:r>
      <w:r>
        <w:t>以枝状向各用地内延伸，向周边供水。</w:t>
      </w:r>
    </w:p>
    <w:p w14:paraId="7245ECC3">
      <w:pPr>
        <w:pStyle w:val="4"/>
        <w:rPr>
          <w:rFonts w:hint="eastAsia"/>
        </w:rPr>
      </w:pPr>
      <w:r>
        <w:rPr>
          <w:rFonts w:hint="eastAsia"/>
        </w:rPr>
        <w:t>排水设施规划</w:t>
      </w:r>
    </w:p>
    <w:p w14:paraId="7F98F257">
      <w:r>
        <w:rPr>
          <w:rFonts w:hint="eastAsia"/>
        </w:rPr>
        <w:t>污水量预测。生活污水量包括居住生活污水和公共建筑生活污水这两项。沙尖子镇</w:t>
      </w:r>
      <w:r>
        <w:t>污水</w:t>
      </w:r>
      <w:r>
        <w:rPr>
          <w:rFonts w:hint="eastAsia"/>
        </w:rPr>
        <w:t>量</w:t>
      </w:r>
      <w:r>
        <w:t>规划参照标准</w:t>
      </w:r>
      <w:r>
        <w:rPr>
          <w:rFonts w:hint="eastAsia"/>
        </w:rPr>
        <w:t>，</w:t>
      </w:r>
      <w:r>
        <w:t>确定为总用水量</w:t>
      </w:r>
      <w:r>
        <w:rPr>
          <w:rFonts w:hint="eastAsia"/>
        </w:rPr>
        <w:t>的</w:t>
      </w:r>
      <w:r>
        <w:t>80%</w:t>
      </w:r>
      <w:r>
        <w:rPr>
          <w:rFonts w:hint="eastAsia"/>
        </w:rPr>
        <w:t>，工业污水按照工业用水量的</w:t>
      </w:r>
      <w:r>
        <w:t>80%计</w:t>
      </w:r>
      <w:r>
        <w:rPr>
          <w:rFonts w:hint="eastAsia"/>
        </w:rPr>
        <w:t>算</w:t>
      </w:r>
      <w:r>
        <w:t>。</w:t>
      </w:r>
    </w:p>
    <w:p w14:paraId="2995FD66">
      <w:pPr>
        <w:rPr>
          <w:b/>
        </w:rPr>
      </w:pPr>
      <w:r>
        <w:rPr>
          <w:rFonts w:hint="eastAsia"/>
        </w:rPr>
        <w:t>污水处理厂规划。沙尖子镇中心区南部规划一处污水处理厂，满足镇中心区的污水处理。设计规模为污水排放量将达到1200吨/天，设计污水处理厂的处理规模为1500吨/日。</w:t>
      </w:r>
    </w:p>
    <w:p w14:paraId="7A270D64">
      <w:r>
        <w:rPr>
          <w:rFonts w:hint="eastAsia"/>
        </w:rPr>
        <w:t>管网规划。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w:t>
      </w:r>
    </w:p>
    <w:p w14:paraId="47399F47">
      <w:pPr>
        <w:pStyle w:val="4"/>
        <w:rPr>
          <w:rFonts w:hint="eastAsia"/>
        </w:rPr>
      </w:pPr>
      <w:r>
        <w:rPr>
          <w:rFonts w:hint="eastAsia"/>
        </w:rPr>
        <w:t>雨水设施规划</w:t>
      </w:r>
    </w:p>
    <w:p w14:paraId="08A03AA4">
      <w:r>
        <w:rPr>
          <w:rFonts w:hint="eastAsia"/>
        </w:rPr>
        <w:t>根据道路、地形坡向设置雨水系统，雨水顺地形就近排入水体。雨水系统与城镇水系、城镇防洪相结合，雨水采用与城镇排涝系统相结合的方式排放。建成以排水沟渠为主干的雨水排水系统，构建超标雨水排放系统，提高各系统功能和规划设计标准，彻底消除内涝。一般区雨水管渠重现期为</w:t>
      </w:r>
      <w:r>
        <w:t>1</w:t>
      </w:r>
      <w:r>
        <w:rPr>
          <w:rFonts w:hint="eastAsia"/>
        </w:rPr>
        <w:t>年，重点区雨水管渠重现期为2～3年。</w:t>
      </w:r>
    </w:p>
    <w:p w14:paraId="05F662E0">
      <w:pPr>
        <w:pStyle w:val="4"/>
        <w:rPr>
          <w:rFonts w:hint="eastAsia"/>
        </w:rPr>
      </w:pPr>
      <w:r>
        <w:rPr>
          <w:rFonts w:hint="eastAsia"/>
        </w:rPr>
        <w:t>供电设施规划</w:t>
      </w:r>
    </w:p>
    <w:p w14:paraId="583BCED1">
      <w:r>
        <w:rPr>
          <w:rFonts w:hint="eastAsia"/>
        </w:rPr>
        <w:t>电源规划。根据镇中心区近远期项目的需要，保留现有变电站，根据用电负荷预测，适当扩大变电站规模。镇中心区内的大型生产企业和用电大户设置二次变（配）电所（室），镇中心区公共活动中心和居住小区配设箱（柜）式变（配）电装置，尽量减少明设变（配）电装置。</w:t>
      </w:r>
    </w:p>
    <w:p w14:paraId="0979FE8C">
      <w:r>
        <w:rPr>
          <w:rFonts w:hint="eastAsia"/>
        </w:rPr>
        <w:t>供电设施规划。</w:t>
      </w:r>
      <w:r>
        <w:t>按规划路径逐步调整架空配电线路，并应适当增加高度、缩小档距，以提高导线对地距离。在镇</w:t>
      </w:r>
      <w:r>
        <w:rPr>
          <w:rFonts w:hint="eastAsia"/>
        </w:rPr>
        <w:t>中心</w:t>
      </w:r>
      <w:r>
        <w:t>区主要干道的配电线路要求埋地，控制城</w:t>
      </w:r>
      <w:r>
        <w:rPr>
          <w:rFonts w:hint="eastAsia"/>
        </w:rPr>
        <w:t>镇</w:t>
      </w:r>
      <w:r>
        <w:t>景观。10KV配电网实现“手拉手”结线，开环运行达到互供互带接线方式。原则上电力线路应设在路的东侧及南侧。</w:t>
      </w:r>
    </w:p>
    <w:p w14:paraId="2826F370">
      <w:r>
        <w:rPr>
          <w:rFonts w:hint="eastAsia"/>
        </w:rPr>
        <w:t>电力网布置。与用地布局相配合，电力网络布置按照中压和高压两个等级分别布设。镇中心区的中压网等级为</w:t>
      </w:r>
      <w:r>
        <w:t>10KV。远期目标网的供电方式采用双回或多回树干式结构，必要时也可采用单环或双环网开环运行。</w:t>
      </w:r>
      <w:r>
        <w:rPr>
          <w:rFonts w:hint="eastAsia"/>
        </w:rPr>
        <w:t>工业区重要用户或大用户采用单回或多回辐射式专线，其余用户为树干式配网供电，变电站低压侧出线间隔</w:t>
      </w:r>
      <w:r>
        <w:t>8～10条10KV馈路。</w:t>
      </w:r>
    </w:p>
    <w:p w14:paraId="7955DA76">
      <w:pPr>
        <w:pStyle w:val="4"/>
        <w:rPr>
          <w:rFonts w:hint="eastAsia"/>
        </w:rPr>
      </w:pPr>
      <w:r>
        <w:rPr>
          <w:rFonts w:hint="eastAsia"/>
        </w:rPr>
        <w:t>通信设施规划</w:t>
      </w:r>
    </w:p>
    <w:p w14:paraId="6DAAEBB5">
      <w:r>
        <w:rPr>
          <w:rFonts w:hint="eastAsia"/>
        </w:rPr>
        <w:t>邮政工程。以加快邮件传递速度为主，以增强自主邮递和邮件处理能力为重点，形成网点布局合理、技术先进、邮运快捷、管理严格的现代化邮政通信网。镇中心区统一规划布置邮政局所一处，加快通信基站建设，建成高速、泛在、融合、安全的立体信息通信网络。</w:t>
      </w:r>
    </w:p>
    <w:p w14:paraId="51216EEC">
      <w:r>
        <w:rPr>
          <w:rFonts w:hint="eastAsia"/>
        </w:rPr>
        <w:t>电信网络规划。统一规划镇中心区内信号传输通道，沿道路敷设于道路西侧或北侧（现状管线不便改造时可暂保留原有线位），每条道路原则上只设一条管位，与电力线路分侧布置于道路两旁。</w:t>
      </w:r>
    </w:p>
    <w:p w14:paraId="0AA92A6E">
      <w:pPr>
        <w:pStyle w:val="4"/>
        <w:rPr>
          <w:rFonts w:hint="eastAsia"/>
        </w:rPr>
      </w:pPr>
      <w:r>
        <w:rPr>
          <w:rFonts w:hint="eastAsia"/>
        </w:rPr>
        <w:t>燃气设施规划</w:t>
      </w:r>
    </w:p>
    <w:p w14:paraId="16CD7782">
      <w:r>
        <w:rPr>
          <w:rFonts w:hint="eastAsia"/>
        </w:rPr>
        <w:t>气源规划。镇中心区采用多种气源形式，饭店、机关事业单位等以罐装石油液化气为主，居民炊事用气以秸秆造气和沼气为主要燃料。</w:t>
      </w:r>
    </w:p>
    <w:p w14:paraId="636E7CE2">
      <w:r>
        <w:rPr>
          <w:rFonts w:hint="eastAsia"/>
        </w:rPr>
        <w:t>管网规划。规划采用中压输气、低压配气的输配系统。为保证供气可靠，沙尖子镇的燃气管网局部采用环状布置。</w:t>
      </w:r>
    </w:p>
    <w:p w14:paraId="20B9CEF5">
      <w:pPr>
        <w:pStyle w:val="4"/>
        <w:rPr>
          <w:rFonts w:hint="eastAsia"/>
        </w:rPr>
      </w:pPr>
      <w:r>
        <w:rPr>
          <w:rFonts w:hint="eastAsia"/>
        </w:rPr>
        <w:t>供热设施规划</w:t>
      </w:r>
    </w:p>
    <w:p w14:paraId="13455337">
      <w:r>
        <w:rPr>
          <w:rFonts w:hint="eastAsia"/>
        </w:rPr>
        <w:t>热源建设。规划进一步沿用镇中心区集中供热站，</w:t>
      </w:r>
      <w:r>
        <w:rPr>
          <w:rFonts w:hint="eastAsia" w:ascii="仿宋_GB2312" w:hAnsi="仿宋_GB2312" w:cs="仿宋_GB2312"/>
        </w:rPr>
        <w:t>热媒采用热力管网</w:t>
      </w:r>
      <w:r>
        <w:rPr>
          <w:rFonts w:hint="eastAsia"/>
        </w:rPr>
        <w:t>130～80℃高温水，经管网送至设在各街区的热交换站换热后，为采暖用户提供95～70℃热水。利用电力、空气能及其他能源供热为补充。</w:t>
      </w:r>
    </w:p>
    <w:p w14:paraId="65962006">
      <w:r>
        <w:rPr>
          <w:rFonts w:hint="eastAsia"/>
        </w:rPr>
        <w:t>管网规划。供热管网为闭式双管循环系统，采用地下直埋敷设。管网应略超前于热源建设，满足用户热负荷需求。</w:t>
      </w:r>
    </w:p>
    <w:p w14:paraId="4B57651D">
      <w:pPr>
        <w:pStyle w:val="4"/>
        <w:rPr>
          <w:rFonts w:hint="eastAsia"/>
        </w:rPr>
      </w:pPr>
      <w:r>
        <w:rPr>
          <w:rFonts w:hint="eastAsia"/>
        </w:rPr>
        <w:t>环卫设施规划</w:t>
      </w:r>
    </w:p>
    <w:p w14:paraId="72CEE8B1">
      <w:r>
        <w:rPr>
          <w:rFonts w:hint="eastAsia"/>
        </w:rPr>
        <w:t>镇中心区生活垃圾处理坚持无害化、减量化、资源化的原则，近期居住区生活垃圾以垃圾收集箱收集为主，远期逐步实行垃圾袋装分类收集。</w:t>
      </w:r>
    </w:p>
    <w:bookmarkEnd w:id="231"/>
    <w:p w14:paraId="06C1C25E">
      <w:pPr>
        <w:pStyle w:val="3"/>
        <w:numPr>
          <w:ilvl w:val="0"/>
          <w:numId w:val="37"/>
        </w:numPr>
        <w:rPr>
          <w:rFonts w:hint="eastAsia"/>
          <w:color w:val="auto"/>
        </w:rPr>
      </w:pPr>
      <w:bookmarkStart w:id="240" w:name="_Toc133419350"/>
      <w:bookmarkStart w:id="241" w:name="_Toc10539"/>
      <w:bookmarkStart w:id="242" w:name="_Toc29841"/>
      <w:bookmarkStart w:id="243" w:name="_Toc152937216"/>
      <w:bookmarkStart w:id="244" w:name="_Toc5336"/>
      <w:bookmarkStart w:id="245" w:name="_Toc152937212"/>
      <w:r>
        <w:rPr>
          <w:rFonts w:hint="eastAsia"/>
          <w:color w:val="auto"/>
        </w:rPr>
        <w:t>“</w:t>
      </w:r>
      <w:r>
        <w:rPr>
          <w:color w:val="auto"/>
        </w:rPr>
        <w:t>四线</w:t>
      </w:r>
      <w:r>
        <w:rPr>
          <w:rFonts w:hint="eastAsia"/>
          <w:color w:val="auto"/>
        </w:rPr>
        <w:t>”</w:t>
      </w:r>
      <w:r>
        <w:rPr>
          <w:color w:val="auto"/>
        </w:rPr>
        <w:t>管控</w:t>
      </w:r>
      <w:bookmarkEnd w:id="240"/>
      <w:bookmarkEnd w:id="241"/>
      <w:bookmarkEnd w:id="242"/>
      <w:bookmarkEnd w:id="243"/>
      <w:bookmarkEnd w:id="244"/>
    </w:p>
    <w:p w14:paraId="524A518F">
      <w:pPr>
        <w:pStyle w:val="4"/>
        <w:numPr>
          <w:ilvl w:val="0"/>
          <w:numId w:val="46"/>
        </w:numPr>
        <w:rPr>
          <w:rFonts w:hint="eastAsia"/>
        </w:rPr>
      </w:pPr>
      <w:r>
        <w:rPr>
          <w:rFonts w:hint="eastAsia"/>
        </w:rPr>
        <w:t>绿线划定和管控要求</w:t>
      </w:r>
    </w:p>
    <w:p w14:paraId="0827CABF">
      <w:pPr>
        <w:widowControl w:val="0"/>
        <w:rPr>
          <w:rFonts w:cs="仿宋_GB2312"/>
          <w:szCs w:val="32"/>
          <w:lang w:bidi="ar"/>
        </w:rPr>
      </w:pPr>
      <w:r>
        <w:rPr>
          <w:rFonts w:hint="eastAsia"/>
          <w:u w:val="single"/>
        </w:rPr>
        <w:t>将对居民生活有重要影响的重要公园绿地、防护绿地和广场用地等绿地纳入绿线管控。至2035年末，纳入绿线管控的绿地总面积不少于0.27公顷。</w:t>
      </w:r>
      <w:r>
        <w:rPr>
          <w:rFonts w:hint="eastAsia" w:cs="仿宋_GB2312"/>
          <w:szCs w:val="32"/>
          <w:lang w:bidi="ar"/>
        </w:rPr>
        <w:t>参照《城市绿线管理办法》管控。</w:t>
      </w:r>
    </w:p>
    <w:p w14:paraId="7999B529">
      <w:r>
        <w:rPr>
          <w:rFonts w:hint="eastAsia"/>
        </w:rPr>
        <w:t>绿线内的用地，不得改作他用，不得违反法律法规、强制性标准以及批准的规划进行开发建设；有关部门不得违反规定，批准在绿线范围内进行建设；因建设或者其他特殊情况，需要临时占用绿线内用地的，必须依法办理相关审批手续；在绿线范围内，不符合规划要求的建筑物、构筑物及其他设施应当限期迁出；任何单位和个人不得在绿地范围内进行拦河截溪、取土采石、设置垃圾堆场、排放污水以及其他对生态环境构成破坏的活动。</w:t>
      </w:r>
    </w:p>
    <w:p w14:paraId="18C7D371">
      <w:pPr>
        <w:pStyle w:val="4"/>
        <w:rPr>
          <w:rFonts w:hint="eastAsia"/>
        </w:rPr>
      </w:pPr>
      <w:r>
        <w:rPr>
          <w:rFonts w:hint="eastAsia"/>
        </w:rPr>
        <w:t>黄线划定和管控要求</w:t>
      </w:r>
    </w:p>
    <w:p w14:paraId="45075F1B">
      <w:bookmarkStart w:id="246" w:name="_Hlk131093420"/>
      <w:r>
        <w:rPr>
          <w:rFonts w:hint="eastAsia"/>
        </w:rPr>
        <w:t>沙尖子镇中心区内不涉及黄线。</w:t>
      </w:r>
    </w:p>
    <w:bookmarkEnd w:id="246"/>
    <w:p w14:paraId="46D86C78">
      <w:pPr>
        <w:pStyle w:val="4"/>
        <w:rPr>
          <w:rFonts w:hint="eastAsia"/>
        </w:rPr>
      </w:pPr>
      <w:r>
        <w:rPr>
          <w:rFonts w:hint="eastAsia"/>
        </w:rPr>
        <w:t>蓝线划定和管控要求</w:t>
      </w:r>
    </w:p>
    <w:p w14:paraId="77C61361">
      <w:r>
        <w:rPr>
          <w:rFonts w:hint="eastAsia"/>
        </w:rPr>
        <w:t>沙尖子镇中心区内不涉及蓝线。</w:t>
      </w:r>
    </w:p>
    <w:p w14:paraId="04E25DA3">
      <w:pPr>
        <w:pStyle w:val="4"/>
        <w:rPr>
          <w:rFonts w:hint="eastAsia"/>
        </w:rPr>
      </w:pPr>
      <w:r>
        <w:rPr>
          <w:rFonts w:hint="eastAsia"/>
        </w:rPr>
        <w:t>紫线划定和管控要求</w:t>
      </w:r>
    </w:p>
    <w:p w14:paraId="7B2EF12E">
      <w:r>
        <w:rPr>
          <w:rFonts w:hint="eastAsia"/>
        </w:rPr>
        <w:t>沙尖子镇中心区内不涉及紫线。</w:t>
      </w:r>
    </w:p>
    <w:p w14:paraId="52E7700A"/>
    <w:bookmarkEnd w:id="136"/>
    <w:bookmarkEnd w:id="227"/>
    <w:bookmarkEnd w:id="245"/>
    <w:p w14:paraId="13C21311">
      <w:pPr>
        <w:pStyle w:val="2"/>
        <w:spacing w:after="360"/>
        <w:rPr>
          <w:rFonts w:hint="eastAsia"/>
        </w:rPr>
      </w:pPr>
      <w:bookmarkStart w:id="247" w:name="_Toc16359"/>
      <w:bookmarkStart w:id="248" w:name="_Toc152937226"/>
      <w:bookmarkStart w:id="249" w:name="_Toc17090"/>
      <w:bookmarkStart w:id="250" w:name="_Toc9836"/>
      <w:r>
        <w:rPr>
          <w:rFonts w:hint="eastAsia"/>
        </w:rPr>
        <w:t>第十章 规划传导与近期建设</w:t>
      </w:r>
      <w:bookmarkEnd w:id="247"/>
      <w:bookmarkEnd w:id="248"/>
      <w:bookmarkEnd w:id="249"/>
      <w:bookmarkEnd w:id="250"/>
    </w:p>
    <w:p w14:paraId="17622814">
      <w:pPr>
        <w:pStyle w:val="3"/>
        <w:numPr>
          <w:ilvl w:val="0"/>
          <w:numId w:val="47"/>
        </w:numPr>
        <w:rPr>
          <w:rFonts w:ascii="Times New Roman" w:hAnsi="Times New Roman" w:cs="Times New Roman"/>
          <w:color w:val="auto"/>
        </w:rPr>
      </w:pPr>
      <w:bookmarkStart w:id="251" w:name="_Toc27317"/>
      <w:bookmarkStart w:id="252" w:name="_Toc29804"/>
      <w:bookmarkStart w:id="253" w:name="_Toc16462"/>
      <w:bookmarkStart w:id="254" w:name="_Toc133419369"/>
      <w:r>
        <w:rPr>
          <w:rFonts w:hint="eastAsia" w:ascii="Times New Roman" w:hAnsi="Times New Roman" w:cs="Times New Roman"/>
          <w:color w:val="auto"/>
        </w:rPr>
        <w:t>加强党的领导</w:t>
      </w:r>
      <w:bookmarkEnd w:id="251"/>
      <w:bookmarkEnd w:id="252"/>
      <w:bookmarkEnd w:id="253"/>
    </w:p>
    <w:p w14:paraId="2BA843E2">
      <w:pPr>
        <w:pStyle w:val="4"/>
        <w:numPr>
          <w:ilvl w:val="0"/>
          <w:numId w:val="48"/>
        </w:numPr>
        <w:rPr>
          <w:rFonts w:hint="eastAsia"/>
        </w:rPr>
      </w:pPr>
      <w:r>
        <w:rPr>
          <w:rFonts w:hint="eastAsia"/>
        </w:rPr>
        <w:t>强化党对国土空间规划的全面领导</w:t>
      </w:r>
    </w:p>
    <w:p w14:paraId="71410CEA">
      <w:bookmarkStart w:id="255" w:name="_Hlk131413673"/>
      <w:r>
        <w:rPr>
          <w:rFonts w:hint="eastAsia"/>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255"/>
    </w:p>
    <w:p w14:paraId="679968B6">
      <w:pPr>
        <w:pStyle w:val="4"/>
        <w:numPr>
          <w:ilvl w:val="0"/>
          <w:numId w:val="48"/>
        </w:numPr>
        <w:ind w:left="1064" w:firstLineChars="0"/>
        <w:rPr>
          <w:rFonts w:hint="eastAsia"/>
        </w:rPr>
      </w:pPr>
      <w:r>
        <w:rPr>
          <w:rFonts w:hint="eastAsia"/>
        </w:rPr>
        <w:t>落实地方党委和政府国土空间规划管理主体责任</w:t>
      </w:r>
    </w:p>
    <w:p w14:paraId="03530A21">
      <w:bookmarkStart w:id="256" w:name="_Hlk131413678"/>
      <w:r>
        <w:rPr>
          <w:rFonts w:hint="eastAsia"/>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256"/>
    </w:p>
    <w:p w14:paraId="23B838B5">
      <w:pPr>
        <w:pStyle w:val="4"/>
        <w:rPr>
          <w:rFonts w:hint="eastAsia"/>
        </w:rPr>
      </w:pPr>
      <w:r>
        <w:rPr>
          <w:rFonts w:hint="eastAsia"/>
        </w:rPr>
        <w:t>加强部门协同联动</w:t>
      </w:r>
    </w:p>
    <w:p w14:paraId="6D642B61">
      <w:r>
        <w:rPr>
          <w:rFonts w:hint="eastAsia"/>
        </w:rPr>
        <w:t>建立健全国土空间规划委员会制度，加强部门协同，进一步完善国土空间规划编制实施管理的配套措施，对国土空间规划编制实施管理重大问题进行统筹协调和决策，确保规划各项目标任务落地实施。</w:t>
      </w:r>
    </w:p>
    <w:p w14:paraId="36E11EDA">
      <w:pPr>
        <w:pStyle w:val="3"/>
        <w:numPr>
          <w:ilvl w:val="0"/>
          <w:numId w:val="47"/>
        </w:numPr>
        <w:rPr>
          <w:rFonts w:ascii="Times New Roman" w:hAnsi="Times New Roman" w:cs="Times New Roman"/>
          <w:color w:val="auto"/>
        </w:rPr>
      </w:pPr>
      <w:bookmarkStart w:id="257" w:name="_Toc421"/>
      <w:bookmarkStart w:id="258" w:name="_Toc3388"/>
      <w:bookmarkStart w:id="259" w:name="_Toc24181"/>
      <w:bookmarkStart w:id="260" w:name="_Toc152937228"/>
      <w:r>
        <w:rPr>
          <w:rFonts w:hint="eastAsia" w:ascii="Times New Roman" w:hAnsi="Times New Roman" w:cs="Times New Roman"/>
          <w:color w:val="auto"/>
        </w:rPr>
        <w:t>详细</w:t>
      </w:r>
      <w:r>
        <w:rPr>
          <w:rFonts w:ascii="Times New Roman" w:hAnsi="Times New Roman" w:cs="Times New Roman"/>
          <w:color w:val="auto"/>
        </w:rPr>
        <w:t>规划传导</w:t>
      </w:r>
      <w:bookmarkEnd w:id="257"/>
      <w:bookmarkEnd w:id="258"/>
      <w:bookmarkEnd w:id="259"/>
      <w:bookmarkEnd w:id="260"/>
    </w:p>
    <w:p w14:paraId="75695959">
      <w:pPr>
        <w:pStyle w:val="4"/>
        <w:numPr>
          <w:ilvl w:val="0"/>
          <w:numId w:val="49"/>
        </w:numPr>
        <w:rPr>
          <w:rFonts w:hint="eastAsia"/>
        </w:rPr>
      </w:pPr>
      <w:r>
        <w:rPr>
          <w:rFonts w:hint="eastAsia"/>
        </w:rPr>
        <w:t>完善规划传导体系</w:t>
      </w:r>
    </w:p>
    <w:p w14:paraId="6595A876">
      <w:r>
        <w:rPr>
          <w:rFonts w:hint="eastAsia"/>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沙尖子镇的空间发展格局、战略目标、城镇定位与发展方向、重大综合交通布局、重要公共服务与基础设施安排、规划分区深化细化、要素配置等内容导向，统筹安排各类用地结构和空间布局，合理优化镇域农业、生态、城镇空间格局，确保县、镇级规划双向衔接。</w:t>
      </w:r>
    </w:p>
    <w:p w14:paraId="396C9DE5">
      <w:pPr>
        <w:pStyle w:val="4"/>
        <w:rPr>
          <w:rFonts w:hint="eastAsia"/>
        </w:rPr>
      </w:pPr>
      <w:r>
        <w:rPr>
          <w:rFonts w:hint="eastAsia"/>
        </w:rPr>
        <w:t>详细规划传导</w:t>
      </w:r>
    </w:p>
    <w:p w14:paraId="16F22AAB">
      <w:pPr>
        <w:rPr>
          <w:lang w:bidi="ar"/>
        </w:rPr>
      </w:pPr>
      <w:r>
        <w:rPr>
          <w:rFonts w:hint="eastAsia"/>
          <w:lang w:bidi="ar"/>
        </w:rPr>
        <w:t>落实上位规划划分的城乡详细规划单元，构建面向实施的详细规划编制体系，在城镇开发边界内通过“城镇单元”传导，编制详细规划，外围乡村地区通过“乡村单元”传导，编制村庄规划。将全域划分为11个规划编制单元，其中，产镇融合单元1个、城郊融合单元1个、整治提升单元4个、特色保护单元2个、特殊单元2个、集聚建设单元1个。</w:t>
      </w:r>
    </w:p>
    <w:bookmarkEnd w:id="254"/>
    <w:p w14:paraId="635B98BE">
      <w:pPr>
        <w:pStyle w:val="3"/>
        <w:numPr>
          <w:ilvl w:val="0"/>
          <w:numId w:val="47"/>
        </w:numPr>
        <w:rPr>
          <w:rFonts w:ascii="Times New Roman" w:hAnsi="Times New Roman" w:cs="Times New Roman"/>
          <w:color w:val="auto"/>
        </w:rPr>
      </w:pPr>
      <w:bookmarkStart w:id="261" w:name="_Toc152937230"/>
      <w:bookmarkStart w:id="262" w:name="_Toc8372"/>
      <w:bookmarkStart w:id="263" w:name="_Toc1246"/>
      <w:bookmarkStart w:id="264" w:name="_Toc20351"/>
      <w:r>
        <w:rPr>
          <w:rFonts w:hint="eastAsia" w:ascii="Times New Roman" w:hAnsi="Times New Roman" w:cs="Times New Roman"/>
          <w:color w:val="auto"/>
        </w:rPr>
        <w:t>近期</w:t>
      </w:r>
      <w:bookmarkEnd w:id="261"/>
      <w:r>
        <w:rPr>
          <w:rFonts w:hint="eastAsia" w:ascii="Times New Roman" w:hAnsi="Times New Roman" w:cs="Times New Roman"/>
          <w:color w:val="auto"/>
        </w:rPr>
        <w:t>建设</w:t>
      </w:r>
      <w:bookmarkEnd w:id="262"/>
      <w:bookmarkEnd w:id="263"/>
      <w:bookmarkEnd w:id="264"/>
    </w:p>
    <w:p w14:paraId="4BFF9AD2">
      <w:pPr>
        <w:pStyle w:val="4"/>
        <w:numPr>
          <w:ilvl w:val="0"/>
          <w:numId w:val="50"/>
        </w:numPr>
        <w:rPr>
          <w:rFonts w:hint="eastAsia"/>
        </w:rPr>
      </w:pPr>
      <w:r>
        <w:rPr>
          <w:rFonts w:hint="eastAsia"/>
        </w:rPr>
        <w:t>近期重点行动计划</w:t>
      </w:r>
    </w:p>
    <w:p w14:paraId="27E3566A">
      <w:r>
        <w:rPr>
          <w:rFonts w:hint="eastAsia"/>
        </w:rPr>
        <w:t>以国土空间规划为引领，坚持“生态优先、绿色发展、功能完善、特色鲜明”的原则，落实上位传导重点建设项目，包括道路改扩建、安全饮水工程等项目。通过城镇更新与建设、优化空间布局、完善基础设施、提升公共服务、强化产业支撑等措施，打造宜居宜业宜游的现代化城镇。</w:t>
      </w:r>
    </w:p>
    <w:p w14:paraId="5776D81A">
      <w:r>
        <w:rPr>
          <w:rFonts w:hint="eastAsia"/>
        </w:rPr>
        <w:t>城镇更新与建设。对老旧住宅区和商业街区进行风貌整治，统一建筑风格，提升街区品质。升级游客服务中心、公共卫生间、休息区等旅游服务设施，提升旅游服务水平。增加公共绿地面积，建设更多绿地景观，提升镇中心区绿化覆盖率。对沿街建筑进行立面改造，统一风格，美化镇中心区环境。引入智慧城市管理系统，实现旅游信息智能化管理，包括智慧导览、智慧停车、智慧安防等功能。</w:t>
      </w:r>
    </w:p>
    <w:p w14:paraId="054D551C">
      <w:r>
        <w:rPr>
          <w:rFonts w:hint="eastAsia"/>
        </w:rPr>
        <w:t>产业发展与升级。加大招商引资力度，引进一批符合沙尖子镇发展定位的优质项目和企业，促进产业集聚和集群发展。</w:t>
      </w:r>
    </w:p>
    <w:p w14:paraId="02C6C9B9">
      <w:r>
        <w:rPr>
          <w:rFonts w:hint="eastAsia"/>
        </w:rPr>
        <w:t>基础设施改造。对镇中心区内主要道路进行拓宽和硬化，提升道路等级，确保交通顺畅。加强公共交通设施建设，提高居民出行便利性。结合污水处理厂建设，对给排水管网进行全面检修和升级，解决排水不畅、水质不佳等问题。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1F357AAD">
      <w:r>
        <w:rPr>
          <w:rFonts w:hint="eastAsia"/>
        </w:rPr>
        <w:t>公共服务提升。加大教育医疗投入力度，改善教育医疗设施条件和服务水平。加强师资力量建设和医疗队伍建设，提高教育教学质量和医疗服务水平。推进沙尖子镇中心卫生院能力提升建设。加强文化体育设施建设和管理维护工作力度，丰富居民文化生活和精神文化生活，组织开展各类文化体育活动和体育赛事活动。</w:t>
      </w:r>
    </w:p>
    <w:p w14:paraId="61B008BA">
      <w:r>
        <w:rPr>
          <w:rFonts w:hint="eastAsia"/>
        </w:rPr>
        <w:t>防灾减灾基础设施建设。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生态旅游应急救援机制。</w:t>
      </w:r>
    </w:p>
    <w:p w14:paraId="394BBC29">
      <w:r>
        <w:rPr>
          <w:rFonts w:hint="eastAsia"/>
        </w:rPr>
        <w:t>开展国土综合整治和生态修复。近期主要安排高标准农田建设、农村生态环境修复、森林生态修复、水土流失生态修复、土壤污染生态修复、水环境和水生态修复、湿地生态修复、矿山生态修复。进一步提升耕地质量，农村建设用地逐步集约，生态环境质量不断优化，山水林田湖草沙得到系统治理，人与自然和谐共生。</w:t>
      </w:r>
    </w:p>
    <w:p w14:paraId="297E3CA6">
      <w:pPr>
        <w:pStyle w:val="4"/>
        <w:rPr>
          <w:rFonts w:hint="eastAsia"/>
        </w:rPr>
      </w:pPr>
      <w:r>
        <w:rPr>
          <w:rFonts w:hint="eastAsia"/>
        </w:rPr>
        <w:t>近期重点项目空间保障</w:t>
      </w:r>
    </w:p>
    <w:p w14:paraId="6AE97848">
      <w:pPr>
        <w:rPr>
          <w:rFonts w:hint="eastAsia"/>
          <w:lang w:bidi="ar"/>
        </w:rPr>
      </w:pPr>
      <w:r>
        <w:rPr>
          <w:rFonts w:hint="eastAsia"/>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保障国家级、省级、市级重大工程项目落地实施。</w:t>
      </w:r>
    </w:p>
    <w:p w14:paraId="4A0C1180">
      <w:pPr>
        <w:rPr>
          <w:rFonts w:hint="eastAsia"/>
          <w:lang w:bidi="ar"/>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7697"/>
      </w:tblGrid>
      <w:tr w14:paraId="29FF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6" w:type="dxa"/>
            <w:tcBorders>
              <w:top w:val="single" w:color="auto" w:sz="4" w:space="0"/>
              <w:left w:val="single" w:color="auto" w:sz="4" w:space="0"/>
              <w:bottom w:val="single" w:color="auto" w:sz="4" w:space="0"/>
              <w:right w:val="single" w:color="auto" w:sz="4" w:space="0"/>
            </w:tcBorders>
            <w:noWrap/>
            <w:vAlign w:val="center"/>
          </w:tcPr>
          <w:p w14:paraId="0759EA0D">
            <w:pPr>
              <w:pStyle w:val="103"/>
              <w:spacing w:line="240" w:lineRule="auto"/>
              <w:rPr>
                <w:color w:val="auto"/>
              </w:rPr>
            </w:pPr>
            <w:r>
              <w:rPr>
                <w:color w:val="auto"/>
              </w:rPr>
              <w:t>项目类型</w:t>
            </w:r>
          </w:p>
        </w:tc>
        <w:tc>
          <w:tcPr>
            <w:tcW w:w="7697" w:type="dxa"/>
            <w:tcBorders>
              <w:top w:val="single" w:color="auto" w:sz="4" w:space="0"/>
              <w:left w:val="single" w:color="auto" w:sz="4" w:space="0"/>
              <w:bottom w:val="single" w:color="auto" w:sz="4" w:space="0"/>
              <w:right w:val="single" w:color="auto" w:sz="4" w:space="0"/>
            </w:tcBorders>
            <w:noWrap/>
            <w:vAlign w:val="center"/>
          </w:tcPr>
          <w:p w14:paraId="6A030378">
            <w:pPr>
              <w:pStyle w:val="103"/>
              <w:spacing w:line="240" w:lineRule="auto"/>
              <w:rPr>
                <w:color w:val="auto"/>
              </w:rPr>
            </w:pPr>
            <w:r>
              <w:rPr>
                <w:color w:val="auto"/>
              </w:rPr>
              <w:t>项目名称</w:t>
            </w:r>
          </w:p>
        </w:tc>
      </w:tr>
      <w:tr w14:paraId="3335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50F66AE3">
            <w:pPr>
              <w:pStyle w:val="103"/>
              <w:spacing w:line="240" w:lineRule="auto"/>
              <w:rPr>
                <w:color w:val="auto"/>
              </w:rPr>
            </w:pPr>
            <w:r>
              <w:rPr>
                <w:color w:val="auto"/>
              </w:rPr>
              <w:t>交通</w:t>
            </w:r>
          </w:p>
        </w:tc>
        <w:tc>
          <w:tcPr>
            <w:tcW w:w="7697" w:type="dxa"/>
            <w:tcBorders>
              <w:top w:val="single" w:color="auto" w:sz="4" w:space="0"/>
              <w:left w:val="single" w:color="auto" w:sz="4" w:space="0"/>
              <w:bottom w:val="single" w:color="auto" w:sz="4" w:space="0"/>
              <w:right w:val="single" w:color="auto" w:sz="4" w:space="0"/>
            </w:tcBorders>
            <w:noWrap/>
            <w:vAlign w:val="center"/>
          </w:tcPr>
          <w:p w14:paraId="26AD25A2">
            <w:pPr>
              <w:pStyle w:val="103"/>
              <w:spacing w:line="240" w:lineRule="auto"/>
              <w:jc w:val="both"/>
              <w:rPr>
                <w:color w:val="auto"/>
              </w:rPr>
            </w:pPr>
            <w:r>
              <w:rPr>
                <w:color w:val="auto"/>
              </w:rPr>
              <w:t>向阳双合至沙尖子闹枝沟连接线建设工程、G506集本线挂牌岭至兰盘岭段安全韧性提升工程</w:t>
            </w:r>
          </w:p>
        </w:tc>
      </w:tr>
      <w:tr w14:paraId="1918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4AEF40BA">
            <w:pPr>
              <w:pStyle w:val="103"/>
              <w:spacing w:line="240" w:lineRule="auto"/>
              <w:rPr>
                <w:color w:val="auto"/>
              </w:rPr>
            </w:pPr>
            <w:r>
              <w:rPr>
                <w:color w:val="auto"/>
              </w:rPr>
              <w:t>水利</w:t>
            </w:r>
          </w:p>
        </w:tc>
        <w:tc>
          <w:tcPr>
            <w:tcW w:w="7697" w:type="dxa"/>
            <w:tcBorders>
              <w:top w:val="single" w:color="auto" w:sz="4" w:space="0"/>
              <w:left w:val="single" w:color="auto" w:sz="4" w:space="0"/>
              <w:bottom w:val="single" w:color="auto" w:sz="4" w:space="0"/>
              <w:right w:val="single" w:color="auto" w:sz="4" w:space="0"/>
            </w:tcBorders>
            <w:noWrap/>
            <w:vAlign w:val="center"/>
          </w:tcPr>
          <w:p w14:paraId="0BB1FD49">
            <w:pPr>
              <w:pStyle w:val="103"/>
              <w:spacing w:line="240" w:lineRule="auto"/>
              <w:jc w:val="both"/>
              <w:rPr>
                <w:color w:val="auto"/>
              </w:rPr>
            </w:pPr>
            <w:r>
              <w:rPr>
                <w:color w:val="auto"/>
              </w:rPr>
              <w:t>漏河沙尖子段治理工程、沙尖子镇干北河山洪沟治理工程、沙尖子镇小围子河河道综合整治、沙尖子镇北沟河河道综合整治等工程</w:t>
            </w:r>
          </w:p>
        </w:tc>
      </w:tr>
      <w:tr w14:paraId="225C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227212D6">
            <w:pPr>
              <w:pStyle w:val="103"/>
              <w:spacing w:line="240" w:lineRule="auto"/>
              <w:rPr>
                <w:color w:val="auto"/>
              </w:rPr>
            </w:pPr>
            <w:r>
              <w:rPr>
                <w:color w:val="auto"/>
              </w:rPr>
              <w:t>能源</w:t>
            </w:r>
          </w:p>
        </w:tc>
        <w:tc>
          <w:tcPr>
            <w:tcW w:w="7697" w:type="dxa"/>
            <w:tcBorders>
              <w:top w:val="single" w:color="auto" w:sz="4" w:space="0"/>
              <w:left w:val="single" w:color="auto" w:sz="4" w:space="0"/>
              <w:bottom w:val="single" w:color="auto" w:sz="4" w:space="0"/>
              <w:right w:val="single" w:color="auto" w:sz="4" w:space="0"/>
            </w:tcBorders>
            <w:noWrap/>
            <w:vAlign w:val="center"/>
          </w:tcPr>
          <w:p w14:paraId="6F1F33B7">
            <w:pPr>
              <w:pStyle w:val="103"/>
              <w:spacing w:line="240" w:lineRule="auto"/>
              <w:jc w:val="both"/>
              <w:rPr>
                <w:color w:val="auto"/>
              </w:rPr>
            </w:pPr>
            <w:r>
              <w:rPr>
                <w:rFonts w:hint="default"/>
                <w:color w:val="auto"/>
              </w:rPr>
              <w:t>金坑光伏电站建设项目、沙尖子新能源产业项目</w:t>
            </w:r>
            <w:r>
              <w:rPr>
                <w:color w:val="auto"/>
              </w:rPr>
              <w:t>、本溪桓仁-沙尖子-向阳66kV线路工程、本溪桓仁-沙尖子66kV线路工程</w:t>
            </w:r>
          </w:p>
        </w:tc>
      </w:tr>
      <w:tr w14:paraId="7600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66EC992C">
            <w:pPr>
              <w:pStyle w:val="103"/>
              <w:spacing w:line="240" w:lineRule="auto"/>
              <w:rPr>
                <w:color w:val="auto"/>
              </w:rPr>
            </w:pPr>
            <w:r>
              <w:rPr>
                <w:color w:val="auto"/>
              </w:rPr>
              <w:t>矿山</w:t>
            </w:r>
          </w:p>
        </w:tc>
        <w:tc>
          <w:tcPr>
            <w:tcW w:w="7697" w:type="dxa"/>
            <w:tcBorders>
              <w:top w:val="single" w:color="auto" w:sz="4" w:space="0"/>
              <w:left w:val="single" w:color="auto" w:sz="4" w:space="0"/>
              <w:bottom w:val="single" w:color="auto" w:sz="4" w:space="0"/>
              <w:right w:val="single" w:color="auto" w:sz="4" w:space="0"/>
            </w:tcBorders>
            <w:noWrap/>
            <w:vAlign w:val="center"/>
          </w:tcPr>
          <w:p w14:paraId="7C218A92">
            <w:pPr>
              <w:pStyle w:val="103"/>
              <w:spacing w:line="240" w:lineRule="auto"/>
              <w:jc w:val="both"/>
              <w:rPr>
                <w:color w:val="auto"/>
              </w:rPr>
            </w:pPr>
            <w:r>
              <w:rPr>
                <w:color w:val="auto"/>
              </w:rPr>
              <w:t>桓仁国达矿业有限公司桓仁矿区建设项目、辽宁伍人矿产投资有限公司大阳沟尾矿库工程建设项目、石灰石建材矿建设项目</w:t>
            </w:r>
          </w:p>
        </w:tc>
      </w:tr>
      <w:tr w14:paraId="2C3F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1C843D2F">
            <w:pPr>
              <w:pStyle w:val="103"/>
              <w:spacing w:line="240" w:lineRule="auto"/>
              <w:rPr>
                <w:color w:val="auto"/>
              </w:rPr>
            </w:pPr>
            <w:r>
              <w:rPr>
                <w:color w:val="auto"/>
              </w:rPr>
              <w:t>产业</w:t>
            </w:r>
          </w:p>
        </w:tc>
        <w:tc>
          <w:tcPr>
            <w:tcW w:w="7697" w:type="dxa"/>
            <w:tcBorders>
              <w:top w:val="single" w:color="auto" w:sz="4" w:space="0"/>
              <w:left w:val="single" w:color="auto" w:sz="4" w:space="0"/>
              <w:bottom w:val="single" w:color="auto" w:sz="4" w:space="0"/>
              <w:right w:val="single" w:color="auto" w:sz="4" w:space="0"/>
            </w:tcBorders>
            <w:noWrap/>
            <w:vAlign w:val="center"/>
          </w:tcPr>
          <w:p w14:paraId="7408A1E1">
            <w:pPr>
              <w:pStyle w:val="103"/>
              <w:spacing w:line="240" w:lineRule="auto"/>
              <w:jc w:val="both"/>
              <w:rPr>
                <w:color w:val="auto"/>
              </w:rPr>
            </w:pPr>
            <w:r>
              <w:rPr>
                <w:rFonts w:hint="default"/>
                <w:color w:val="auto"/>
              </w:rPr>
              <w:t>酒厂生产作坊改扩建项目、矿泉水厂扩建项目、沙尖子镇年产100万吨石骨料建设项目</w:t>
            </w:r>
            <w:r>
              <w:rPr>
                <w:color w:val="auto"/>
              </w:rPr>
              <w:t>、沙尖子镇省级现代农业园区培育项目（标准化设施大棚建设项目）、沙尖子生猪养殖基地及配套设施建设项目、沙尖子镇木耳全产业链项目</w:t>
            </w:r>
          </w:p>
        </w:tc>
      </w:tr>
      <w:tr w14:paraId="4562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4283B846">
            <w:pPr>
              <w:pStyle w:val="103"/>
              <w:spacing w:line="240" w:lineRule="auto"/>
              <w:rPr>
                <w:color w:val="auto"/>
              </w:rPr>
            </w:pPr>
            <w:r>
              <w:rPr>
                <w:color w:val="auto"/>
              </w:rPr>
              <w:t>乡村振兴</w:t>
            </w:r>
          </w:p>
        </w:tc>
        <w:tc>
          <w:tcPr>
            <w:tcW w:w="7697" w:type="dxa"/>
            <w:tcBorders>
              <w:top w:val="single" w:color="auto" w:sz="4" w:space="0"/>
              <w:left w:val="single" w:color="auto" w:sz="4" w:space="0"/>
              <w:bottom w:val="single" w:color="auto" w:sz="4" w:space="0"/>
              <w:right w:val="single" w:color="auto" w:sz="4" w:space="0"/>
            </w:tcBorders>
            <w:noWrap/>
            <w:vAlign w:val="center"/>
          </w:tcPr>
          <w:p w14:paraId="2BBB2177">
            <w:pPr>
              <w:pStyle w:val="103"/>
              <w:spacing w:line="240" w:lineRule="auto"/>
              <w:jc w:val="both"/>
              <w:rPr>
                <w:color w:val="auto"/>
              </w:rPr>
            </w:pPr>
            <w:r>
              <w:rPr>
                <w:rFonts w:hint="default"/>
                <w:color w:val="auto"/>
              </w:rPr>
              <w:t>干沟子村新建养老服务中心、党群服务中心、闹枝沟村村部养老院建设项目、沙尖子农贸交易市场项目、沙尖子配送中心项目</w:t>
            </w:r>
          </w:p>
        </w:tc>
      </w:tr>
      <w:tr w14:paraId="3A42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06" w:type="dxa"/>
            <w:tcBorders>
              <w:top w:val="single" w:color="auto" w:sz="4" w:space="0"/>
              <w:left w:val="single" w:color="auto" w:sz="4" w:space="0"/>
              <w:bottom w:val="single" w:color="auto" w:sz="4" w:space="0"/>
              <w:right w:val="single" w:color="auto" w:sz="4" w:space="0"/>
            </w:tcBorders>
            <w:noWrap/>
            <w:vAlign w:val="center"/>
          </w:tcPr>
          <w:p w14:paraId="259E2FF2">
            <w:pPr>
              <w:pStyle w:val="103"/>
              <w:spacing w:line="240" w:lineRule="auto"/>
              <w:rPr>
                <w:color w:val="auto"/>
              </w:rPr>
            </w:pPr>
            <w:r>
              <w:rPr>
                <w:color w:val="auto"/>
              </w:rPr>
              <w:t>旅游</w:t>
            </w:r>
          </w:p>
        </w:tc>
        <w:tc>
          <w:tcPr>
            <w:tcW w:w="7697" w:type="dxa"/>
            <w:tcBorders>
              <w:top w:val="single" w:color="auto" w:sz="4" w:space="0"/>
              <w:left w:val="single" w:color="auto" w:sz="4" w:space="0"/>
              <w:bottom w:val="single" w:color="auto" w:sz="4" w:space="0"/>
              <w:right w:val="single" w:color="auto" w:sz="4" w:space="0"/>
            </w:tcBorders>
            <w:noWrap/>
            <w:vAlign w:val="center"/>
          </w:tcPr>
          <w:p w14:paraId="60F22715">
            <w:pPr>
              <w:pStyle w:val="103"/>
              <w:spacing w:line="240" w:lineRule="auto"/>
              <w:jc w:val="both"/>
              <w:rPr>
                <w:color w:val="auto"/>
              </w:rPr>
            </w:pPr>
            <w:r>
              <w:rPr>
                <w:color w:val="auto"/>
              </w:rPr>
              <w:t>沙尖子村外环路滨水旅游景观带建设项目、沙尖子村村庄旅游服务停车场项目、沙尖子地温异常带景区建设项目、沙尖子瀛洲码头小镇3A级景区建设项目、瀛洲码头建设项目、沙尖子村旅游特色民宿建设项目、庙洞旅游开发、老村部民宿改建项目、闹枝沟村旅游服务中心、沙尖子冰臼地质遗迹公园3A级景区建设项目、辽东特色民宿建设项目、上地缸民宿建设项目、沙尖子皮划艇训练基地建设项目、沙尖子冰臼地质遗迹公园游客接待服务中心、沙尖子地温异常带景区建设项目</w:t>
            </w:r>
          </w:p>
        </w:tc>
      </w:tr>
    </w:tbl>
    <w:p w14:paraId="6B8378E2">
      <w:pPr>
        <w:rPr>
          <w:rFonts w:hint="eastAsia"/>
          <w:lang w:bidi="ar"/>
        </w:rPr>
      </w:pPr>
    </w:p>
    <w:p w14:paraId="19B8430B">
      <w:pPr>
        <w:pStyle w:val="3"/>
        <w:numPr>
          <w:ilvl w:val="0"/>
          <w:numId w:val="47"/>
        </w:numPr>
        <w:rPr>
          <w:rFonts w:ascii="Times New Roman" w:hAnsi="Times New Roman" w:cs="Times New Roman"/>
          <w:color w:val="auto"/>
        </w:rPr>
      </w:pPr>
      <w:bookmarkStart w:id="265" w:name="_Toc152937231"/>
      <w:bookmarkStart w:id="266" w:name="_Toc23838"/>
      <w:bookmarkStart w:id="267" w:name="_Toc22928"/>
      <w:bookmarkStart w:id="268" w:name="_Toc1513"/>
      <w:r>
        <w:rPr>
          <w:rFonts w:hint="eastAsia" w:ascii="Times New Roman" w:hAnsi="Times New Roman" w:cs="Times New Roman"/>
          <w:color w:val="auto"/>
        </w:rPr>
        <w:t>“一张图”建设与实施监督</w:t>
      </w:r>
      <w:bookmarkEnd w:id="265"/>
      <w:bookmarkEnd w:id="266"/>
      <w:bookmarkEnd w:id="267"/>
      <w:bookmarkEnd w:id="268"/>
    </w:p>
    <w:p w14:paraId="4CF0AB3A">
      <w:pPr>
        <w:pStyle w:val="4"/>
        <w:numPr>
          <w:ilvl w:val="0"/>
          <w:numId w:val="51"/>
        </w:numPr>
        <w:ind w:left="1064" w:hanging="440"/>
        <w:rPr>
          <w:rFonts w:hint="eastAsia"/>
        </w:rPr>
      </w:pPr>
      <w:r>
        <w:rPr>
          <w:rFonts w:hint="eastAsia"/>
        </w:rPr>
        <w:t>强化国土空间规划“一张图”管理</w:t>
      </w:r>
    </w:p>
    <w:p w14:paraId="47E5ACAE">
      <w:pPr>
        <w:rPr>
          <w:color w:val="000000"/>
          <w:szCs w:val="32"/>
        </w:rPr>
      </w:pPr>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511E7C88">
      <w:pPr>
        <w:pStyle w:val="4"/>
        <w:numPr>
          <w:ilvl w:val="0"/>
          <w:numId w:val="1"/>
        </w:numPr>
        <w:ind w:left="1064" w:hanging="440"/>
        <w:rPr>
          <w:rFonts w:hint="eastAsia"/>
        </w:rPr>
      </w:pPr>
      <w:r>
        <w:t>完善社会监督机制</w:t>
      </w:r>
    </w:p>
    <w:p w14:paraId="199C47C6">
      <w:r>
        <w:rPr>
          <w:color w:val="000000"/>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bookmarkEnd w:id="6"/>
    <w:bookmarkEnd w:id="7"/>
    <w:p w14:paraId="3CFEB973"/>
    <w:sectPr>
      <w:footerReference r:id="rId15" w:type="default"/>
      <w:pgSz w:w="11906" w:h="16838"/>
      <w:pgMar w:top="1440" w:right="1519" w:bottom="1692" w:left="1800" w:header="720" w:footer="991"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604897"/>
    </w:sdtPr>
    <w:sdtContent>
      <w:p w14:paraId="4E2E7D24">
        <w:pPr>
          <w:pStyle w:val="14"/>
          <w:ind w:firstLine="360"/>
          <w:jc w:val="center"/>
        </w:pPr>
        <w:r>
          <w:fldChar w:fldCharType="begin"/>
        </w:r>
        <w:r>
          <w:instrText xml:space="preserve">PAGE   \* MERGEFORMAT</w:instrText>
        </w:r>
        <w:r>
          <w:fldChar w:fldCharType="separate"/>
        </w:r>
        <w:r>
          <w:rPr>
            <w:lang w:val="zh-CN"/>
          </w:rPr>
          <w:t>2</w:t>
        </w:r>
        <w:r>
          <w:fldChar w:fldCharType="end"/>
        </w:r>
      </w:p>
    </w:sdtContent>
  </w:sdt>
  <w:p w14:paraId="68839A34">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5C735">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5FE07">
    <w:pPr>
      <w:pStyle w:val="14"/>
      <w:ind w:firstLine="360"/>
      <w:jc w:val="center"/>
    </w:pPr>
  </w:p>
  <w:p w14:paraId="5A2F29AF">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9DBC0">
    <w:pPr>
      <w:pStyle w:val="14"/>
      <w:ind w:firstLine="360"/>
      <w:jc w:val="center"/>
    </w:pPr>
  </w:p>
  <w:p w14:paraId="29D06237">
    <w:pPr>
      <w:pStyle w:val="1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A9B19">
    <w:pPr>
      <w:pStyle w:val="14"/>
      <w:ind w:firstLine="360"/>
      <w:jc w:val="center"/>
    </w:pPr>
  </w:p>
  <w:p w14:paraId="267CF842">
    <w:pPr>
      <w:pStyle w:val="1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9303037"/>
    </w:sdtPr>
    <w:sdtContent>
      <w:p w14:paraId="522A0D56">
        <w:pPr>
          <w:pStyle w:val="14"/>
          <w:ind w:firstLine="360"/>
          <w:jc w:val="center"/>
        </w:pPr>
        <w:r>
          <w:fldChar w:fldCharType="begin"/>
        </w:r>
        <w:r>
          <w:instrText xml:space="preserve">PAGE   \* MERGEFORMAT</w:instrText>
        </w:r>
        <w:r>
          <w:fldChar w:fldCharType="separate"/>
        </w:r>
        <w:r>
          <w:rPr>
            <w:lang w:val="zh-CN"/>
          </w:rPr>
          <w:t>2</w:t>
        </w:r>
        <w:r>
          <w:fldChar w:fldCharType="end"/>
        </w:r>
      </w:p>
    </w:sdtContent>
  </w:sdt>
  <w:p w14:paraId="324E6F6A">
    <w:pPr>
      <w:pStyle w:val="1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1564337"/>
    </w:sdtPr>
    <w:sdtContent>
      <w:p w14:paraId="6ECCF417">
        <w:pPr>
          <w:pStyle w:val="14"/>
          <w:ind w:firstLine="360"/>
          <w:jc w:val="center"/>
        </w:pPr>
        <w:r>
          <w:fldChar w:fldCharType="begin"/>
        </w:r>
        <w:r>
          <w:instrText xml:space="preserve">PAGE   \* MERGEFORMAT</w:instrText>
        </w:r>
        <w:r>
          <w:fldChar w:fldCharType="separate"/>
        </w:r>
        <w:r>
          <w:rPr>
            <w:lang w:val="zh-CN"/>
          </w:rPr>
          <w:t>I</w:t>
        </w:r>
        <w:r>
          <w:fldChar w:fldCharType="end"/>
        </w:r>
      </w:p>
    </w:sdtContent>
  </w:sdt>
  <w:p w14:paraId="47BD0FF7">
    <w:pPr>
      <w:pStyle w:val="14"/>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DE43">
    <w:pPr>
      <w:pStyle w:val="14"/>
      <w:ind w:firstLine="360"/>
      <w:jc w:val="center"/>
    </w:pPr>
  </w:p>
  <w:p w14:paraId="34E99ABD">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8A7F2">
    <w:pPr>
      <w:pStyle w:val="28"/>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F604">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3165">
    <w:pPr>
      <w:pStyle w:val="28"/>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none"/>
      <w:pStyle w:val="10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4B073E8"/>
    <w:multiLevelType w:val="multilevel"/>
    <w:tmpl w:val="34B073E8"/>
    <w:lvl w:ilvl="0" w:tentative="0">
      <w:start w:val="1"/>
      <w:numFmt w:val="chineseCountingThousand"/>
      <w:pStyle w:val="4"/>
      <w:lvlText w:val="(%1)"/>
      <w:lvlJc w:val="left"/>
      <w:pPr>
        <w:ind w:left="1064" w:hanging="440"/>
      </w:pPr>
    </w:lvl>
    <w:lvl w:ilvl="1" w:tentative="0">
      <w:start w:val="1"/>
      <w:numFmt w:val="lowerLetter"/>
      <w:lvlText w:val="%2)"/>
      <w:lvlJc w:val="left"/>
      <w:pPr>
        <w:ind w:left="1691" w:hanging="420"/>
      </w:pPr>
      <w:rPr>
        <w:rFonts w:hint="eastAsia"/>
      </w:rPr>
    </w:lvl>
    <w:lvl w:ilvl="2" w:tentative="0">
      <w:start w:val="1"/>
      <w:numFmt w:val="lowerRoman"/>
      <w:lvlText w:val="%3."/>
      <w:lvlJc w:val="right"/>
      <w:pPr>
        <w:ind w:left="2111" w:hanging="420"/>
      </w:pPr>
      <w:rPr>
        <w:rFonts w:hint="eastAsia"/>
      </w:rPr>
    </w:lvl>
    <w:lvl w:ilvl="3" w:tentative="0">
      <w:start w:val="1"/>
      <w:numFmt w:val="decimal"/>
      <w:lvlText w:val="%4."/>
      <w:lvlJc w:val="left"/>
      <w:pPr>
        <w:ind w:left="2531" w:hanging="420"/>
      </w:pPr>
      <w:rPr>
        <w:rFonts w:hint="eastAsia"/>
      </w:rPr>
    </w:lvl>
    <w:lvl w:ilvl="4" w:tentative="0">
      <w:start w:val="1"/>
      <w:numFmt w:val="lowerLetter"/>
      <w:lvlText w:val="%5)"/>
      <w:lvlJc w:val="left"/>
      <w:pPr>
        <w:ind w:left="2951" w:hanging="420"/>
      </w:pPr>
      <w:rPr>
        <w:rFonts w:hint="eastAsia"/>
      </w:rPr>
    </w:lvl>
    <w:lvl w:ilvl="5" w:tentative="0">
      <w:start w:val="1"/>
      <w:numFmt w:val="lowerRoman"/>
      <w:lvlText w:val="%6."/>
      <w:lvlJc w:val="right"/>
      <w:pPr>
        <w:ind w:left="3371" w:hanging="420"/>
      </w:pPr>
      <w:rPr>
        <w:rFonts w:hint="eastAsia"/>
      </w:rPr>
    </w:lvl>
    <w:lvl w:ilvl="6" w:tentative="0">
      <w:start w:val="1"/>
      <w:numFmt w:val="decimal"/>
      <w:lvlText w:val="%7."/>
      <w:lvlJc w:val="left"/>
      <w:pPr>
        <w:ind w:left="3791" w:hanging="420"/>
      </w:pPr>
      <w:rPr>
        <w:rFonts w:hint="eastAsia"/>
      </w:rPr>
    </w:lvl>
    <w:lvl w:ilvl="7" w:tentative="0">
      <w:start w:val="1"/>
      <w:numFmt w:val="lowerLetter"/>
      <w:lvlText w:val="%8)"/>
      <w:lvlJc w:val="left"/>
      <w:pPr>
        <w:ind w:left="4211" w:hanging="420"/>
      </w:pPr>
      <w:rPr>
        <w:rFonts w:hint="eastAsia"/>
      </w:rPr>
    </w:lvl>
    <w:lvl w:ilvl="8" w:tentative="0">
      <w:start w:val="1"/>
      <w:numFmt w:val="lowerRoman"/>
      <w:lvlText w:val="%9."/>
      <w:lvlJc w:val="right"/>
      <w:pPr>
        <w:ind w:left="4631" w:hanging="420"/>
      </w:pPr>
      <w:rPr>
        <w:rFonts w:hint="eastAsia"/>
      </w:rPr>
    </w:lvl>
  </w:abstractNum>
  <w:abstractNum w:abstractNumId="2">
    <w:nsid w:val="36312507"/>
    <w:multiLevelType w:val="multilevel"/>
    <w:tmpl w:val="3631250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D374EE7"/>
    <w:multiLevelType w:val="multilevel"/>
    <w:tmpl w:val="5D374EE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6D132C5"/>
    <w:multiLevelType w:val="multilevel"/>
    <w:tmpl w:val="66D132C5"/>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2D47481"/>
    <w:multiLevelType w:val="multilevel"/>
    <w:tmpl w:val="72D47481"/>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E9D2C2F"/>
    <w:multiLevelType w:val="multilevel"/>
    <w:tmpl w:val="7E9D2C2F"/>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trackRevisions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iYzY2ZmYxOWY2YjQ4OGIwMmQyNDMxZDk0MTRiMzcifQ=="/>
    <w:docVar w:name="KSO_WPS_MARK_KEY" w:val="6997a9fd-4c2f-4df4-83e6-7913bf9399c1"/>
  </w:docVars>
  <w:rsids>
    <w:rsidRoot w:val="00172A27"/>
    <w:rsid w:val="00001098"/>
    <w:rsid w:val="0000165C"/>
    <w:rsid w:val="00002BDE"/>
    <w:rsid w:val="0000300A"/>
    <w:rsid w:val="00004679"/>
    <w:rsid w:val="00005970"/>
    <w:rsid w:val="00007DAA"/>
    <w:rsid w:val="00007ED9"/>
    <w:rsid w:val="00010E83"/>
    <w:rsid w:val="00013286"/>
    <w:rsid w:val="00014B48"/>
    <w:rsid w:val="00014E62"/>
    <w:rsid w:val="00015D02"/>
    <w:rsid w:val="000161EF"/>
    <w:rsid w:val="00017665"/>
    <w:rsid w:val="0002110B"/>
    <w:rsid w:val="00021C93"/>
    <w:rsid w:val="00022455"/>
    <w:rsid w:val="0002522F"/>
    <w:rsid w:val="000258F7"/>
    <w:rsid w:val="00026EAE"/>
    <w:rsid w:val="00030BEE"/>
    <w:rsid w:val="00030E42"/>
    <w:rsid w:val="000315F3"/>
    <w:rsid w:val="0003164C"/>
    <w:rsid w:val="00031C19"/>
    <w:rsid w:val="000329D1"/>
    <w:rsid w:val="00034E81"/>
    <w:rsid w:val="00035199"/>
    <w:rsid w:val="00036495"/>
    <w:rsid w:val="00036D09"/>
    <w:rsid w:val="00041E14"/>
    <w:rsid w:val="00045F1E"/>
    <w:rsid w:val="000465B7"/>
    <w:rsid w:val="0004669B"/>
    <w:rsid w:val="00046A6B"/>
    <w:rsid w:val="00046BAC"/>
    <w:rsid w:val="00047224"/>
    <w:rsid w:val="000477AD"/>
    <w:rsid w:val="00047FBF"/>
    <w:rsid w:val="00051935"/>
    <w:rsid w:val="00054ADE"/>
    <w:rsid w:val="00055140"/>
    <w:rsid w:val="0005626B"/>
    <w:rsid w:val="00056D7B"/>
    <w:rsid w:val="00057983"/>
    <w:rsid w:val="000579DE"/>
    <w:rsid w:val="00062001"/>
    <w:rsid w:val="00065D13"/>
    <w:rsid w:val="0006797E"/>
    <w:rsid w:val="000707A4"/>
    <w:rsid w:val="00070B01"/>
    <w:rsid w:val="00070C5A"/>
    <w:rsid w:val="00070DDE"/>
    <w:rsid w:val="00071492"/>
    <w:rsid w:val="000715FC"/>
    <w:rsid w:val="000743F8"/>
    <w:rsid w:val="000754F0"/>
    <w:rsid w:val="00076247"/>
    <w:rsid w:val="00076883"/>
    <w:rsid w:val="0008065D"/>
    <w:rsid w:val="00080CED"/>
    <w:rsid w:val="000814E2"/>
    <w:rsid w:val="00082133"/>
    <w:rsid w:val="00083E81"/>
    <w:rsid w:val="00084E86"/>
    <w:rsid w:val="000917EE"/>
    <w:rsid w:val="00091DA2"/>
    <w:rsid w:val="00093505"/>
    <w:rsid w:val="000941AD"/>
    <w:rsid w:val="00094247"/>
    <w:rsid w:val="00094328"/>
    <w:rsid w:val="0009545A"/>
    <w:rsid w:val="0009670D"/>
    <w:rsid w:val="0009750C"/>
    <w:rsid w:val="00097ACB"/>
    <w:rsid w:val="000A0F78"/>
    <w:rsid w:val="000A0FAB"/>
    <w:rsid w:val="000A1A43"/>
    <w:rsid w:val="000A1ED4"/>
    <w:rsid w:val="000A25EF"/>
    <w:rsid w:val="000A4FC7"/>
    <w:rsid w:val="000A5CB3"/>
    <w:rsid w:val="000B0E07"/>
    <w:rsid w:val="000B1295"/>
    <w:rsid w:val="000B168C"/>
    <w:rsid w:val="000B19D0"/>
    <w:rsid w:val="000B1D88"/>
    <w:rsid w:val="000B226C"/>
    <w:rsid w:val="000B2A92"/>
    <w:rsid w:val="000B45DB"/>
    <w:rsid w:val="000B4F55"/>
    <w:rsid w:val="000B58E1"/>
    <w:rsid w:val="000B5BA6"/>
    <w:rsid w:val="000B61D8"/>
    <w:rsid w:val="000C079A"/>
    <w:rsid w:val="000C2C7C"/>
    <w:rsid w:val="000C3B18"/>
    <w:rsid w:val="000C3E6E"/>
    <w:rsid w:val="000C4AEF"/>
    <w:rsid w:val="000C4E1F"/>
    <w:rsid w:val="000C5E44"/>
    <w:rsid w:val="000D04EE"/>
    <w:rsid w:val="000D059D"/>
    <w:rsid w:val="000D0C3A"/>
    <w:rsid w:val="000D122A"/>
    <w:rsid w:val="000D1CD9"/>
    <w:rsid w:val="000D23F0"/>
    <w:rsid w:val="000D2AE2"/>
    <w:rsid w:val="000D34E9"/>
    <w:rsid w:val="000D4788"/>
    <w:rsid w:val="000D5D94"/>
    <w:rsid w:val="000D6719"/>
    <w:rsid w:val="000D684B"/>
    <w:rsid w:val="000D69E7"/>
    <w:rsid w:val="000D710D"/>
    <w:rsid w:val="000D757A"/>
    <w:rsid w:val="000E2004"/>
    <w:rsid w:val="000E2906"/>
    <w:rsid w:val="000E29D6"/>
    <w:rsid w:val="000E353C"/>
    <w:rsid w:val="000E3599"/>
    <w:rsid w:val="000E4568"/>
    <w:rsid w:val="000E7219"/>
    <w:rsid w:val="000E7836"/>
    <w:rsid w:val="000E7EA7"/>
    <w:rsid w:val="000F05C5"/>
    <w:rsid w:val="000F07D6"/>
    <w:rsid w:val="000F1464"/>
    <w:rsid w:val="000F16B8"/>
    <w:rsid w:val="000F1D72"/>
    <w:rsid w:val="000F1F7F"/>
    <w:rsid w:val="000F284E"/>
    <w:rsid w:val="000F4264"/>
    <w:rsid w:val="000F705B"/>
    <w:rsid w:val="00102B05"/>
    <w:rsid w:val="00102B71"/>
    <w:rsid w:val="0010434F"/>
    <w:rsid w:val="001051EE"/>
    <w:rsid w:val="00107D1C"/>
    <w:rsid w:val="001106C8"/>
    <w:rsid w:val="0011094C"/>
    <w:rsid w:val="00111CCA"/>
    <w:rsid w:val="00111FA3"/>
    <w:rsid w:val="001137FD"/>
    <w:rsid w:val="001165A3"/>
    <w:rsid w:val="00117536"/>
    <w:rsid w:val="001207B9"/>
    <w:rsid w:val="00120DCE"/>
    <w:rsid w:val="00121327"/>
    <w:rsid w:val="00125A0E"/>
    <w:rsid w:val="00125C93"/>
    <w:rsid w:val="001304CD"/>
    <w:rsid w:val="00131EF2"/>
    <w:rsid w:val="0013319F"/>
    <w:rsid w:val="0013475D"/>
    <w:rsid w:val="0013476E"/>
    <w:rsid w:val="001370AB"/>
    <w:rsid w:val="00137B9D"/>
    <w:rsid w:val="00140454"/>
    <w:rsid w:val="0014115F"/>
    <w:rsid w:val="001419AB"/>
    <w:rsid w:val="00141D70"/>
    <w:rsid w:val="00142033"/>
    <w:rsid w:val="001427F5"/>
    <w:rsid w:val="00142B2A"/>
    <w:rsid w:val="00142FE7"/>
    <w:rsid w:val="00143947"/>
    <w:rsid w:val="00143E4F"/>
    <w:rsid w:val="00144D9D"/>
    <w:rsid w:val="001453FE"/>
    <w:rsid w:val="00147358"/>
    <w:rsid w:val="00147C51"/>
    <w:rsid w:val="00150FB0"/>
    <w:rsid w:val="001519C6"/>
    <w:rsid w:val="00151B52"/>
    <w:rsid w:val="001555F9"/>
    <w:rsid w:val="00155C33"/>
    <w:rsid w:val="00155F0C"/>
    <w:rsid w:val="001569EC"/>
    <w:rsid w:val="001576D2"/>
    <w:rsid w:val="00160A53"/>
    <w:rsid w:val="00162287"/>
    <w:rsid w:val="00162490"/>
    <w:rsid w:val="00162887"/>
    <w:rsid w:val="00163557"/>
    <w:rsid w:val="0016392D"/>
    <w:rsid w:val="0016393C"/>
    <w:rsid w:val="00163E37"/>
    <w:rsid w:val="001650E7"/>
    <w:rsid w:val="001657F2"/>
    <w:rsid w:val="0016581A"/>
    <w:rsid w:val="00166403"/>
    <w:rsid w:val="00172488"/>
    <w:rsid w:val="00172654"/>
    <w:rsid w:val="00172A27"/>
    <w:rsid w:val="00173C58"/>
    <w:rsid w:val="001762B8"/>
    <w:rsid w:val="001771EE"/>
    <w:rsid w:val="00181B5A"/>
    <w:rsid w:val="001823EF"/>
    <w:rsid w:val="001827BF"/>
    <w:rsid w:val="001835D4"/>
    <w:rsid w:val="001840DF"/>
    <w:rsid w:val="0018455F"/>
    <w:rsid w:val="0018565B"/>
    <w:rsid w:val="0018612F"/>
    <w:rsid w:val="001870D6"/>
    <w:rsid w:val="001875F3"/>
    <w:rsid w:val="00187FCC"/>
    <w:rsid w:val="0019138B"/>
    <w:rsid w:val="00193C72"/>
    <w:rsid w:val="00193D88"/>
    <w:rsid w:val="00193F54"/>
    <w:rsid w:val="0019731D"/>
    <w:rsid w:val="001A0B99"/>
    <w:rsid w:val="001A11D9"/>
    <w:rsid w:val="001A33AA"/>
    <w:rsid w:val="001A46BF"/>
    <w:rsid w:val="001A4B10"/>
    <w:rsid w:val="001A4DC5"/>
    <w:rsid w:val="001A4FBB"/>
    <w:rsid w:val="001A53F3"/>
    <w:rsid w:val="001B0726"/>
    <w:rsid w:val="001B1815"/>
    <w:rsid w:val="001B3402"/>
    <w:rsid w:val="001B6583"/>
    <w:rsid w:val="001C0F73"/>
    <w:rsid w:val="001C13B4"/>
    <w:rsid w:val="001C193A"/>
    <w:rsid w:val="001C45D5"/>
    <w:rsid w:val="001C4EBA"/>
    <w:rsid w:val="001C5389"/>
    <w:rsid w:val="001C627E"/>
    <w:rsid w:val="001D2458"/>
    <w:rsid w:val="001D4958"/>
    <w:rsid w:val="001D521F"/>
    <w:rsid w:val="001D5536"/>
    <w:rsid w:val="001D69A2"/>
    <w:rsid w:val="001D69B5"/>
    <w:rsid w:val="001D7A67"/>
    <w:rsid w:val="001E05F1"/>
    <w:rsid w:val="001E3D7B"/>
    <w:rsid w:val="001E52C8"/>
    <w:rsid w:val="001E5AED"/>
    <w:rsid w:val="001E6456"/>
    <w:rsid w:val="001E660E"/>
    <w:rsid w:val="001E7A36"/>
    <w:rsid w:val="001F0832"/>
    <w:rsid w:val="001F14BF"/>
    <w:rsid w:val="001F1D77"/>
    <w:rsid w:val="001F2765"/>
    <w:rsid w:val="001F29D2"/>
    <w:rsid w:val="001F3EA4"/>
    <w:rsid w:val="001F46C5"/>
    <w:rsid w:val="001F46FD"/>
    <w:rsid w:val="001F4CA8"/>
    <w:rsid w:val="001F5C80"/>
    <w:rsid w:val="001F61FA"/>
    <w:rsid w:val="0020104C"/>
    <w:rsid w:val="00201637"/>
    <w:rsid w:val="00202C83"/>
    <w:rsid w:val="002048D1"/>
    <w:rsid w:val="00210E97"/>
    <w:rsid w:val="00211CE8"/>
    <w:rsid w:val="002120F8"/>
    <w:rsid w:val="00213889"/>
    <w:rsid w:val="00213F2D"/>
    <w:rsid w:val="002140B3"/>
    <w:rsid w:val="00214929"/>
    <w:rsid w:val="002158B3"/>
    <w:rsid w:val="002235E1"/>
    <w:rsid w:val="002241B6"/>
    <w:rsid w:val="00224A0E"/>
    <w:rsid w:val="00224A3A"/>
    <w:rsid w:val="0022595A"/>
    <w:rsid w:val="00225E9A"/>
    <w:rsid w:val="002265B3"/>
    <w:rsid w:val="002269D1"/>
    <w:rsid w:val="00226CB8"/>
    <w:rsid w:val="00227BC2"/>
    <w:rsid w:val="00234885"/>
    <w:rsid w:val="002355C2"/>
    <w:rsid w:val="00236B04"/>
    <w:rsid w:val="002412E6"/>
    <w:rsid w:val="00242145"/>
    <w:rsid w:val="00242C96"/>
    <w:rsid w:val="002439F2"/>
    <w:rsid w:val="002446B5"/>
    <w:rsid w:val="00244847"/>
    <w:rsid w:val="002458C7"/>
    <w:rsid w:val="00245A16"/>
    <w:rsid w:val="0024764C"/>
    <w:rsid w:val="00252F11"/>
    <w:rsid w:val="0025461C"/>
    <w:rsid w:val="0025772F"/>
    <w:rsid w:val="0026293B"/>
    <w:rsid w:val="00263E3F"/>
    <w:rsid w:val="00264AF2"/>
    <w:rsid w:val="00264CA7"/>
    <w:rsid w:val="002672C7"/>
    <w:rsid w:val="00267450"/>
    <w:rsid w:val="00270EF8"/>
    <w:rsid w:val="002738B8"/>
    <w:rsid w:val="002738D6"/>
    <w:rsid w:val="00274E81"/>
    <w:rsid w:val="002750A7"/>
    <w:rsid w:val="00276741"/>
    <w:rsid w:val="00277ABE"/>
    <w:rsid w:val="0028022D"/>
    <w:rsid w:val="00281153"/>
    <w:rsid w:val="0028153F"/>
    <w:rsid w:val="00281AE1"/>
    <w:rsid w:val="00281E18"/>
    <w:rsid w:val="00282EF9"/>
    <w:rsid w:val="00283B6E"/>
    <w:rsid w:val="00285EBA"/>
    <w:rsid w:val="00287201"/>
    <w:rsid w:val="0028771A"/>
    <w:rsid w:val="002929E2"/>
    <w:rsid w:val="00293706"/>
    <w:rsid w:val="00293D83"/>
    <w:rsid w:val="00296521"/>
    <w:rsid w:val="002A0EE8"/>
    <w:rsid w:val="002A169A"/>
    <w:rsid w:val="002A6F51"/>
    <w:rsid w:val="002B08F2"/>
    <w:rsid w:val="002B3B92"/>
    <w:rsid w:val="002B5597"/>
    <w:rsid w:val="002B6602"/>
    <w:rsid w:val="002B734F"/>
    <w:rsid w:val="002B7648"/>
    <w:rsid w:val="002B7F42"/>
    <w:rsid w:val="002C108C"/>
    <w:rsid w:val="002C2BD2"/>
    <w:rsid w:val="002C32C7"/>
    <w:rsid w:val="002C4404"/>
    <w:rsid w:val="002C4F53"/>
    <w:rsid w:val="002C57B5"/>
    <w:rsid w:val="002C58D0"/>
    <w:rsid w:val="002C610E"/>
    <w:rsid w:val="002D124B"/>
    <w:rsid w:val="002D1C76"/>
    <w:rsid w:val="002D20ED"/>
    <w:rsid w:val="002D2483"/>
    <w:rsid w:val="002D24FC"/>
    <w:rsid w:val="002D2589"/>
    <w:rsid w:val="002D7343"/>
    <w:rsid w:val="002E01BC"/>
    <w:rsid w:val="002E1322"/>
    <w:rsid w:val="002E229E"/>
    <w:rsid w:val="002E2B16"/>
    <w:rsid w:val="002E3DED"/>
    <w:rsid w:val="002E3FBB"/>
    <w:rsid w:val="002E4244"/>
    <w:rsid w:val="002E48FB"/>
    <w:rsid w:val="002E6ABC"/>
    <w:rsid w:val="002E70D5"/>
    <w:rsid w:val="002F1A40"/>
    <w:rsid w:val="002F202F"/>
    <w:rsid w:val="002F2766"/>
    <w:rsid w:val="002F35DF"/>
    <w:rsid w:val="002F604F"/>
    <w:rsid w:val="003005DD"/>
    <w:rsid w:val="00301DD9"/>
    <w:rsid w:val="003020DF"/>
    <w:rsid w:val="003038BF"/>
    <w:rsid w:val="003068A0"/>
    <w:rsid w:val="00310C0B"/>
    <w:rsid w:val="00310FDE"/>
    <w:rsid w:val="003128B2"/>
    <w:rsid w:val="00313145"/>
    <w:rsid w:val="00315815"/>
    <w:rsid w:val="00315AFA"/>
    <w:rsid w:val="00316072"/>
    <w:rsid w:val="0031661A"/>
    <w:rsid w:val="003220B7"/>
    <w:rsid w:val="00324C8C"/>
    <w:rsid w:val="00327473"/>
    <w:rsid w:val="00331E50"/>
    <w:rsid w:val="00332885"/>
    <w:rsid w:val="00333310"/>
    <w:rsid w:val="0033399F"/>
    <w:rsid w:val="0033456B"/>
    <w:rsid w:val="003360BA"/>
    <w:rsid w:val="00336C51"/>
    <w:rsid w:val="0034077D"/>
    <w:rsid w:val="00340BAB"/>
    <w:rsid w:val="00341EFF"/>
    <w:rsid w:val="00342741"/>
    <w:rsid w:val="00344F0D"/>
    <w:rsid w:val="003463C6"/>
    <w:rsid w:val="0034653B"/>
    <w:rsid w:val="00346B7B"/>
    <w:rsid w:val="00346D5E"/>
    <w:rsid w:val="00346FD2"/>
    <w:rsid w:val="0035511B"/>
    <w:rsid w:val="003558B8"/>
    <w:rsid w:val="00355981"/>
    <w:rsid w:val="003572D3"/>
    <w:rsid w:val="003628F5"/>
    <w:rsid w:val="00365C9E"/>
    <w:rsid w:val="0036656F"/>
    <w:rsid w:val="00372DF9"/>
    <w:rsid w:val="00373F96"/>
    <w:rsid w:val="003743F3"/>
    <w:rsid w:val="00374574"/>
    <w:rsid w:val="00374D04"/>
    <w:rsid w:val="00374EAC"/>
    <w:rsid w:val="00376E08"/>
    <w:rsid w:val="00377D6C"/>
    <w:rsid w:val="0038011B"/>
    <w:rsid w:val="00380A6E"/>
    <w:rsid w:val="00380ED0"/>
    <w:rsid w:val="0038508B"/>
    <w:rsid w:val="00386C48"/>
    <w:rsid w:val="0038755A"/>
    <w:rsid w:val="003931B0"/>
    <w:rsid w:val="00393657"/>
    <w:rsid w:val="00395C04"/>
    <w:rsid w:val="00395D7E"/>
    <w:rsid w:val="00396EE7"/>
    <w:rsid w:val="00397928"/>
    <w:rsid w:val="003A2345"/>
    <w:rsid w:val="003A3AEA"/>
    <w:rsid w:val="003A47EE"/>
    <w:rsid w:val="003A54E5"/>
    <w:rsid w:val="003A6B6A"/>
    <w:rsid w:val="003A726B"/>
    <w:rsid w:val="003A7E0B"/>
    <w:rsid w:val="003B4012"/>
    <w:rsid w:val="003B4793"/>
    <w:rsid w:val="003B52C4"/>
    <w:rsid w:val="003B589A"/>
    <w:rsid w:val="003B62D7"/>
    <w:rsid w:val="003B6400"/>
    <w:rsid w:val="003B6C38"/>
    <w:rsid w:val="003B76B3"/>
    <w:rsid w:val="003C0329"/>
    <w:rsid w:val="003C052E"/>
    <w:rsid w:val="003C1241"/>
    <w:rsid w:val="003C53EA"/>
    <w:rsid w:val="003C75C9"/>
    <w:rsid w:val="003D0E41"/>
    <w:rsid w:val="003D1EC1"/>
    <w:rsid w:val="003D1FB1"/>
    <w:rsid w:val="003D281D"/>
    <w:rsid w:val="003D6D82"/>
    <w:rsid w:val="003D78D4"/>
    <w:rsid w:val="003E0E64"/>
    <w:rsid w:val="003E1679"/>
    <w:rsid w:val="003E1CF2"/>
    <w:rsid w:val="003E371C"/>
    <w:rsid w:val="003E4D28"/>
    <w:rsid w:val="003E77C4"/>
    <w:rsid w:val="003F0869"/>
    <w:rsid w:val="003F18A5"/>
    <w:rsid w:val="003F2072"/>
    <w:rsid w:val="003F2F02"/>
    <w:rsid w:val="003F302F"/>
    <w:rsid w:val="003F3DCE"/>
    <w:rsid w:val="003F4D2E"/>
    <w:rsid w:val="003F54CE"/>
    <w:rsid w:val="00403150"/>
    <w:rsid w:val="00405D20"/>
    <w:rsid w:val="00407101"/>
    <w:rsid w:val="00413514"/>
    <w:rsid w:val="00414A02"/>
    <w:rsid w:val="004166F1"/>
    <w:rsid w:val="00416E8C"/>
    <w:rsid w:val="00417AF7"/>
    <w:rsid w:val="00417CF4"/>
    <w:rsid w:val="00420250"/>
    <w:rsid w:val="00420DC0"/>
    <w:rsid w:val="0042165C"/>
    <w:rsid w:val="004223EC"/>
    <w:rsid w:val="004225FD"/>
    <w:rsid w:val="00422628"/>
    <w:rsid w:val="0042439F"/>
    <w:rsid w:val="0042468C"/>
    <w:rsid w:val="00424F66"/>
    <w:rsid w:val="0043218E"/>
    <w:rsid w:val="004341FB"/>
    <w:rsid w:val="00436D1A"/>
    <w:rsid w:val="00437D85"/>
    <w:rsid w:val="00441763"/>
    <w:rsid w:val="004417B4"/>
    <w:rsid w:val="004425D6"/>
    <w:rsid w:val="004429FA"/>
    <w:rsid w:val="00442ACE"/>
    <w:rsid w:val="004444F8"/>
    <w:rsid w:val="00446F93"/>
    <w:rsid w:val="004473D8"/>
    <w:rsid w:val="00451A2D"/>
    <w:rsid w:val="00451AF6"/>
    <w:rsid w:val="00453696"/>
    <w:rsid w:val="004549B5"/>
    <w:rsid w:val="0045557C"/>
    <w:rsid w:val="00461911"/>
    <w:rsid w:val="004624E3"/>
    <w:rsid w:val="0046680B"/>
    <w:rsid w:val="00466D98"/>
    <w:rsid w:val="0046770D"/>
    <w:rsid w:val="004678A0"/>
    <w:rsid w:val="00470099"/>
    <w:rsid w:val="004748FC"/>
    <w:rsid w:val="004749E4"/>
    <w:rsid w:val="00474C4A"/>
    <w:rsid w:val="004754F5"/>
    <w:rsid w:val="00476EDB"/>
    <w:rsid w:val="004800B6"/>
    <w:rsid w:val="00482D9C"/>
    <w:rsid w:val="00484490"/>
    <w:rsid w:val="00486A37"/>
    <w:rsid w:val="00487994"/>
    <w:rsid w:val="00487E3C"/>
    <w:rsid w:val="004900C4"/>
    <w:rsid w:val="004900E1"/>
    <w:rsid w:val="004929E5"/>
    <w:rsid w:val="004939D9"/>
    <w:rsid w:val="00493B4A"/>
    <w:rsid w:val="00494CC6"/>
    <w:rsid w:val="0049576E"/>
    <w:rsid w:val="004959A4"/>
    <w:rsid w:val="004959C5"/>
    <w:rsid w:val="004968E1"/>
    <w:rsid w:val="00497B1B"/>
    <w:rsid w:val="004A0F16"/>
    <w:rsid w:val="004A1D73"/>
    <w:rsid w:val="004A4BD6"/>
    <w:rsid w:val="004A565E"/>
    <w:rsid w:val="004A59D5"/>
    <w:rsid w:val="004A6A7D"/>
    <w:rsid w:val="004A74DB"/>
    <w:rsid w:val="004A7E35"/>
    <w:rsid w:val="004B407F"/>
    <w:rsid w:val="004B457F"/>
    <w:rsid w:val="004B4580"/>
    <w:rsid w:val="004B4B1C"/>
    <w:rsid w:val="004B68E7"/>
    <w:rsid w:val="004B7364"/>
    <w:rsid w:val="004B7C7C"/>
    <w:rsid w:val="004C0AE9"/>
    <w:rsid w:val="004C250E"/>
    <w:rsid w:val="004C64B9"/>
    <w:rsid w:val="004C6993"/>
    <w:rsid w:val="004C767B"/>
    <w:rsid w:val="004D02F1"/>
    <w:rsid w:val="004D046F"/>
    <w:rsid w:val="004D0809"/>
    <w:rsid w:val="004D23E7"/>
    <w:rsid w:val="004D25EB"/>
    <w:rsid w:val="004D291E"/>
    <w:rsid w:val="004D2CB0"/>
    <w:rsid w:val="004D3AC2"/>
    <w:rsid w:val="004D58A2"/>
    <w:rsid w:val="004D5A77"/>
    <w:rsid w:val="004D7180"/>
    <w:rsid w:val="004D73EC"/>
    <w:rsid w:val="004E1982"/>
    <w:rsid w:val="004E4576"/>
    <w:rsid w:val="004E51F9"/>
    <w:rsid w:val="004F11D5"/>
    <w:rsid w:val="004F16C2"/>
    <w:rsid w:val="004F2061"/>
    <w:rsid w:val="004F4508"/>
    <w:rsid w:val="004F494B"/>
    <w:rsid w:val="004F4C03"/>
    <w:rsid w:val="004F6EF4"/>
    <w:rsid w:val="004F7E3A"/>
    <w:rsid w:val="0050079B"/>
    <w:rsid w:val="0050129C"/>
    <w:rsid w:val="005018C5"/>
    <w:rsid w:val="00501E0B"/>
    <w:rsid w:val="00502BFC"/>
    <w:rsid w:val="00503177"/>
    <w:rsid w:val="005031BA"/>
    <w:rsid w:val="005032EE"/>
    <w:rsid w:val="005051E8"/>
    <w:rsid w:val="00505324"/>
    <w:rsid w:val="00505EB4"/>
    <w:rsid w:val="00511319"/>
    <w:rsid w:val="00513528"/>
    <w:rsid w:val="00513C2B"/>
    <w:rsid w:val="00514098"/>
    <w:rsid w:val="00522FEC"/>
    <w:rsid w:val="00523221"/>
    <w:rsid w:val="0052492A"/>
    <w:rsid w:val="00525548"/>
    <w:rsid w:val="0052633C"/>
    <w:rsid w:val="00530158"/>
    <w:rsid w:val="00532164"/>
    <w:rsid w:val="005355C6"/>
    <w:rsid w:val="0053662F"/>
    <w:rsid w:val="005376E4"/>
    <w:rsid w:val="0054071C"/>
    <w:rsid w:val="00542613"/>
    <w:rsid w:val="005427B3"/>
    <w:rsid w:val="00542F36"/>
    <w:rsid w:val="005438E9"/>
    <w:rsid w:val="00545E5B"/>
    <w:rsid w:val="00546B4A"/>
    <w:rsid w:val="005471CD"/>
    <w:rsid w:val="00550BEB"/>
    <w:rsid w:val="005513EF"/>
    <w:rsid w:val="00552042"/>
    <w:rsid w:val="0055367B"/>
    <w:rsid w:val="005544A1"/>
    <w:rsid w:val="00554E74"/>
    <w:rsid w:val="00556380"/>
    <w:rsid w:val="00556CC2"/>
    <w:rsid w:val="00556EC2"/>
    <w:rsid w:val="005574EA"/>
    <w:rsid w:val="00560D10"/>
    <w:rsid w:val="00562661"/>
    <w:rsid w:val="00563D8C"/>
    <w:rsid w:val="00564445"/>
    <w:rsid w:val="0056531F"/>
    <w:rsid w:val="00566BFC"/>
    <w:rsid w:val="00575D18"/>
    <w:rsid w:val="00576301"/>
    <w:rsid w:val="00581FFA"/>
    <w:rsid w:val="00583016"/>
    <w:rsid w:val="005847CC"/>
    <w:rsid w:val="00584901"/>
    <w:rsid w:val="00585110"/>
    <w:rsid w:val="0058694E"/>
    <w:rsid w:val="00587D8A"/>
    <w:rsid w:val="00592E97"/>
    <w:rsid w:val="00593888"/>
    <w:rsid w:val="005948E5"/>
    <w:rsid w:val="00597130"/>
    <w:rsid w:val="005A0124"/>
    <w:rsid w:val="005A0496"/>
    <w:rsid w:val="005A0745"/>
    <w:rsid w:val="005A4286"/>
    <w:rsid w:val="005A58C2"/>
    <w:rsid w:val="005A59E4"/>
    <w:rsid w:val="005A5E0C"/>
    <w:rsid w:val="005A5F22"/>
    <w:rsid w:val="005A744F"/>
    <w:rsid w:val="005A797E"/>
    <w:rsid w:val="005B1A8A"/>
    <w:rsid w:val="005B1F6C"/>
    <w:rsid w:val="005B2A76"/>
    <w:rsid w:val="005B5487"/>
    <w:rsid w:val="005C069A"/>
    <w:rsid w:val="005C3CF6"/>
    <w:rsid w:val="005C407F"/>
    <w:rsid w:val="005C49A6"/>
    <w:rsid w:val="005D2429"/>
    <w:rsid w:val="005D304D"/>
    <w:rsid w:val="005D31CE"/>
    <w:rsid w:val="005D3959"/>
    <w:rsid w:val="005D4E52"/>
    <w:rsid w:val="005D569E"/>
    <w:rsid w:val="005D6AA0"/>
    <w:rsid w:val="005E104B"/>
    <w:rsid w:val="005E172E"/>
    <w:rsid w:val="005E284F"/>
    <w:rsid w:val="005E4389"/>
    <w:rsid w:val="005E523C"/>
    <w:rsid w:val="005E5291"/>
    <w:rsid w:val="005E66F0"/>
    <w:rsid w:val="005E6782"/>
    <w:rsid w:val="005E721C"/>
    <w:rsid w:val="005E75B0"/>
    <w:rsid w:val="005E793F"/>
    <w:rsid w:val="005F0499"/>
    <w:rsid w:val="005F096A"/>
    <w:rsid w:val="005F0A59"/>
    <w:rsid w:val="005F1E9B"/>
    <w:rsid w:val="005F56EA"/>
    <w:rsid w:val="006003CA"/>
    <w:rsid w:val="006020E6"/>
    <w:rsid w:val="006042C4"/>
    <w:rsid w:val="006050E0"/>
    <w:rsid w:val="006053A1"/>
    <w:rsid w:val="0060643E"/>
    <w:rsid w:val="00606F17"/>
    <w:rsid w:val="0061103A"/>
    <w:rsid w:val="006132C3"/>
    <w:rsid w:val="00620C3A"/>
    <w:rsid w:val="00623142"/>
    <w:rsid w:val="00623BFA"/>
    <w:rsid w:val="00626626"/>
    <w:rsid w:val="00626B25"/>
    <w:rsid w:val="00627F36"/>
    <w:rsid w:val="006306B6"/>
    <w:rsid w:val="00631B73"/>
    <w:rsid w:val="00632581"/>
    <w:rsid w:val="0063489B"/>
    <w:rsid w:val="00637229"/>
    <w:rsid w:val="00637868"/>
    <w:rsid w:val="006400D6"/>
    <w:rsid w:val="006407E6"/>
    <w:rsid w:val="00641021"/>
    <w:rsid w:val="00642CD5"/>
    <w:rsid w:val="006432F4"/>
    <w:rsid w:val="00644B5C"/>
    <w:rsid w:val="00645648"/>
    <w:rsid w:val="006504B5"/>
    <w:rsid w:val="00651495"/>
    <w:rsid w:val="00655A2A"/>
    <w:rsid w:val="00656373"/>
    <w:rsid w:val="00657036"/>
    <w:rsid w:val="0065776C"/>
    <w:rsid w:val="006610B2"/>
    <w:rsid w:val="00661BBC"/>
    <w:rsid w:val="00661D6E"/>
    <w:rsid w:val="00662340"/>
    <w:rsid w:val="00670449"/>
    <w:rsid w:val="00670534"/>
    <w:rsid w:val="00670B59"/>
    <w:rsid w:val="00671D37"/>
    <w:rsid w:val="00674A8D"/>
    <w:rsid w:val="00675BEE"/>
    <w:rsid w:val="006770D5"/>
    <w:rsid w:val="006834ED"/>
    <w:rsid w:val="00683850"/>
    <w:rsid w:val="00686F85"/>
    <w:rsid w:val="00686FD5"/>
    <w:rsid w:val="00690AB5"/>
    <w:rsid w:val="00693C55"/>
    <w:rsid w:val="00696CAF"/>
    <w:rsid w:val="00696D75"/>
    <w:rsid w:val="00696ECC"/>
    <w:rsid w:val="006977A7"/>
    <w:rsid w:val="006978F5"/>
    <w:rsid w:val="006A1607"/>
    <w:rsid w:val="006A414A"/>
    <w:rsid w:val="006A4D09"/>
    <w:rsid w:val="006A5DBA"/>
    <w:rsid w:val="006A616B"/>
    <w:rsid w:val="006B091E"/>
    <w:rsid w:val="006B30F2"/>
    <w:rsid w:val="006B36F2"/>
    <w:rsid w:val="006B5935"/>
    <w:rsid w:val="006B7EBA"/>
    <w:rsid w:val="006C2FEA"/>
    <w:rsid w:val="006C3319"/>
    <w:rsid w:val="006C367A"/>
    <w:rsid w:val="006C435A"/>
    <w:rsid w:val="006C4816"/>
    <w:rsid w:val="006D3E12"/>
    <w:rsid w:val="006D5CF6"/>
    <w:rsid w:val="006D5D70"/>
    <w:rsid w:val="006D7D84"/>
    <w:rsid w:val="006E02CF"/>
    <w:rsid w:val="006E2E85"/>
    <w:rsid w:val="006E36CE"/>
    <w:rsid w:val="006E5238"/>
    <w:rsid w:val="006E6E0F"/>
    <w:rsid w:val="006F4471"/>
    <w:rsid w:val="006F5BB1"/>
    <w:rsid w:val="006F69E2"/>
    <w:rsid w:val="006F7D4A"/>
    <w:rsid w:val="0070007D"/>
    <w:rsid w:val="0070231F"/>
    <w:rsid w:val="0070291B"/>
    <w:rsid w:val="007033C0"/>
    <w:rsid w:val="007039AA"/>
    <w:rsid w:val="00704630"/>
    <w:rsid w:val="0070466F"/>
    <w:rsid w:val="00704807"/>
    <w:rsid w:val="00706AA1"/>
    <w:rsid w:val="0071097D"/>
    <w:rsid w:val="00710C18"/>
    <w:rsid w:val="007112C1"/>
    <w:rsid w:val="007117CC"/>
    <w:rsid w:val="0071182C"/>
    <w:rsid w:val="00713710"/>
    <w:rsid w:val="0071620A"/>
    <w:rsid w:val="007200D3"/>
    <w:rsid w:val="00720AC2"/>
    <w:rsid w:val="00720ECC"/>
    <w:rsid w:val="00721B7E"/>
    <w:rsid w:val="007223E7"/>
    <w:rsid w:val="00722A56"/>
    <w:rsid w:val="00722FDB"/>
    <w:rsid w:val="00723FCF"/>
    <w:rsid w:val="007253BD"/>
    <w:rsid w:val="00725AD2"/>
    <w:rsid w:val="00725C77"/>
    <w:rsid w:val="007277BE"/>
    <w:rsid w:val="00727FD0"/>
    <w:rsid w:val="0073063D"/>
    <w:rsid w:val="00731702"/>
    <w:rsid w:val="00731974"/>
    <w:rsid w:val="0073307B"/>
    <w:rsid w:val="00736B34"/>
    <w:rsid w:val="00737820"/>
    <w:rsid w:val="00740ED1"/>
    <w:rsid w:val="00741B56"/>
    <w:rsid w:val="007427AD"/>
    <w:rsid w:val="00742AF7"/>
    <w:rsid w:val="00743EDA"/>
    <w:rsid w:val="00745199"/>
    <w:rsid w:val="00745363"/>
    <w:rsid w:val="00745592"/>
    <w:rsid w:val="00745698"/>
    <w:rsid w:val="0075155D"/>
    <w:rsid w:val="007524D8"/>
    <w:rsid w:val="007549A2"/>
    <w:rsid w:val="00756E3B"/>
    <w:rsid w:val="007578E1"/>
    <w:rsid w:val="00757F3A"/>
    <w:rsid w:val="00757FC4"/>
    <w:rsid w:val="0076018C"/>
    <w:rsid w:val="00761333"/>
    <w:rsid w:val="007629B0"/>
    <w:rsid w:val="0076443D"/>
    <w:rsid w:val="007648D6"/>
    <w:rsid w:val="00764EE4"/>
    <w:rsid w:val="00765F3B"/>
    <w:rsid w:val="00767071"/>
    <w:rsid w:val="00767930"/>
    <w:rsid w:val="00770907"/>
    <w:rsid w:val="00770EDF"/>
    <w:rsid w:val="007749F6"/>
    <w:rsid w:val="007760B6"/>
    <w:rsid w:val="007775DF"/>
    <w:rsid w:val="007824C4"/>
    <w:rsid w:val="0078399A"/>
    <w:rsid w:val="00783D60"/>
    <w:rsid w:val="00784A54"/>
    <w:rsid w:val="00787736"/>
    <w:rsid w:val="0079011F"/>
    <w:rsid w:val="00790722"/>
    <w:rsid w:val="00790B9C"/>
    <w:rsid w:val="0079179C"/>
    <w:rsid w:val="00791FC2"/>
    <w:rsid w:val="00794567"/>
    <w:rsid w:val="007948F9"/>
    <w:rsid w:val="007A0889"/>
    <w:rsid w:val="007A0E3C"/>
    <w:rsid w:val="007A1E7C"/>
    <w:rsid w:val="007A2B53"/>
    <w:rsid w:val="007A4292"/>
    <w:rsid w:val="007A4EF9"/>
    <w:rsid w:val="007A51A7"/>
    <w:rsid w:val="007A596B"/>
    <w:rsid w:val="007B3C6C"/>
    <w:rsid w:val="007B41ED"/>
    <w:rsid w:val="007B4EC7"/>
    <w:rsid w:val="007B642D"/>
    <w:rsid w:val="007B65E0"/>
    <w:rsid w:val="007B7C61"/>
    <w:rsid w:val="007C4B95"/>
    <w:rsid w:val="007C7EDD"/>
    <w:rsid w:val="007D1DBB"/>
    <w:rsid w:val="007D50B6"/>
    <w:rsid w:val="007D5917"/>
    <w:rsid w:val="007D67EF"/>
    <w:rsid w:val="007D77EB"/>
    <w:rsid w:val="007D7DC5"/>
    <w:rsid w:val="007E1806"/>
    <w:rsid w:val="007E1A52"/>
    <w:rsid w:val="007E1E28"/>
    <w:rsid w:val="007E228E"/>
    <w:rsid w:val="007E29EE"/>
    <w:rsid w:val="007E32A2"/>
    <w:rsid w:val="007E33B1"/>
    <w:rsid w:val="007E3CAA"/>
    <w:rsid w:val="007E7C7F"/>
    <w:rsid w:val="007F0B14"/>
    <w:rsid w:val="007F1CDE"/>
    <w:rsid w:val="007F7F08"/>
    <w:rsid w:val="0080052B"/>
    <w:rsid w:val="008005AC"/>
    <w:rsid w:val="00801553"/>
    <w:rsid w:val="008021E1"/>
    <w:rsid w:val="0080231E"/>
    <w:rsid w:val="008043B1"/>
    <w:rsid w:val="00807680"/>
    <w:rsid w:val="00807E90"/>
    <w:rsid w:val="00811ABB"/>
    <w:rsid w:val="008121E3"/>
    <w:rsid w:val="008137BC"/>
    <w:rsid w:val="00814771"/>
    <w:rsid w:val="00815867"/>
    <w:rsid w:val="00823884"/>
    <w:rsid w:val="00824DC9"/>
    <w:rsid w:val="00824FAE"/>
    <w:rsid w:val="008312B4"/>
    <w:rsid w:val="00831E90"/>
    <w:rsid w:val="00833B8D"/>
    <w:rsid w:val="00833E79"/>
    <w:rsid w:val="008369FD"/>
    <w:rsid w:val="008371B4"/>
    <w:rsid w:val="00840440"/>
    <w:rsid w:val="00841E04"/>
    <w:rsid w:val="00844819"/>
    <w:rsid w:val="00845500"/>
    <w:rsid w:val="00847BC6"/>
    <w:rsid w:val="00847E44"/>
    <w:rsid w:val="008503BC"/>
    <w:rsid w:val="008508B4"/>
    <w:rsid w:val="00853249"/>
    <w:rsid w:val="008535EF"/>
    <w:rsid w:val="0085508E"/>
    <w:rsid w:val="0085560C"/>
    <w:rsid w:val="00857BBB"/>
    <w:rsid w:val="00863683"/>
    <w:rsid w:val="008639AA"/>
    <w:rsid w:val="0086767F"/>
    <w:rsid w:val="0087030E"/>
    <w:rsid w:val="00870CDB"/>
    <w:rsid w:val="00871E1B"/>
    <w:rsid w:val="0087241E"/>
    <w:rsid w:val="008747B2"/>
    <w:rsid w:val="00875482"/>
    <w:rsid w:val="008754C2"/>
    <w:rsid w:val="008761F3"/>
    <w:rsid w:val="00877633"/>
    <w:rsid w:val="008811DA"/>
    <w:rsid w:val="008819E3"/>
    <w:rsid w:val="008821F9"/>
    <w:rsid w:val="0088297B"/>
    <w:rsid w:val="00884733"/>
    <w:rsid w:val="0088478A"/>
    <w:rsid w:val="00887990"/>
    <w:rsid w:val="0089036B"/>
    <w:rsid w:val="008932A0"/>
    <w:rsid w:val="00893CFB"/>
    <w:rsid w:val="0089472D"/>
    <w:rsid w:val="008948E6"/>
    <w:rsid w:val="00894FBE"/>
    <w:rsid w:val="008955BF"/>
    <w:rsid w:val="008A051F"/>
    <w:rsid w:val="008A2F65"/>
    <w:rsid w:val="008A4CC5"/>
    <w:rsid w:val="008A519C"/>
    <w:rsid w:val="008A69E1"/>
    <w:rsid w:val="008A6B66"/>
    <w:rsid w:val="008A7A00"/>
    <w:rsid w:val="008A7B8F"/>
    <w:rsid w:val="008B0297"/>
    <w:rsid w:val="008B03C1"/>
    <w:rsid w:val="008B2271"/>
    <w:rsid w:val="008B32EE"/>
    <w:rsid w:val="008B58E7"/>
    <w:rsid w:val="008C0B08"/>
    <w:rsid w:val="008C1283"/>
    <w:rsid w:val="008C15A1"/>
    <w:rsid w:val="008C1B27"/>
    <w:rsid w:val="008C67B9"/>
    <w:rsid w:val="008C7CB0"/>
    <w:rsid w:val="008D77BD"/>
    <w:rsid w:val="008D7E70"/>
    <w:rsid w:val="008E02FB"/>
    <w:rsid w:val="008E0B09"/>
    <w:rsid w:val="008E0D39"/>
    <w:rsid w:val="008E0EAF"/>
    <w:rsid w:val="008E1BBD"/>
    <w:rsid w:val="008E265A"/>
    <w:rsid w:val="008E2840"/>
    <w:rsid w:val="008E3844"/>
    <w:rsid w:val="008E4485"/>
    <w:rsid w:val="008E6DC5"/>
    <w:rsid w:val="008E72C2"/>
    <w:rsid w:val="008E75C7"/>
    <w:rsid w:val="008E76EA"/>
    <w:rsid w:val="008F0791"/>
    <w:rsid w:val="008F214D"/>
    <w:rsid w:val="008F245B"/>
    <w:rsid w:val="008F3C6D"/>
    <w:rsid w:val="008F4702"/>
    <w:rsid w:val="008F5F96"/>
    <w:rsid w:val="008F6194"/>
    <w:rsid w:val="008F771D"/>
    <w:rsid w:val="008F7931"/>
    <w:rsid w:val="0090267D"/>
    <w:rsid w:val="0090320B"/>
    <w:rsid w:val="00910942"/>
    <w:rsid w:val="00910CB8"/>
    <w:rsid w:val="00913F40"/>
    <w:rsid w:val="0091447C"/>
    <w:rsid w:val="00915D4C"/>
    <w:rsid w:val="0091745D"/>
    <w:rsid w:val="00921018"/>
    <w:rsid w:val="009220EA"/>
    <w:rsid w:val="00923190"/>
    <w:rsid w:val="009259A8"/>
    <w:rsid w:val="00926656"/>
    <w:rsid w:val="00926D3E"/>
    <w:rsid w:val="009329C0"/>
    <w:rsid w:val="00932B58"/>
    <w:rsid w:val="009339F6"/>
    <w:rsid w:val="00941CB6"/>
    <w:rsid w:val="00944DFF"/>
    <w:rsid w:val="009464EA"/>
    <w:rsid w:val="00947285"/>
    <w:rsid w:val="00947584"/>
    <w:rsid w:val="00947E5D"/>
    <w:rsid w:val="00952608"/>
    <w:rsid w:val="00952871"/>
    <w:rsid w:val="009528B1"/>
    <w:rsid w:val="00952E08"/>
    <w:rsid w:val="009537B8"/>
    <w:rsid w:val="00953E6A"/>
    <w:rsid w:val="00955865"/>
    <w:rsid w:val="00956193"/>
    <w:rsid w:val="0095619A"/>
    <w:rsid w:val="00956305"/>
    <w:rsid w:val="00956FF3"/>
    <w:rsid w:val="0095736A"/>
    <w:rsid w:val="00957386"/>
    <w:rsid w:val="009574D0"/>
    <w:rsid w:val="00962179"/>
    <w:rsid w:val="0096301B"/>
    <w:rsid w:val="00963DA7"/>
    <w:rsid w:val="009659DB"/>
    <w:rsid w:val="009665A2"/>
    <w:rsid w:val="009666CE"/>
    <w:rsid w:val="00966DD2"/>
    <w:rsid w:val="009678E4"/>
    <w:rsid w:val="00970E8F"/>
    <w:rsid w:val="00971C14"/>
    <w:rsid w:val="00973644"/>
    <w:rsid w:val="00973AD6"/>
    <w:rsid w:val="009746B2"/>
    <w:rsid w:val="0098268D"/>
    <w:rsid w:val="009850C7"/>
    <w:rsid w:val="00986EDB"/>
    <w:rsid w:val="009919EB"/>
    <w:rsid w:val="00993048"/>
    <w:rsid w:val="009935FC"/>
    <w:rsid w:val="00994275"/>
    <w:rsid w:val="009966CB"/>
    <w:rsid w:val="00997D4C"/>
    <w:rsid w:val="009A0923"/>
    <w:rsid w:val="009A0E65"/>
    <w:rsid w:val="009A1124"/>
    <w:rsid w:val="009A19AF"/>
    <w:rsid w:val="009A1B37"/>
    <w:rsid w:val="009A3845"/>
    <w:rsid w:val="009A5CF7"/>
    <w:rsid w:val="009A6C4B"/>
    <w:rsid w:val="009A6F5E"/>
    <w:rsid w:val="009A7936"/>
    <w:rsid w:val="009B14F0"/>
    <w:rsid w:val="009B180B"/>
    <w:rsid w:val="009B38E5"/>
    <w:rsid w:val="009B431F"/>
    <w:rsid w:val="009B7289"/>
    <w:rsid w:val="009C0BEE"/>
    <w:rsid w:val="009C2A06"/>
    <w:rsid w:val="009C2C22"/>
    <w:rsid w:val="009C3593"/>
    <w:rsid w:val="009C45DE"/>
    <w:rsid w:val="009C56CA"/>
    <w:rsid w:val="009C5DB1"/>
    <w:rsid w:val="009C6148"/>
    <w:rsid w:val="009C6BCC"/>
    <w:rsid w:val="009C6F0D"/>
    <w:rsid w:val="009C7652"/>
    <w:rsid w:val="009C771B"/>
    <w:rsid w:val="009C7956"/>
    <w:rsid w:val="009C7FDC"/>
    <w:rsid w:val="009D09D9"/>
    <w:rsid w:val="009D15A1"/>
    <w:rsid w:val="009D317A"/>
    <w:rsid w:val="009D4FD4"/>
    <w:rsid w:val="009D56ED"/>
    <w:rsid w:val="009D6231"/>
    <w:rsid w:val="009D6599"/>
    <w:rsid w:val="009D7267"/>
    <w:rsid w:val="009D7782"/>
    <w:rsid w:val="009E137B"/>
    <w:rsid w:val="009E2288"/>
    <w:rsid w:val="009E22D6"/>
    <w:rsid w:val="009E2CF7"/>
    <w:rsid w:val="009E3B72"/>
    <w:rsid w:val="009E45D0"/>
    <w:rsid w:val="009E482F"/>
    <w:rsid w:val="009E7BB5"/>
    <w:rsid w:val="009F40DA"/>
    <w:rsid w:val="009F4AD6"/>
    <w:rsid w:val="009F58E0"/>
    <w:rsid w:val="00A00B49"/>
    <w:rsid w:val="00A0209F"/>
    <w:rsid w:val="00A025A4"/>
    <w:rsid w:val="00A034CB"/>
    <w:rsid w:val="00A03D10"/>
    <w:rsid w:val="00A04C3F"/>
    <w:rsid w:val="00A10313"/>
    <w:rsid w:val="00A11A83"/>
    <w:rsid w:val="00A14F51"/>
    <w:rsid w:val="00A1501F"/>
    <w:rsid w:val="00A17ABF"/>
    <w:rsid w:val="00A20C44"/>
    <w:rsid w:val="00A242AD"/>
    <w:rsid w:val="00A24E13"/>
    <w:rsid w:val="00A26A72"/>
    <w:rsid w:val="00A309CC"/>
    <w:rsid w:val="00A31195"/>
    <w:rsid w:val="00A32B6F"/>
    <w:rsid w:val="00A33E39"/>
    <w:rsid w:val="00A348D4"/>
    <w:rsid w:val="00A34F0F"/>
    <w:rsid w:val="00A37ABA"/>
    <w:rsid w:val="00A41728"/>
    <w:rsid w:val="00A42096"/>
    <w:rsid w:val="00A421EC"/>
    <w:rsid w:val="00A42F80"/>
    <w:rsid w:val="00A4306D"/>
    <w:rsid w:val="00A45669"/>
    <w:rsid w:val="00A45D89"/>
    <w:rsid w:val="00A461F3"/>
    <w:rsid w:val="00A51065"/>
    <w:rsid w:val="00A5321F"/>
    <w:rsid w:val="00A53972"/>
    <w:rsid w:val="00A54B27"/>
    <w:rsid w:val="00A55659"/>
    <w:rsid w:val="00A564E0"/>
    <w:rsid w:val="00A5785B"/>
    <w:rsid w:val="00A57CD2"/>
    <w:rsid w:val="00A57FB4"/>
    <w:rsid w:val="00A60772"/>
    <w:rsid w:val="00A61856"/>
    <w:rsid w:val="00A626DB"/>
    <w:rsid w:val="00A62C9F"/>
    <w:rsid w:val="00A63AF2"/>
    <w:rsid w:val="00A6460C"/>
    <w:rsid w:val="00A649D2"/>
    <w:rsid w:val="00A6538A"/>
    <w:rsid w:val="00A65864"/>
    <w:rsid w:val="00A65C87"/>
    <w:rsid w:val="00A67454"/>
    <w:rsid w:val="00A703CD"/>
    <w:rsid w:val="00A70878"/>
    <w:rsid w:val="00A71A2B"/>
    <w:rsid w:val="00A73671"/>
    <w:rsid w:val="00A7504D"/>
    <w:rsid w:val="00A75906"/>
    <w:rsid w:val="00A75A81"/>
    <w:rsid w:val="00A76A15"/>
    <w:rsid w:val="00A77688"/>
    <w:rsid w:val="00A80997"/>
    <w:rsid w:val="00A8192D"/>
    <w:rsid w:val="00A822D3"/>
    <w:rsid w:val="00A84464"/>
    <w:rsid w:val="00A86D5F"/>
    <w:rsid w:val="00A86E79"/>
    <w:rsid w:val="00A87C8A"/>
    <w:rsid w:val="00A96184"/>
    <w:rsid w:val="00A9686B"/>
    <w:rsid w:val="00A96AB8"/>
    <w:rsid w:val="00A97B75"/>
    <w:rsid w:val="00A97E9D"/>
    <w:rsid w:val="00AA05BE"/>
    <w:rsid w:val="00AA3D16"/>
    <w:rsid w:val="00AA4D1A"/>
    <w:rsid w:val="00AA4D57"/>
    <w:rsid w:val="00AA5046"/>
    <w:rsid w:val="00AA69DB"/>
    <w:rsid w:val="00AB1A0E"/>
    <w:rsid w:val="00AB231C"/>
    <w:rsid w:val="00AB2C7D"/>
    <w:rsid w:val="00AB34E0"/>
    <w:rsid w:val="00AB4201"/>
    <w:rsid w:val="00AB4922"/>
    <w:rsid w:val="00AB626C"/>
    <w:rsid w:val="00AB75F5"/>
    <w:rsid w:val="00AC4496"/>
    <w:rsid w:val="00AD2368"/>
    <w:rsid w:val="00AD5C93"/>
    <w:rsid w:val="00AD6288"/>
    <w:rsid w:val="00AD7E31"/>
    <w:rsid w:val="00AE10E7"/>
    <w:rsid w:val="00AE265C"/>
    <w:rsid w:val="00AE5256"/>
    <w:rsid w:val="00AF08A2"/>
    <w:rsid w:val="00AF37A3"/>
    <w:rsid w:val="00AF59FE"/>
    <w:rsid w:val="00AF5C3D"/>
    <w:rsid w:val="00AF700C"/>
    <w:rsid w:val="00AF72E1"/>
    <w:rsid w:val="00B00373"/>
    <w:rsid w:val="00B0096A"/>
    <w:rsid w:val="00B04F0B"/>
    <w:rsid w:val="00B1043D"/>
    <w:rsid w:val="00B10677"/>
    <w:rsid w:val="00B1211F"/>
    <w:rsid w:val="00B13396"/>
    <w:rsid w:val="00B145FC"/>
    <w:rsid w:val="00B14678"/>
    <w:rsid w:val="00B1611A"/>
    <w:rsid w:val="00B16F7B"/>
    <w:rsid w:val="00B175C1"/>
    <w:rsid w:val="00B17A5D"/>
    <w:rsid w:val="00B21367"/>
    <w:rsid w:val="00B22740"/>
    <w:rsid w:val="00B276FD"/>
    <w:rsid w:val="00B27788"/>
    <w:rsid w:val="00B27DDD"/>
    <w:rsid w:val="00B30BDA"/>
    <w:rsid w:val="00B30DBF"/>
    <w:rsid w:val="00B31202"/>
    <w:rsid w:val="00B324C0"/>
    <w:rsid w:val="00B34BA5"/>
    <w:rsid w:val="00B35C1D"/>
    <w:rsid w:val="00B41D10"/>
    <w:rsid w:val="00B4407A"/>
    <w:rsid w:val="00B44AC1"/>
    <w:rsid w:val="00B460F1"/>
    <w:rsid w:val="00B4743E"/>
    <w:rsid w:val="00B47C3B"/>
    <w:rsid w:val="00B500DF"/>
    <w:rsid w:val="00B51560"/>
    <w:rsid w:val="00B522BD"/>
    <w:rsid w:val="00B52788"/>
    <w:rsid w:val="00B54CCC"/>
    <w:rsid w:val="00B55AAE"/>
    <w:rsid w:val="00B5690E"/>
    <w:rsid w:val="00B57FB5"/>
    <w:rsid w:val="00B600A3"/>
    <w:rsid w:val="00B63F4F"/>
    <w:rsid w:val="00B651DB"/>
    <w:rsid w:val="00B65DB9"/>
    <w:rsid w:val="00B65FDD"/>
    <w:rsid w:val="00B70195"/>
    <w:rsid w:val="00B70808"/>
    <w:rsid w:val="00B730AA"/>
    <w:rsid w:val="00B73A03"/>
    <w:rsid w:val="00B7452A"/>
    <w:rsid w:val="00B75A3E"/>
    <w:rsid w:val="00B77CC5"/>
    <w:rsid w:val="00B77DFC"/>
    <w:rsid w:val="00B80C50"/>
    <w:rsid w:val="00B841EF"/>
    <w:rsid w:val="00B85EFE"/>
    <w:rsid w:val="00B90BDB"/>
    <w:rsid w:val="00B91610"/>
    <w:rsid w:val="00B91B26"/>
    <w:rsid w:val="00B91B5B"/>
    <w:rsid w:val="00B92E0E"/>
    <w:rsid w:val="00B93098"/>
    <w:rsid w:val="00B943F5"/>
    <w:rsid w:val="00B947A2"/>
    <w:rsid w:val="00B94C22"/>
    <w:rsid w:val="00B94FBB"/>
    <w:rsid w:val="00B95104"/>
    <w:rsid w:val="00B95CEC"/>
    <w:rsid w:val="00B97761"/>
    <w:rsid w:val="00BA1675"/>
    <w:rsid w:val="00BA2B68"/>
    <w:rsid w:val="00BA4102"/>
    <w:rsid w:val="00BA48B3"/>
    <w:rsid w:val="00BA4A62"/>
    <w:rsid w:val="00BA4FEA"/>
    <w:rsid w:val="00BA655E"/>
    <w:rsid w:val="00BA6F06"/>
    <w:rsid w:val="00BB0223"/>
    <w:rsid w:val="00BB2C64"/>
    <w:rsid w:val="00BB5087"/>
    <w:rsid w:val="00BB50F0"/>
    <w:rsid w:val="00BB5C2E"/>
    <w:rsid w:val="00BB6742"/>
    <w:rsid w:val="00BB75EE"/>
    <w:rsid w:val="00BB7A5D"/>
    <w:rsid w:val="00BC02FF"/>
    <w:rsid w:val="00BC0CC7"/>
    <w:rsid w:val="00BC2B9D"/>
    <w:rsid w:val="00BC3E9B"/>
    <w:rsid w:val="00BC410E"/>
    <w:rsid w:val="00BC49EA"/>
    <w:rsid w:val="00BC5243"/>
    <w:rsid w:val="00BC53F8"/>
    <w:rsid w:val="00BC7AB9"/>
    <w:rsid w:val="00BD105B"/>
    <w:rsid w:val="00BD1C19"/>
    <w:rsid w:val="00BD7AED"/>
    <w:rsid w:val="00BD7CA4"/>
    <w:rsid w:val="00BE03A8"/>
    <w:rsid w:val="00BE05E6"/>
    <w:rsid w:val="00BE1D82"/>
    <w:rsid w:val="00BE21E4"/>
    <w:rsid w:val="00BE36CB"/>
    <w:rsid w:val="00BF094D"/>
    <w:rsid w:val="00BF126A"/>
    <w:rsid w:val="00BF1FF3"/>
    <w:rsid w:val="00BF21F0"/>
    <w:rsid w:val="00BF36FB"/>
    <w:rsid w:val="00BF46A1"/>
    <w:rsid w:val="00BF4D87"/>
    <w:rsid w:val="00BF6296"/>
    <w:rsid w:val="00C0234A"/>
    <w:rsid w:val="00C03692"/>
    <w:rsid w:val="00C056B2"/>
    <w:rsid w:val="00C06383"/>
    <w:rsid w:val="00C07562"/>
    <w:rsid w:val="00C128F8"/>
    <w:rsid w:val="00C130DD"/>
    <w:rsid w:val="00C13CE3"/>
    <w:rsid w:val="00C145CC"/>
    <w:rsid w:val="00C15173"/>
    <w:rsid w:val="00C21046"/>
    <w:rsid w:val="00C22C3A"/>
    <w:rsid w:val="00C233FA"/>
    <w:rsid w:val="00C23714"/>
    <w:rsid w:val="00C26FCE"/>
    <w:rsid w:val="00C317D9"/>
    <w:rsid w:val="00C325EA"/>
    <w:rsid w:val="00C3292C"/>
    <w:rsid w:val="00C336A4"/>
    <w:rsid w:val="00C344B1"/>
    <w:rsid w:val="00C351BD"/>
    <w:rsid w:val="00C41209"/>
    <w:rsid w:val="00C41749"/>
    <w:rsid w:val="00C418CD"/>
    <w:rsid w:val="00C4382C"/>
    <w:rsid w:val="00C44028"/>
    <w:rsid w:val="00C44582"/>
    <w:rsid w:val="00C44B90"/>
    <w:rsid w:val="00C461F5"/>
    <w:rsid w:val="00C46E91"/>
    <w:rsid w:val="00C47136"/>
    <w:rsid w:val="00C50E34"/>
    <w:rsid w:val="00C51916"/>
    <w:rsid w:val="00C52A1A"/>
    <w:rsid w:val="00C52EF6"/>
    <w:rsid w:val="00C54C82"/>
    <w:rsid w:val="00C5531B"/>
    <w:rsid w:val="00C554A4"/>
    <w:rsid w:val="00C5595D"/>
    <w:rsid w:val="00C57262"/>
    <w:rsid w:val="00C61066"/>
    <w:rsid w:val="00C61772"/>
    <w:rsid w:val="00C638E0"/>
    <w:rsid w:val="00C6544E"/>
    <w:rsid w:val="00C660E1"/>
    <w:rsid w:val="00C66919"/>
    <w:rsid w:val="00C70F98"/>
    <w:rsid w:val="00C7101F"/>
    <w:rsid w:val="00C7172D"/>
    <w:rsid w:val="00C71D39"/>
    <w:rsid w:val="00C759EA"/>
    <w:rsid w:val="00C7713D"/>
    <w:rsid w:val="00C77185"/>
    <w:rsid w:val="00C80122"/>
    <w:rsid w:val="00C812D4"/>
    <w:rsid w:val="00C81B6E"/>
    <w:rsid w:val="00C82B2C"/>
    <w:rsid w:val="00C83065"/>
    <w:rsid w:val="00C84190"/>
    <w:rsid w:val="00C85AC0"/>
    <w:rsid w:val="00C87F18"/>
    <w:rsid w:val="00C87FBF"/>
    <w:rsid w:val="00C925FE"/>
    <w:rsid w:val="00C93E66"/>
    <w:rsid w:val="00C93EC0"/>
    <w:rsid w:val="00C96643"/>
    <w:rsid w:val="00C96E9A"/>
    <w:rsid w:val="00C97343"/>
    <w:rsid w:val="00C97E91"/>
    <w:rsid w:val="00CA000E"/>
    <w:rsid w:val="00CA042F"/>
    <w:rsid w:val="00CA2560"/>
    <w:rsid w:val="00CA402C"/>
    <w:rsid w:val="00CA5B0E"/>
    <w:rsid w:val="00CA6104"/>
    <w:rsid w:val="00CA6DA5"/>
    <w:rsid w:val="00CA7DD5"/>
    <w:rsid w:val="00CB0DF6"/>
    <w:rsid w:val="00CB2AF3"/>
    <w:rsid w:val="00CB2CF8"/>
    <w:rsid w:val="00CB5D56"/>
    <w:rsid w:val="00CB62B3"/>
    <w:rsid w:val="00CB7BD1"/>
    <w:rsid w:val="00CC00D9"/>
    <w:rsid w:val="00CC0483"/>
    <w:rsid w:val="00CC1F5B"/>
    <w:rsid w:val="00CC2A43"/>
    <w:rsid w:val="00CC2D62"/>
    <w:rsid w:val="00CC2E8F"/>
    <w:rsid w:val="00CC3AAC"/>
    <w:rsid w:val="00CC4869"/>
    <w:rsid w:val="00CC6432"/>
    <w:rsid w:val="00CC798C"/>
    <w:rsid w:val="00CD0C3C"/>
    <w:rsid w:val="00CD554E"/>
    <w:rsid w:val="00CD5B95"/>
    <w:rsid w:val="00CD65CA"/>
    <w:rsid w:val="00CE04B6"/>
    <w:rsid w:val="00CE0612"/>
    <w:rsid w:val="00CE0644"/>
    <w:rsid w:val="00CE0E35"/>
    <w:rsid w:val="00CE1D83"/>
    <w:rsid w:val="00CE42C7"/>
    <w:rsid w:val="00CE43BC"/>
    <w:rsid w:val="00CE56C3"/>
    <w:rsid w:val="00CE59C6"/>
    <w:rsid w:val="00CE7A0C"/>
    <w:rsid w:val="00CF01C1"/>
    <w:rsid w:val="00CF06FE"/>
    <w:rsid w:val="00CF0CA6"/>
    <w:rsid w:val="00CF4E25"/>
    <w:rsid w:val="00CF4FDA"/>
    <w:rsid w:val="00CF505F"/>
    <w:rsid w:val="00CF50BF"/>
    <w:rsid w:val="00CF52F9"/>
    <w:rsid w:val="00CF7686"/>
    <w:rsid w:val="00D008F8"/>
    <w:rsid w:val="00D00A8F"/>
    <w:rsid w:val="00D0100F"/>
    <w:rsid w:val="00D02D34"/>
    <w:rsid w:val="00D02D7C"/>
    <w:rsid w:val="00D034F3"/>
    <w:rsid w:val="00D04757"/>
    <w:rsid w:val="00D04A41"/>
    <w:rsid w:val="00D05970"/>
    <w:rsid w:val="00D0654D"/>
    <w:rsid w:val="00D10280"/>
    <w:rsid w:val="00D10527"/>
    <w:rsid w:val="00D11433"/>
    <w:rsid w:val="00D120C4"/>
    <w:rsid w:val="00D133CB"/>
    <w:rsid w:val="00D16421"/>
    <w:rsid w:val="00D17B91"/>
    <w:rsid w:val="00D2010C"/>
    <w:rsid w:val="00D20E11"/>
    <w:rsid w:val="00D2106E"/>
    <w:rsid w:val="00D213C3"/>
    <w:rsid w:val="00D22765"/>
    <w:rsid w:val="00D22DD7"/>
    <w:rsid w:val="00D250A0"/>
    <w:rsid w:val="00D253EE"/>
    <w:rsid w:val="00D305E2"/>
    <w:rsid w:val="00D33126"/>
    <w:rsid w:val="00D33A9C"/>
    <w:rsid w:val="00D33CC0"/>
    <w:rsid w:val="00D34E3A"/>
    <w:rsid w:val="00D35AE0"/>
    <w:rsid w:val="00D40FED"/>
    <w:rsid w:val="00D44111"/>
    <w:rsid w:val="00D44B97"/>
    <w:rsid w:val="00D45F7C"/>
    <w:rsid w:val="00D46253"/>
    <w:rsid w:val="00D4699F"/>
    <w:rsid w:val="00D469A1"/>
    <w:rsid w:val="00D471A9"/>
    <w:rsid w:val="00D472C2"/>
    <w:rsid w:val="00D51ECC"/>
    <w:rsid w:val="00D525B1"/>
    <w:rsid w:val="00D535FC"/>
    <w:rsid w:val="00D5376F"/>
    <w:rsid w:val="00D55062"/>
    <w:rsid w:val="00D61DB9"/>
    <w:rsid w:val="00D63863"/>
    <w:rsid w:val="00D65092"/>
    <w:rsid w:val="00D676CC"/>
    <w:rsid w:val="00D70801"/>
    <w:rsid w:val="00D709CC"/>
    <w:rsid w:val="00D70A83"/>
    <w:rsid w:val="00D7550F"/>
    <w:rsid w:val="00D7565F"/>
    <w:rsid w:val="00D756B0"/>
    <w:rsid w:val="00D75880"/>
    <w:rsid w:val="00D76C57"/>
    <w:rsid w:val="00D803E6"/>
    <w:rsid w:val="00D80A22"/>
    <w:rsid w:val="00D81A42"/>
    <w:rsid w:val="00D8337A"/>
    <w:rsid w:val="00D84B62"/>
    <w:rsid w:val="00D85636"/>
    <w:rsid w:val="00D85BAD"/>
    <w:rsid w:val="00D85D67"/>
    <w:rsid w:val="00D94580"/>
    <w:rsid w:val="00D977E4"/>
    <w:rsid w:val="00DA1192"/>
    <w:rsid w:val="00DA2738"/>
    <w:rsid w:val="00DA29DD"/>
    <w:rsid w:val="00DA2A7D"/>
    <w:rsid w:val="00DA3AD0"/>
    <w:rsid w:val="00DA6054"/>
    <w:rsid w:val="00DB04C1"/>
    <w:rsid w:val="00DB0587"/>
    <w:rsid w:val="00DB15D5"/>
    <w:rsid w:val="00DB1E61"/>
    <w:rsid w:val="00DB1EBE"/>
    <w:rsid w:val="00DB45ED"/>
    <w:rsid w:val="00DC08CC"/>
    <w:rsid w:val="00DC2895"/>
    <w:rsid w:val="00DC4255"/>
    <w:rsid w:val="00DC79E1"/>
    <w:rsid w:val="00DD05BC"/>
    <w:rsid w:val="00DD1214"/>
    <w:rsid w:val="00DD1FEC"/>
    <w:rsid w:val="00DD30D5"/>
    <w:rsid w:val="00DD4182"/>
    <w:rsid w:val="00DD5556"/>
    <w:rsid w:val="00DD61A8"/>
    <w:rsid w:val="00DD7D8F"/>
    <w:rsid w:val="00DE0A82"/>
    <w:rsid w:val="00DE32AA"/>
    <w:rsid w:val="00DE36F5"/>
    <w:rsid w:val="00DE4DAD"/>
    <w:rsid w:val="00DE6806"/>
    <w:rsid w:val="00DE6EAB"/>
    <w:rsid w:val="00DF23EA"/>
    <w:rsid w:val="00DF36CD"/>
    <w:rsid w:val="00DF61B1"/>
    <w:rsid w:val="00DF655B"/>
    <w:rsid w:val="00DF6999"/>
    <w:rsid w:val="00E00C7C"/>
    <w:rsid w:val="00E00E35"/>
    <w:rsid w:val="00E05160"/>
    <w:rsid w:val="00E058EF"/>
    <w:rsid w:val="00E06C81"/>
    <w:rsid w:val="00E1179B"/>
    <w:rsid w:val="00E12066"/>
    <w:rsid w:val="00E125D9"/>
    <w:rsid w:val="00E14043"/>
    <w:rsid w:val="00E14516"/>
    <w:rsid w:val="00E154BD"/>
    <w:rsid w:val="00E2074A"/>
    <w:rsid w:val="00E20A84"/>
    <w:rsid w:val="00E20E6E"/>
    <w:rsid w:val="00E21992"/>
    <w:rsid w:val="00E23739"/>
    <w:rsid w:val="00E24771"/>
    <w:rsid w:val="00E24D37"/>
    <w:rsid w:val="00E33576"/>
    <w:rsid w:val="00E35681"/>
    <w:rsid w:val="00E40428"/>
    <w:rsid w:val="00E41326"/>
    <w:rsid w:val="00E43BEF"/>
    <w:rsid w:val="00E442E6"/>
    <w:rsid w:val="00E4482E"/>
    <w:rsid w:val="00E44BD3"/>
    <w:rsid w:val="00E44DA3"/>
    <w:rsid w:val="00E455DF"/>
    <w:rsid w:val="00E465F5"/>
    <w:rsid w:val="00E46D44"/>
    <w:rsid w:val="00E47666"/>
    <w:rsid w:val="00E520C5"/>
    <w:rsid w:val="00E5473D"/>
    <w:rsid w:val="00E54BAF"/>
    <w:rsid w:val="00E559E5"/>
    <w:rsid w:val="00E56784"/>
    <w:rsid w:val="00E579AF"/>
    <w:rsid w:val="00E57AB4"/>
    <w:rsid w:val="00E6273D"/>
    <w:rsid w:val="00E62B41"/>
    <w:rsid w:val="00E63895"/>
    <w:rsid w:val="00E668E4"/>
    <w:rsid w:val="00E66D6C"/>
    <w:rsid w:val="00E701BD"/>
    <w:rsid w:val="00E724D0"/>
    <w:rsid w:val="00E72530"/>
    <w:rsid w:val="00E74053"/>
    <w:rsid w:val="00E74CF4"/>
    <w:rsid w:val="00E75DAD"/>
    <w:rsid w:val="00E765DF"/>
    <w:rsid w:val="00E774D7"/>
    <w:rsid w:val="00E80721"/>
    <w:rsid w:val="00E81572"/>
    <w:rsid w:val="00E81B72"/>
    <w:rsid w:val="00E82369"/>
    <w:rsid w:val="00E82873"/>
    <w:rsid w:val="00E84C96"/>
    <w:rsid w:val="00E86742"/>
    <w:rsid w:val="00E87B8D"/>
    <w:rsid w:val="00E93717"/>
    <w:rsid w:val="00E94A0F"/>
    <w:rsid w:val="00E953B3"/>
    <w:rsid w:val="00E96277"/>
    <w:rsid w:val="00E96EFE"/>
    <w:rsid w:val="00EA0144"/>
    <w:rsid w:val="00EA2AD5"/>
    <w:rsid w:val="00EA71D3"/>
    <w:rsid w:val="00EA7435"/>
    <w:rsid w:val="00EB0C3A"/>
    <w:rsid w:val="00EB1119"/>
    <w:rsid w:val="00EB1B5F"/>
    <w:rsid w:val="00EB3961"/>
    <w:rsid w:val="00EB5675"/>
    <w:rsid w:val="00EB5B4D"/>
    <w:rsid w:val="00EB5C1A"/>
    <w:rsid w:val="00EB68F7"/>
    <w:rsid w:val="00EC01FF"/>
    <w:rsid w:val="00EC0CB5"/>
    <w:rsid w:val="00EC0CBF"/>
    <w:rsid w:val="00EC1197"/>
    <w:rsid w:val="00EC1511"/>
    <w:rsid w:val="00EC16CA"/>
    <w:rsid w:val="00EC175E"/>
    <w:rsid w:val="00EC2639"/>
    <w:rsid w:val="00EC6048"/>
    <w:rsid w:val="00EC794B"/>
    <w:rsid w:val="00ED038B"/>
    <w:rsid w:val="00ED0991"/>
    <w:rsid w:val="00ED133F"/>
    <w:rsid w:val="00ED4CFB"/>
    <w:rsid w:val="00ED628C"/>
    <w:rsid w:val="00ED6BD2"/>
    <w:rsid w:val="00ED7A89"/>
    <w:rsid w:val="00ED7F2B"/>
    <w:rsid w:val="00EE02AA"/>
    <w:rsid w:val="00EE3B67"/>
    <w:rsid w:val="00EE610D"/>
    <w:rsid w:val="00EE6B77"/>
    <w:rsid w:val="00EE7EFF"/>
    <w:rsid w:val="00EF3E9A"/>
    <w:rsid w:val="00EF5ABA"/>
    <w:rsid w:val="00EF63A6"/>
    <w:rsid w:val="00EF6B36"/>
    <w:rsid w:val="00EF74D1"/>
    <w:rsid w:val="00F004BD"/>
    <w:rsid w:val="00F00FD9"/>
    <w:rsid w:val="00F026F7"/>
    <w:rsid w:val="00F0297D"/>
    <w:rsid w:val="00F03503"/>
    <w:rsid w:val="00F035ED"/>
    <w:rsid w:val="00F05595"/>
    <w:rsid w:val="00F06445"/>
    <w:rsid w:val="00F075E8"/>
    <w:rsid w:val="00F12067"/>
    <w:rsid w:val="00F1245E"/>
    <w:rsid w:val="00F1402D"/>
    <w:rsid w:val="00F15FE6"/>
    <w:rsid w:val="00F17B6C"/>
    <w:rsid w:val="00F21B4C"/>
    <w:rsid w:val="00F2331D"/>
    <w:rsid w:val="00F23607"/>
    <w:rsid w:val="00F2739E"/>
    <w:rsid w:val="00F27B67"/>
    <w:rsid w:val="00F301DC"/>
    <w:rsid w:val="00F353FA"/>
    <w:rsid w:val="00F35FBA"/>
    <w:rsid w:val="00F40E24"/>
    <w:rsid w:val="00F414B1"/>
    <w:rsid w:val="00F4183B"/>
    <w:rsid w:val="00F427B7"/>
    <w:rsid w:val="00F45E03"/>
    <w:rsid w:val="00F46836"/>
    <w:rsid w:val="00F47559"/>
    <w:rsid w:val="00F51A16"/>
    <w:rsid w:val="00F51B10"/>
    <w:rsid w:val="00F5218D"/>
    <w:rsid w:val="00F52C4E"/>
    <w:rsid w:val="00F54684"/>
    <w:rsid w:val="00F5751E"/>
    <w:rsid w:val="00F57BF5"/>
    <w:rsid w:val="00F601AE"/>
    <w:rsid w:val="00F63A0F"/>
    <w:rsid w:val="00F64A5E"/>
    <w:rsid w:val="00F66E91"/>
    <w:rsid w:val="00F70ECB"/>
    <w:rsid w:val="00F70EE1"/>
    <w:rsid w:val="00F711BB"/>
    <w:rsid w:val="00F71488"/>
    <w:rsid w:val="00F716D3"/>
    <w:rsid w:val="00F71EBF"/>
    <w:rsid w:val="00F71F47"/>
    <w:rsid w:val="00F7227D"/>
    <w:rsid w:val="00F774B2"/>
    <w:rsid w:val="00F80560"/>
    <w:rsid w:val="00F8058A"/>
    <w:rsid w:val="00F81A01"/>
    <w:rsid w:val="00F846DE"/>
    <w:rsid w:val="00F86FD2"/>
    <w:rsid w:val="00F901D9"/>
    <w:rsid w:val="00F90E10"/>
    <w:rsid w:val="00F90EB9"/>
    <w:rsid w:val="00F91491"/>
    <w:rsid w:val="00F91570"/>
    <w:rsid w:val="00F9196A"/>
    <w:rsid w:val="00F946D9"/>
    <w:rsid w:val="00F94B2A"/>
    <w:rsid w:val="00F97BE2"/>
    <w:rsid w:val="00FA0956"/>
    <w:rsid w:val="00FA244A"/>
    <w:rsid w:val="00FA52F9"/>
    <w:rsid w:val="00FA57DB"/>
    <w:rsid w:val="00FA7236"/>
    <w:rsid w:val="00FA7508"/>
    <w:rsid w:val="00FB01C1"/>
    <w:rsid w:val="00FB1091"/>
    <w:rsid w:val="00FB3E9C"/>
    <w:rsid w:val="00FB5251"/>
    <w:rsid w:val="00FB543E"/>
    <w:rsid w:val="00FB5BA3"/>
    <w:rsid w:val="00FB79AF"/>
    <w:rsid w:val="00FC0C2D"/>
    <w:rsid w:val="00FC1678"/>
    <w:rsid w:val="00FC180B"/>
    <w:rsid w:val="00FC1F75"/>
    <w:rsid w:val="00FC259F"/>
    <w:rsid w:val="00FC28B7"/>
    <w:rsid w:val="00FC32D9"/>
    <w:rsid w:val="00FC414B"/>
    <w:rsid w:val="00FC6574"/>
    <w:rsid w:val="00FC6F0D"/>
    <w:rsid w:val="00FD00DD"/>
    <w:rsid w:val="00FD52EF"/>
    <w:rsid w:val="00FD748E"/>
    <w:rsid w:val="00FE0563"/>
    <w:rsid w:val="00FE18EF"/>
    <w:rsid w:val="00FE2122"/>
    <w:rsid w:val="00FE33D0"/>
    <w:rsid w:val="00FE4A9C"/>
    <w:rsid w:val="00FE650E"/>
    <w:rsid w:val="00FE789C"/>
    <w:rsid w:val="00FF3F0A"/>
    <w:rsid w:val="00FF41DC"/>
    <w:rsid w:val="00FF6BC5"/>
    <w:rsid w:val="00FF71D7"/>
    <w:rsid w:val="00FF7CC7"/>
    <w:rsid w:val="01616927"/>
    <w:rsid w:val="01722330"/>
    <w:rsid w:val="017C30F5"/>
    <w:rsid w:val="019B58B9"/>
    <w:rsid w:val="019C01BB"/>
    <w:rsid w:val="01AC43D5"/>
    <w:rsid w:val="02127457"/>
    <w:rsid w:val="021B161B"/>
    <w:rsid w:val="022B0E5C"/>
    <w:rsid w:val="02E46D6A"/>
    <w:rsid w:val="031F432E"/>
    <w:rsid w:val="038B0657"/>
    <w:rsid w:val="03912F41"/>
    <w:rsid w:val="03BD475F"/>
    <w:rsid w:val="03D13F17"/>
    <w:rsid w:val="044E2BE0"/>
    <w:rsid w:val="047563BF"/>
    <w:rsid w:val="047D2ACD"/>
    <w:rsid w:val="04860FD8"/>
    <w:rsid w:val="04AF604F"/>
    <w:rsid w:val="054F5218"/>
    <w:rsid w:val="057906A9"/>
    <w:rsid w:val="0591347E"/>
    <w:rsid w:val="05BB7A1D"/>
    <w:rsid w:val="05D06302"/>
    <w:rsid w:val="05FD02C2"/>
    <w:rsid w:val="06450013"/>
    <w:rsid w:val="064918B1"/>
    <w:rsid w:val="06DA075B"/>
    <w:rsid w:val="06E11E39"/>
    <w:rsid w:val="06EE34B4"/>
    <w:rsid w:val="07D21D7A"/>
    <w:rsid w:val="081163FE"/>
    <w:rsid w:val="083A10B9"/>
    <w:rsid w:val="0844216B"/>
    <w:rsid w:val="08564759"/>
    <w:rsid w:val="09063A89"/>
    <w:rsid w:val="0911242E"/>
    <w:rsid w:val="093F343F"/>
    <w:rsid w:val="099142C2"/>
    <w:rsid w:val="09C14586"/>
    <w:rsid w:val="09E37F93"/>
    <w:rsid w:val="09F41CF4"/>
    <w:rsid w:val="0A003597"/>
    <w:rsid w:val="0A261F09"/>
    <w:rsid w:val="0A6071C9"/>
    <w:rsid w:val="0A851326"/>
    <w:rsid w:val="0A8F5D00"/>
    <w:rsid w:val="0A913826"/>
    <w:rsid w:val="0A9F23E7"/>
    <w:rsid w:val="0AE20526"/>
    <w:rsid w:val="0B34014B"/>
    <w:rsid w:val="0BAD3718"/>
    <w:rsid w:val="0BC1013B"/>
    <w:rsid w:val="0BD7170D"/>
    <w:rsid w:val="0C01678A"/>
    <w:rsid w:val="0C201306"/>
    <w:rsid w:val="0C3A5FD8"/>
    <w:rsid w:val="0C5B37F5"/>
    <w:rsid w:val="0C825C05"/>
    <w:rsid w:val="0CB018DF"/>
    <w:rsid w:val="0D0B2393"/>
    <w:rsid w:val="0D183BE6"/>
    <w:rsid w:val="0D3D1A44"/>
    <w:rsid w:val="0D954201"/>
    <w:rsid w:val="0DC65EDD"/>
    <w:rsid w:val="0DE3083D"/>
    <w:rsid w:val="0E211365"/>
    <w:rsid w:val="0E8339BC"/>
    <w:rsid w:val="0EB16993"/>
    <w:rsid w:val="0EB35913"/>
    <w:rsid w:val="0EF24E1E"/>
    <w:rsid w:val="0F41676A"/>
    <w:rsid w:val="0F444EAE"/>
    <w:rsid w:val="0FA259A5"/>
    <w:rsid w:val="0FE1743A"/>
    <w:rsid w:val="106122C9"/>
    <w:rsid w:val="10C2307D"/>
    <w:rsid w:val="10D0497D"/>
    <w:rsid w:val="10E33F9B"/>
    <w:rsid w:val="112C24FB"/>
    <w:rsid w:val="11416702"/>
    <w:rsid w:val="114322A7"/>
    <w:rsid w:val="11C01305"/>
    <w:rsid w:val="11C20F04"/>
    <w:rsid w:val="11F56D91"/>
    <w:rsid w:val="12D1335A"/>
    <w:rsid w:val="131B153F"/>
    <w:rsid w:val="13543F19"/>
    <w:rsid w:val="136A730B"/>
    <w:rsid w:val="13A00703"/>
    <w:rsid w:val="14384935"/>
    <w:rsid w:val="145A737F"/>
    <w:rsid w:val="149918F5"/>
    <w:rsid w:val="149A3C1F"/>
    <w:rsid w:val="14A72759"/>
    <w:rsid w:val="14B02BF7"/>
    <w:rsid w:val="14ED5E29"/>
    <w:rsid w:val="150A66AF"/>
    <w:rsid w:val="15610256"/>
    <w:rsid w:val="15A04A13"/>
    <w:rsid w:val="16924BAE"/>
    <w:rsid w:val="16AE50E3"/>
    <w:rsid w:val="16D00254"/>
    <w:rsid w:val="17792810"/>
    <w:rsid w:val="181161BD"/>
    <w:rsid w:val="18552337"/>
    <w:rsid w:val="1887378A"/>
    <w:rsid w:val="189F35B2"/>
    <w:rsid w:val="18CB43A7"/>
    <w:rsid w:val="18D45DCA"/>
    <w:rsid w:val="18EC56F3"/>
    <w:rsid w:val="19451849"/>
    <w:rsid w:val="19BC0290"/>
    <w:rsid w:val="19D33F9B"/>
    <w:rsid w:val="19E461E8"/>
    <w:rsid w:val="1A206975"/>
    <w:rsid w:val="1AC13CB4"/>
    <w:rsid w:val="1ACB2192"/>
    <w:rsid w:val="1AF057F3"/>
    <w:rsid w:val="1B185E54"/>
    <w:rsid w:val="1B2B0CE1"/>
    <w:rsid w:val="1B324BB2"/>
    <w:rsid w:val="1B617245"/>
    <w:rsid w:val="1B695AD4"/>
    <w:rsid w:val="1B915DE5"/>
    <w:rsid w:val="1B9B4505"/>
    <w:rsid w:val="1BA26BD9"/>
    <w:rsid w:val="1C692D13"/>
    <w:rsid w:val="1D0936F0"/>
    <w:rsid w:val="1D2C6B0C"/>
    <w:rsid w:val="1D3271A0"/>
    <w:rsid w:val="1DDB63AA"/>
    <w:rsid w:val="1DF94972"/>
    <w:rsid w:val="1E1427EA"/>
    <w:rsid w:val="1E1965DF"/>
    <w:rsid w:val="1E3D7AF5"/>
    <w:rsid w:val="1E3F52D2"/>
    <w:rsid w:val="1E707ECB"/>
    <w:rsid w:val="1EA008FF"/>
    <w:rsid w:val="1EB4156B"/>
    <w:rsid w:val="1ED0096A"/>
    <w:rsid w:val="1EDA5344"/>
    <w:rsid w:val="1F0028D1"/>
    <w:rsid w:val="1F1F3FD3"/>
    <w:rsid w:val="1F953961"/>
    <w:rsid w:val="1FBD26AB"/>
    <w:rsid w:val="1FDE70B6"/>
    <w:rsid w:val="205E7AB3"/>
    <w:rsid w:val="20643E32"/>
    <w:rsid w:val="209979CB"/>
    <w:rsid w:val="20E53905"/>
    <w:rsid w:val="20F87D04"/>
    <w:rsid w:val="2116462E"/>
    <w:rsid w:val="211A1A41"/>
    <w:rsid w:val="2146615C"/>
    <w:rsid w:val="215F4227"/>
    <w:rsid w:val="21624F56"/>
    <w:rsid w:val="21C97F2F"/>
    <w:rsid w:val="2298733B"/>
    <w:rsid w:val="229C4D78"/>
    <w:rsid w:val="22B1735A"/>
    <w:rsid w:val="22B20394"/>
    <w:rsid w:val="23005679"/>
    <w:rsid w:val="235C6CAA"/>
    <w:rsid w:val="2366364A"/>
    <w:rsid w:val="23684C01"/>
    <w:rsid w:val="23C860B3"/>
    <w:rsid w:val="23ED78C8"/>
    <w:rsid w:val="241A62CA"/>
    <w:rsid w:val="247950CD"/>
    <w:rsid w:val="24955B50"/>
    <w:rsid w:val="24B146F1"/>
    <w:rsid w:val="24B80EEA"/>
    <w:rsid w:val="2559428A"/>
    <w:rsid w:val="25594DB4"/>
    <w:rsid w:val="256A441E"/>
    <w:rsid w:val="258E1FB4"/>
    <w:rsid w:val="25B577B4"/>
    <w:rsid w:val="25C57008"/>
    <w:rsid w:val="26106136"/>
    <w:rsid w:val="26275AA8"/>
    <w:rsid w:val="268B6780"/>
    <w:rsid w:val="269F06B2"/>
    <w:rsid w:val="26C07E28"/>
    <w:rsid w:val="26DE13D8"/>
    <w:rsid w:val="28021016"/>
    <w:rsid w:val="28583657"/>
    <w:rsid w:val="28B44E58"/>
    <w:rsid w:val="2901798F"/>
    <w:rsid w:val="294736E9"/>
    <w:rsid w:val="29A52EFC"/>
    <w:rsid w:val="29AE5D4B"/>
    <w:rsid w:val="29E76254"/>
    <w:rsid w:val="2A160D25"/>
    <w:rsid w:val="2A1A06D3"/>
    <w:rsid w:val="2A2821C4"/>
    <w:rsid w:val="2A391AB9"/>
    <w:rsid w:val="2A3F39F4"/>
    <w:rsid w:val="2A471056"/>
    <w:rsid w:val="2AC464E3"/>
    <w:rsid w:val="2B1F34A3"/>
    <w:rsid w:val="2B275DB5"/>
    <w:rsid w:val="2B465C80"/>
    <w:rsid w:val="2B7A1FCD"/>
    <w:rsid w:val="2B9B289E"/>
    <w:rsid w:val="2BEB7E24"/>
    <w:rsid w:val="2C2B5431"/>
    <w:rsid w:val="2C2E20E8"/>
    <w:rsid w:val="2CB21867"/>
    <w:rsid w:val="2D8A6187"/>
    <w:rsid w:val="2DE735DA"/>
    <w:rsid w:val="2E382087"/>
    <w:rsid w:val="2E426A62"/>
    <w:rsid w:val="2E5C5D76"/>
    <w:rsid w:val="2E633B8E"/>
    <w:rsid w:val="2E76495E"/>
    <w:rsid w:val="2EB30810"/>
    <w:rsid w:val="2EE25C61"/>
    <w:rsid w:val="2F1E127D"/>
    <w:rsid w:val="2F6403BA"/>
    <w:rsid w:val="2F7F42EF"/>
    <w:rsid w:val="2FE36023"/>
    <w:rsid w:val="2FF02B05"/>
    <w:rsid w:val="2FFC25FA"/>
    <w:rsid w:val="301F34FF"/>
    <w:rsid w:val="30385E96"/>
    <w:rsid w:val="30D81900"/>
    <w:rsid w:val="30F32F2E"/>
    <w:rsid w:val="310426F5"/>
    <w:rsid w:val="31117213"/>
    <w:rsid w:val="31622267"/>
    <w:rsid w:val="31826C8E"/>
    <w:rsid w:val="31905D36"/>
    <w:rsid w:val="31D10829"/>
    <w:rsid w:val="31E247E4"/>
    <w:rsid w:val="31EF6F01"/>
    <w:rsid w:val="321E77E6"/>
    <w:rsid w:val="32244DFC"/>
    <w:rsid w:val="323223D1"/>
    <w:rsid w:val="324A2389"/>
    <w:rsid w:val="32F16AD7"/>
    <w:rsid w:val="33A61841"/>
    <w:rsid w:val="33C54FC4"/>
    <w:rsid w:val="33ED2723"/>
    <w:rsid w:val="34337579"/>
    <w:rsid w:val="344B5DBD"/>
    <w:rsid w:val="34533777"/>
    <w:rsid w:val="345C41E5"/>
    <w:rsid w:val="34941193"/>
    <w:rsid w:val="34CA155F"/>
    <w:rsid w:val="350D529A"/>
    <w:rsid w:val="35A46254"/>
    <w:rsid w:val="35D21729"/>
    <w:rsid w:val="365928D2"/>
    <w:rsid w:val="368D6CE8"/>
    <w:rsid w:val="36A07D35"/>
    <w:rsid w:val="36A26CA0"/>
    <w:rsid w:val="36B316D2"/>
    <w:rsid w:val="36BB5604"/>
    <w:rsid w:val="36D93043"/>
    <w:rsid w:val="370A4123"/>
    <w:rsid w:val="372F1B4E"/>
    <w:rsid w:val="375B6C9C"/>
    <w:rsid w:val="3783605E"/>
    <w:rsid w:val="37B95F2A"/>
    <w:rsid w:val="37E72E33"/>
    <w:rsid w:val="38D17394"/>
    <w:rsid w:val="38ED187C"/>
    <w:rsid w:val="39693062"/>
    <w:rsid w:val="3ABA1E05"/>
    <w:rsid w:val="3AC21333"/>
    <w:rsid w:val="3B8E32E7"/>
    <w:rsid w:val="3BA72425"/>
    <w:rsid w:val="3BA743A8"/>
    <w:rsid w:val="3BE006DD"/>
    <w:rsid w:val="3C0A791D"/>
    <w:rsid w:val="3C383B84"/>
    <w:rsid w:val="3C6267FB"/>
    <w:rsid w:val="3C9B1673"/>
    <w:rsid w:val="3CD04642"/>
    <w:rsid w:val="3CF60C9A"/>
    <w:rsid w:val="3D1F6542"/>
    <w:rsid w:val="3D766728"/>
    <w:rsid w:val="3D8577D3"/>
    <w:rsid w:val="3D8A5BA5"/>
    <w:rsid w:val="3D9F11C1"/>
    <w:rsid w:val="3E8B0418"/>
    <w:rsid w:val="3E9641AD"/>
    <w:rsid w:val="3E9F14AA"/>
    <w:rsid w:val="3EC314F9"/>
    <w:rsid w:val="3EC6244B"/>
    <w:rsid w:val="3EEF0540"/>
    <w:rsid w:val="3F310B59"/>
    <w:rsid w:val="3F3660CC"/>
    <w:rsid w:val="3F744DE8"/>
    <w:rsid w:val="3F93536F"/>
    <w:rsid w:val="3FA251FD"/>
    <w:rsid w:val="3FDB6D16"/>
    <w:rsid w:val="40195796"/>
    <w:rsid w:val="40617A18"/>
    <w:rsid w:val="406B3BF6"/>
    <w:rsid w:val="40B90226"/>
    <w:rsid w:val="41014646"/>
    <w:rsid w:val="41270041"/>
    <w:rsid w:val="41282C0A"/>
    <w:rsid w:val="41821C19"/>
    <w:rsid w:val="418C2076"/>
    <w:rsid w:val="41E33AEE"/>
    <w:rsid w:val="420B7727"/>
    <w:rsid w:val="42105716"/>
    <w:rsid w:val="42162288"/>
    <w:rsid w:val="42534D1E"/>
    <w:rsid w:val="42C2459A"/>
    <w:rsid w:val="4319254A"/>
    <w:rsid w:val="43656A9D"/>
    <w:rsid w:val="438945E6"/>
    <w:rsid w:val="438F36FC"/>
    <w:rsid w:val="43B65AD0"/>
    <w:rsid w:val="44446C38"/>
    <w:rsid w:val="44565E2A"/>
    <w:rsid w:val="44901E7E"/>
    <w:rsid w:val="44C2785B"/>
    <w:rsid w:val="451A4070"/>
    <w:rsid w:val="452151CC"/>
    <w:rsid w:val="45434497"/>
    <w:rsid w:val="4588255B"/>
    <w:rsid w:val="45EA7CB3"/>
    <w:rsid w:val="45F60406"/>
    <w:rsid w:val="462C7B1B"/>
    <w:rsid w:val="46651743"/>
    <w:rsid w:val="46767799"/>
    <w:rsid w:val="46AA2F9F"/>
    <w:rsid w:val="46B5206F"/>
    <w:rsid w:val="46CC43C2"/>
    <w:rsid w:val="46F327E2"/>
    <w:rsid w:val="471548BC"/>
    <w:rsid w:val="473210A0"/>
    <w:rsid w:val="476D46F8"/>
    <w:rsid w:val="4788756D"/>
    <w:rsid w:val="48220525"/>
    <w:rsid w:val="482C45B3"/>
    <w:rsid w:val="48360E73"/>
    <w:rsid w:val="485E6B79"/>
    <w:rsid w:val="4890058F"/>
    <w:rsid w:val="48912668"/>
    <w:rsid w:val="489A01DD"/>
    <w:rsid w:val="493B60C3"/>
    <w:rsid w:val="493C0826"/>
    <w:rsid w:val="49417F2F"/>
    <w:rsid w:val="4A153B26"/>
    <w:rsid w:val="4A185F6B"/>
    <w:rsid w:val="4A595408"/>
    <w:rsid w:val="4A746029"/>
    <w:rsid w:val="4A9C3BCC"/>
    <w:rsid w:val="4ADE69B0"/>
    <w:rsid w:val="4ADF76BB"/>
    <w:rsid w:val="4B296A00"/>
    <w:rsid w:val="4BBD0443"/>
    <w:rsid w:val="4BCF5981"/>
    <w:rsid w:val="4BD41D25"/>
    <w:rsid w:val="4C1A05F8"/>
    <w:rsid w:val="4C253789"/>
    <w:rsid w:val="4CA0731E"/>
    <w:rsid w:val="4CAE37E9"/>
    <w:rsid w:val="4CDE39A2"/>
    <w:rsid w:val="4CF03E01"/>
    <w:rsid w:val="4D21045F"/>
    <w:rsid w:val="4DBF7CD2"/>
    <w:rsid w:val="4DD454D1"/>
    <w:rsid w:val="4DF01BDF"/>
    <w:rsid w:val="4DF46F04"/>
    <w:rsid w:val="4E1A1F8D"/>
    <w:rsid w:val="4F1D2EA8"/>
    <w:rsid w:val="4F764366"/>
    <w:rsid w:val="500D0826"/>
    <w:rsid w:val="5035563B"/>
    <w:rsid w:val="50B47060"/>
    <w:rsid w:val="50BC224C"/>
    <w:rsid w:val="50D92DFE"/>
    <w:rsid w:val="510522A9"/>
    <w:rsid w:val="510819DD"/>
    <w:rsid w:val="5248208F"/>
    <w:rsid w:val="52AF20AD"/>
    <w:rsid w:val="52EB0768"/>
    <w:rsid w:val="538871F3"/>
    <w:rsid w:val="53B4545D"/>
    <w:rsid w:val="53DC38BE"/>
    <w:rsid w:val="54EC4AA0"/>
    <w:rsid w:val="550B04E3"/>
    <w:rsid w:val="552D0B4D"/>
    <w:rsid w:val="55362AB7"/>
    <w:rsid w:val="555A427E"/>
    <w:rsid w:val="557A1BAA"/>
    <w:rsid w:val="55BD4A9D"/>
    <w:rsid w:val="55DD6602"/>
    <w:rsid w:val="55FE3948"/>
    <w:rsid w:val="567D422C"/>
    <w:rsid w:val="5691205C"/>
    <w:rsid w:val="570A7387"/>
    <w:rsid w:val="571903F8"/>
    <w:rsid w:val="57E36310"/>
    <w:rsid w:val="57F311A7"/>
    <w:rsid w:val="582F6885"/>
    <w:rsid w:val="585A2A77"/>
    <w:rsid w:val="585E353C"/>
    <w:rsid w:val="58675193"/>
    <w:rsid w:val="587C29ED"/>
    <w:rsid w:val="587E29C7"/>
    <w:rsid w:val="58AB1524"/>
    <w:rsid w:val="58E457D1"/>
    <w:rsid w:val="58E4675B"/>
    <w:rsid w:val="58F509F1"/>
    <w:rsid w:val="59103067"/>
    <w:rsid w:val="59A452CE"/>
    <w:rsid w:val="59D57095"/>
    <w:rsid w:val="5A1243DA"/>
    <w:rsid w:val="5A274BDA"/>
    <w:rsid w:val="5A9403C9"/>
    <w:rsid w:val="5B201FCB"/>
    <w:rsid w:val="5B3E21DC"/>
    <w:rsid w:val="5B445318"/>
    <w:rsid w:val="5B524A14"/>
    <w:rsid w:val="5B8B2F47"/>
    <w:rsid w:val="5B955B74"/>
    <w:rsid w:val="5BA74225"/>
    <w:rsid w:val="5BC8419B"/>
    <w:rsid w:val="5BDB7A2A"/>
    <w:rsid w:val="5BEA4111"/>
    <w:rsid w:val="5BF07D28"/>
    <w:rsid w:val="5C392FF7"/>
    <w:rsid w:val="5C485468"/>
    <w:rsid w:val="5C8742D9"/>
    <w:rsid w:val="5C8B6616"/>
    <w:rsid w:val="5C98797B"/>
    <w:rsid w:val="5CBA7F88"/>
    <w:rsid w:val="5CC46711"/>
    <w:rsid w:val="5D153410"/>
    <w:rsid w:val="5D1A6C78"/>
    <w:rsid w:val="5D2116D4"/>
    <w:rsid w:val="5D417D61"/>
    <w:rsid w:val="5D8225EA"/>
    <w:rsid w:val="5D944135"/>
    <w:rsid w:val="5E3D712B"/>
    <w:rsid w:val="5E905CA9"/>
    <w:rsid w:val="5EBD15D3"/>
    <w:rsid w:val="5ECC4457"/>
    <w:rsid w:val="5F942D12"/>
    <w:rsid w:val="5FA024CF"/>
    <w:rsid w:val="5FA079E7"/>
    <w:rsid w:val="60275934"/>
    <w:rsid w:val="60787E25"/>
    <w:rsid w:val="608F5287"/>
    <w:rsid w:val="60B14ECE"/>
    <w:rsid w:val="61202383"/>
    <w:rsid w:val="61452399"/>
    <w:rsid w:val="615B67C7"/>
    <w:rsid w:val="617A1A94"/>
    <w:rsid w:val="618834CE"/>
    <w:rsid w:val="626A1B08"/>
    <w:rsid w:val="62881B3B"/>
    <w:rsid w:val="62895238"/>
    <w:rsid w:val="62A768B8"/>
    <w:rsid w:val="62B658C6"/>
    <w:rsid w:val="62F25ACE"/>
    <w:rsid w:val="62F6339C"/>
    <w:rsid w:val="63716192"/>
    <w:rsid w:val="63DB3D41"/>
    <w:rsid w:val="63EF49BB"/>
    <w:rsid w:val="64032214"/>
    <w:rsid w:val="64111246"/>
    <w:rsid w:val="64286012"/>
    <w:rsid w:val="644A1BF1"/>
    <w:rsid w:val="64836EB1"/>
    <w:rsid w:val="65273FDE"/>
    <w:rsid w:val="653F727C"/>
    <w:rsid w:val="66505A1D"/>
    <w:rsid w:val="6695787D"/>
    <w:rsid w:val="66A10559"/>
    <w:rsid w:val="67341C8A"/>
    <w:rsid w:val="67582877"/>
    <w:rsid w:val="67973525"/>
    <w:rsid w:val="679B09B6"/>
    <w:rsid w:val="67B93B15"/>
    <w:rsid w:val="67D75874"/>
    <w:rsid w:val="68077E0C"/>
    <w:rsid w:val="68462D8E"/>
    <w:rsid w:val="686578E5"/>
    <w:rsid w:val="68C67401"/>
    <w:rsid w:val="693A3227"/>
    <w:rsid w:val="694179CC"/>
    <w:rsid w:val="696F0B82"/>
    <w:rsid w:val="699A58EB"/>
    <w:rsid w:val="69FC3BAB"/>
    <w:rsid w:val="6A6107F2"/>
    <w:rsid w:val="6ABA73A5"/>
    <w:rsid w:val="6AF50F9A"/>
    <w:rsid w:val="6B077B5B"/>
    <w:rsid w:val="6B2F37E3"/>
    <w:rsid w:val="6B325FBE"/>
    <w:rsid w:val="6B5415A7"/>
    <w:rsid w:val="6B7F1E93"/>
    <w:rsid w:val="6B836DFD"/>
    <w:rsid w:val="6BA20565"/>
    <w:rsid w:val="6BC11098"/>
    <w:rsid w:val="6C3C0FDC"/>
    <w:rsid w:val="6C535248"/>
    <w:rsid w:val="6C5D623A"/>
    <w:rsid w:val="6C65042A"/>
    <w:rsid w:val="6C6D0B73"/>
    <w:rsid w:val="6C6F0830"/>
    <w:rsid w:val="6D1C037E"/>
    <w:rsid w:val="6D8C09C0"/>
    <w:rsid w:val="6DA75A12"/>
    <w:rsid w:val="6DB53834"/>
    <w:rsid w:val="6E053E87"/>
    <w:rsid w:val="6E144E55"/>
    <w:rsid w:val="6E1663CE"/>
    <w:rsid w:val="6E605946"/>
    <w:rsid w:val="6E6D0ECF"/>
    <w:rsid w:val="6E8B1784"/>
    <w:rsid w:val="6F115DB5"/>
    <w:rsid w:val="6F477AEC"/>
    <w:rsid w:val="70525E2A"/>
    <w:rsid w:val="707A176C"/>
    <w:rsid w:val="709C36D5"/>
    <w:rsid w:val="70BC1559"/>
    <w:rsid w:val="70F84783"/>
    <w:rsid w:val="70F93DF9"/>
    <w:rsid w:val="711150F5"/>
    <w:rsid w:val="716B13F9"/>
    <w:rsid w:val="718F2649"/>
    <w:rsid w:val="71A67164"/>
    <w:rsid w:val="71A71874"/>
    <w:rsid w:val="71F96B35"/>
    <w:rsid w:val="72E27499"/>
    <w:rsid w:val="730E7E7F"/>
    <w:rsid w:val="73261F61"/>
    <w:rsid w:val="738430F5"/>
    <w:rsid w:val="741D5696"/>
    <w:rsid w:val="742E6C09"/>
    <w:rsid w:val="74574DC8"/>
    <w:rsid w:val="74E04563"/>
    <w:rsid w:val="751F2220"/>
    <w:rsid w:val="75706FDE"/>
    <w:rsid w:val="758D7E0F"/>
    <w:rsid w:val="75BF14D2"/>
    <w:rsid w:val="75D15406"/>
    <w:rsid w:val="765B5E5D"/>
    <w:rsid w:val="765D4F59"/>
    <w:rsid w:val="767945B8"/>
    <w:rsid w:val="76E934EC"/>
    <w:rsid w:val="772C405D"/>
    <w:rsid w:val="77586F8D"/>
    <w:rsid w:val="779F07A2"/>
    <w:rsid w:val="78342545"/>
    <w:rsid w:val="784005E2"/>
    <w:rsid w:val="78DB1BC2"/>
    <w:rsid w:val="78DD2BDC"/>
    <w:rsid w:val="78EE4DE9"/>
    <w:rsid w:val="791F7D7C"/>
    <w:rsid w:val="7948012C"/>
    <w:rsid w:val="7A107F05"/>
    <w:rsid w:val="7A8A0B42"/>
    <w:rsid w:val="7AD26999"/>
    <w:rsid w:val="7B1F5E6F"/>
    <w:rsid w:val="7BC00AF6"/>
    <w:rsid w:val="7BE947A4"/>
    <w:rsid w:val="7C2B4108"/>
    <w:rsid w:val="7C5C6C38"/>
    <w:rsid w:val="7C7A6994"/>
    <w:rsid w:val="7CB225D2"/>
    <w:rsid w:val="7CEA2B6D"/>
    <w:rsid w:val="7D3D04D8"/>
    <w:rsid w:val="7D513857"/>
    <w:rsid w:val="7D650BE3"/>
    <w:rsid w:val="7D776A7C"/>
    <w:rsid w:val="7D7F0706"/>
    <w:rsid w:val="7D824484"/>
    <w:rsid w:val="7D953387"/>
    <w:rsid w:val="7DB14EB4"/>
    <w:rsid w:val="7DF04CE0"/>
    <w:rsid w:val="7E155908"/>
    <w:rsid w:val="7E2807D9"/>
    <w:rsid w:val="7E357016"/>
    <w:rsid w:val="7E584AB3"/>
    <w:rsid w:val="7EC81C39"/>
    <w:rsid w:val="7EF13C0E"/>
    <w:rsid w:val="7F0F7867"/>
    <w:rsid w:val="7F57609A"/>
    <w:rsid w:val="7F9E0BEB"/>
    <w:rsid w:val="7FF45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line="600" w:lineRule="exact"/>
      <w:ind w:firstLine="640" w:firstLineChars="200"/>
      <w:jc w:val="both"/>
    </w:pPr>
    <w:rPr>
      <w:rFonts w:ascii="Times New Roman" w:hAnsi="Times New Roman" w:eastAsia="仿宋_GB2312" w:cs="Times New Roman"/>
      <w:kern w:val="2"/>
      <w:sz w:val="32"/>
      <w:szCs w:val="22"/>
      <w:lang w:val="en-US" w:eastAsia="zh-CN" w:bidi="ar-SA"/>
    </w:rPr>
  </w:style>
  <w:style w:type="paragraph" w:styleId="2">
    <w:name w:val="heading 1"/>
    <w:next w:val="1"/>
    <w:link w:val="30"/>
    <w:autoRedefine/>
    <w:qFormat/>
    <w:uiPriority w:val="9"/>
    <w:pPr>
      <w:keepNext/>
      <w:keepLines/>
      <w:pageBreakBefore/>
      <w:spacing w:after="150" w:afterLines="150"/>
      <w:jc w:val="center"/>
      <w:outlineLvl w:val="0"/>
    </w:pPr>
    <w:rPr>
      <w:rFonts w:ascii="Arial Unicode MS" w:hAnsi="Arial Unicode MS" w:eastAsia="方正小标宋简体" w:cs="Times New Roman"/>
      <w:b/>
      <w:kern w:val="2"/>
      <w:sz w:val="36"/>
      <w:szCs w:val="22"/>
      <w:lang w:val="en-US" w:eastAsia="zh-CN" w:bidi="ar-SA"/>
    </w:rPr>
  </w:style>
  <w:style w:type="paragraph" w:styleId="3">
    <w:name w:val="heading 2"/>
    <w:next w:val="1"/>
    <w:link w:val="31"/>
    <w:autoRedefine/>
    <w:unhideWhenUsed/>
    <w:qFormat/>
    <w:uiPriority w:val="9"/>
    <w:pPr>
      <w:keepNext/>
      <w:keepLines/>
      <w:spacing w:before="20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32"/>
    <w:autoRedefine/>
    <w:unhideWhenUsed/>
    <w:qFormat/>
    <w:uiPriority w:val="9"/>
    <w:pPr>
      <w:widowControl w:val="0"/>
      <w:numPr>
        <w:ilvl w:val="0"/>
        <w:numId w:val="1"/>
      </w:numPr>
      <w:spacing w:line="600" w:lineRule="atLeast"/>
      <w:ind w:firstLineChars="0"/>
      <w:jc w:val="left"/>
      <w:outlineLvl w:val="2"/>
    </w:pPr>
    <w:rPr>
      <w:rFonts w:ascii="楷体" w:hAnsi="楷体" w:eastAsia="楷体"/>
    </w:rPr>
  </w:style>
  <w:style w:type="paragraph" w:styleId="6">
    <w:name w:val="heading 4"/>
    <w:basedOn w:val="1"/>
    <w:next w:val="1"/>
    <w:link w:val="33"/>
    <w:autoRedefine/>
    <w:unhideWhenUsed/>
    <w:qFormat/>
    <w:uiPriority w:val="9"/>
    <w:pPr>
      <w:ind w:firstLine="643"/>
      <w:outlineLvl w:val="3"/>
    </w:pPr>
    <w:rPr>
      <w:b/>
    </w:rPr>
  </w:style>
  <w:style w:type="paragraph" w:styleId="7">
    <w:name w:val="heading 5"/>
    <w:basedOn w:val="1"/>
    <w:next w:val="1"/>
    <w:link w:val="34"/>
    <w:autoRedefine/>
    <w:unhideWhenUsed/>
    <w:qFormat/>
    <w:uiPriority w:val="9"/>
    <w:pPr>
      <w:ind w:firstLine="0" w:firstLineChars="0"/>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autoRedefine/>
    <w:qFormat/>
    <w:uiPriority w:val="34"/>
    <w:pPr>
      <w:ind w:firstLine="420"/>
    </w:pPr>
  </w:style>
  <w:style w:type="paragraph" w:styleId="8">
    <w:name w:val="caption"/>
    <w:basedOn w:val="1"/>
    <w:next w:val="1"/>
    <w:autoRedefine/>
    <w:qFormat/>
    <w:uiPriority w:val="35"/>
    <w:pPr>
      <w:keepNext/>
      <w:widowControl w:val="0"/>
      <w:spacing w:line="560" w:lineRule="exact"/>
      <w:ind w:firstLine="0" w:firstLineChars="0"/>
      <w:jc w:val="center"/>
    </w:pPr>
    <w:rPr>
      <w:rFonts w:ascii="Calibri Light" w:hAnsi="Calibri Light" w:eastAsia="黑体" w:cs="宋体"/>
      <w:b/>
      <w:sz w:val="24"/>
      <w:szCs w:val="20"/>
    </w:rPr>
  </w:style>
  <w:style w:type="paragraph" w:styleId="9">
    <w:name w:val="annotation text"/>
    <w:basedOn w:val="1"/>
    <w:link w:val="40"/>
    <w:autoRedefine/>
    <w:unhideWhenUsed/>
    <w:qFormat/>
    <w:uiPriority w:val="99"/>
    <w:pPr>
      <w:widowControl w:val="0"/>
      <w:spacing w:line="360" w:lineRule="auto"/>
      <w:jc w:val="left"/>
    </w:pPr>
    <w:rPr>
      <w:rFonts w:ascii="宋体" w:hAnsi="宋体" w:eastAsia="宋体" w:cstheme="minorBidi"/>
    </w:rPr>
  </w:style>
  <w:style w:type="paragraph" w:styleId="10">
    <w:name w:val="Body Text"/>
    <w:basedOn w:val="1"/>
    <w:link w:val="50"/>
    <w:autoRedefine/>
    <w:unhideWhenUsed/>
    <w:qFormat/>
    <w:uiPriority w:val="99"/>
    <w:pPr>
      <w:spacing w:after="120"/>
    </w:pPr>
  </w:style>
  <w:style w:type="paragraph" w:styleId="11">
    <w:name w:val="toc 3"/>
    <w:basedOn w:val="1"/>
    <w:next w:val="1"/>
    <w:autoRedefine/>
    <w:unhideWhenUsed/>
    <w:qFormat/>
    <w:uiPriority w:val="39"/>
    <w:pPr>
      <w:adjustRightInd/>
      <w:snapToGrid/>
      <w:spacing w:after="100" w:line="259" w:lineRule="auto"/>
      <w:ind w:left="440" w:firstLine="0" w:firstLineChars="0"/>
      <w:jc w:val="left"/>
    </w:pPr>
    <w:rPr>
      <w:rFonts w:asciiTheme="minorHAnsi" w:hAnsiTheme="minorHAnsi" w:eastAsiaTheme="minorEastAsia"/>
      <w:kern w:val="0"/>
      <w:sz w:val="22"/>
    </w:rPr>
  </w:style>
  <w:style w:type="paragraph" w:styleId="12">
    <w:name w:val="Date"/>
    <w:basedOn w:val="1"/>
    <w:next w:val="1"/>
    <w:link w:val="39"/>
    <w:autoRedefine/>
    <w:semiHidden/>
    <w:unhideWhenUsed/>
    <w:qFormat/>
    <w:uiPriority w:val="99"/>
    <w:pPr>
      <w:widowControl w:val="0"/>
      <w:spacing w:line="360" w:lineRule="auto"/>
      <w:ind w:left="100" w:leftChars="2500"/>
    </w:pPr>
    <w:rPr>
      <w:rFonts w:ascii="宋体" w:hAnsi="宋体" w:eastAsia="宋体" w:cstheme="minorBidi"/>
    </w:rPr>
  </w:style>
  <w:style w:type="paragraph" w:styleId="13">
    <w:name w:val="Balloon Text"/>
    <w:basedOn w:val="1"/>
    <w:link w:val="42"/>
    <w:autoRedefine/>
    <w:semiHidden/>
    <w:unhideWhenUsed/>
    <w:qFormat/>
    <w:uiPriority w:val="99"/>
    <w:pPr>
      <w:widowControl w:val="0"/>
      <w:spacing w:line="240" w:lineRule="auto"/>
    </w:pPr>
    <w:rPr>
      <w:rFonts w:ascii="宋体" w:hAnsi="宋体" w:eastAsia="宋体" w:cstheme="minorBidi"/>
      <w:sz w:val="18"/>
      <w:szCs w:val="18"/>
    </w:rPr>
  </w:style>
  <w:style w:type="paragraph" w:styleId="14">
    <w:name w:val="footer"/>
    <w:basedOn w:val="1"/>
    <w:link w:val="37"/>
    <w:autoRedefine/>
    <w:unhideWhenUsed/>
    <w:qFormat/>
    <w:uiPriority w:val="99"/>
    <w:pPr>
      <w:tabs>
        <w:tab w:val="center" w:pos="4153"/>
        <w:tab w:val="right" w:pos="8306"/>
      </w:tabs>
      <w:spacing w:line="240" w:lineRule="auto"/>
    </w:pPr>
    <w:rPr>
      <w:sz w:val="18"/>
      <w:szCs w:val="18"/>
    </w:rPr>
  </w:style>
  <w:style w:type="paragraph" w:styleId="15">
    <w:name w:val="header"/>
    <w:basedOn w:val="1"/>
    <w:link w:val="36"/>
    <w:autoRedefine/>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6">
    <w:name w:val="toc 1"/>
    <w:basedOn w:val="1"/>
    <w:next w:val="1"/>
    <w:autoRedefine/>
    <w:qFormat/>
    <w:uiPriority w:val="39"/>
    <w:pPr>
      <w:spacing w:line="360" w:lineRule="auto"/>
      <w:ind w:firstLine="0" w:firstLineChars="0"/>
    </w:pPr>
    <w:rPr>
      <w:rFonts w:eastAsia="黑体"/>
    </w:rPr>
  </w:style>
  <w:style w:type="paragraph" w:styleId="17">
    <w:name w:val="toc 2"/>
    <w:basedOn w:val="1"/>
    <w:next w:val="1"/>
    <w:autoRedefine/>
    <w:qFormat/>
    <w:uiPriority w:val="39"/>
    <w:pPr>
      <w:spacing w:line="360" w:lineRule="auto"/>
      <w:jc w:val="left"/>
    </w:pPr>
  </w:style>
  <w:style w:type="paragraph" w:styleId="18">
    <w:name w:val="Normal (Web)"/>
    <w:basedOn w:val="1"/>
    <w:autoRedefine/>
    <w:semiHidden/>
    <w:unhideWhenUsed/>
    <w:qFormat/>
    <w:uiPriority w:val="99"/>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9">
    <w:name w:val="annotation subject"/>
    <w:basedOn w:val="9"/>
    <w:next w:val="9"/>
    <w:link w:val="41"/>
    <w:autoRedefine/>
    <w:semiHidden/>
    <w:unhideWhenUsed/>
    <w:qFormat/>
    <w:uiPriority w:val="99"/>
    <w:rPr>
      <w:b/>
      <w:bCs/>
    </w:rPr>
  </w:style>
  <w:style w:type="table" w:styleId="21">
    <w:name w:val="Table Grid"/>
    <w:basedOn w:val="2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22"/>
    <w:rPr>
      <w:b/>
      <w:bCs/>
    </w:rPr>
  </w:style>
  <w:style w:type="character" w:styleId="24">
    <w:name w:val="FollowedHyperlink"/>
    <w:basedOn w:val="22"/>
    <w:autoRedefine/>
    <w:semiHidden/>
    <w:unhideWhenUsed/>
    <w:qFormat/>
    <w:uiPriority w:val="99"/>
    <w:rPr>
      <w:color w:val="333333"/>
      <w:u w:val="none"/>
    </w:rPr>
  </w:style>
  <w:style w:type="character" w:styleId="25">
    <w:name w:val="Emphasis"/>
    <w:autoRedefine/>
    <w:qFormat/>
    <w:uiPriority w:val="20"/>
    <w:rPr>
      <w:rFonts w:ascii="楷体_GB2312" w:hAnsi="楷体" w:eastAsia="楷体_GB2312" w:cs="Times New Roman"/>
      <w:color w:val="auto"/>
    </w:rPr>
  </w:style>
  <w:style w:type="character" w:styleId="26">
    <w:name w:val="Hyperlink"/>
    <w:basedOn w:val="22"/>
    <w:autoRedefine/>
    <w:unhideWhenUsed/>
    <w:qFormat/>
    <w:uiPriority w:val="99"/>
    <w:rPr>
      <w:color w:val="0563C1" w:themeColor="hyperlink"/>
      <w:u w:val="single"/>
      <w14:textFill>
        <w14:solidFill>
          <w14:schemeClr w14:val="hlink"/>
        </w14:solidFill>
      </w14:textFill>
    </w:rPr>
  </w:style>
  <w:style w:type="character" w:styleId="27">
    <w:name w:val="annotation reference"/>
    <w:basedOn w:val="22"/>
    <w:autoRedefine/>
    <w:semiHidden/>
    <w:unhideWhenUsed/>
    <w:qFormat/>
    <w:uiPriority w:val="99"/>
    <w:rPr>
      <w:sz w:val="21"/>
      <w:szCs w:val="21"/>
    </w:rPr>
  </w:style>
  <w:style w:type="paragraph" w:customStyle="1" w:styleId="28">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9">
    <w:name w:val="TOC 标题1"/>
    <w:basedOn w:val="2"/>
    <w:next w:val="1"/>
    <w:autoRedefine/>
    <w:unhideWhenUsed/>
    <w:qFormat/>
    <w:uiPriority w:val="39"/>
    <w:pPr>
      <w:pageBreakBefore w:val="0"/>
      <w:spacing w:before="24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30">
    <w:name w:val="标题 1 字符"/>
    <w:link w:val="2"/>
    <w:autoRedefine/>
    <w:qFormat/>
    <w:uiPriority w:val="9"/>
    <w:rPr>
      <w:rFonts w:ascii="Arial Unicode MS" w:hAnsi="Arial Unicode MS" w:eastAsia="方正小标宋简体" w:cs="Times New Roman"/>
      <w:b/>
      <w:kern w:val="2"/>
      <w:sz w:val="36"/>
      <w:szCs w:val="22"/>
      <w:lang w:val="en-US" w:eastAsia="zh-CN" w:bidi="ar-SA"/>
    </w:rPr>
  </w:style>
  <w:style w:type="character" w:customStyle="1" w:styleId="31">
    <w:name w:val="标题 2 字符"/>
    <w:link w:val="3"/>
    <w:autoRedefine/>
    <w:qFormat/>
    <w:uiPriority w:val="9"/>
    <w:rPr>
      <w:rFonts w:ascii="黑体" w:hAnsi="黑体" w:eastAsia="黑体" w:cs="黑体"/>
      <w:color w:val="000000"/>
      <w:kern w:val="2"/>
      <w:sz w:val="32"/>
      <w:szCs w:val="22"/>
    </w:rPr>
  </w:style>
  <w:style w:type="character" w:customStyle="1" w:styleId="32">
    <w:name w:val="标题 3 字符"/>
    <w:link w:val="4"/>
    <w:autoRedefine/>
    <w:qFormat/>
    <w:uiPriority w:val="9"/>
    <w:rPr>
      <w:rFonts w:ascii="楷体" w:hAnsi="楷体" w:eastAsia="楷体"/>
      <w:kern w:val="2"/>
      <w:sz w:val="32"/>
      <w:szCs w:val="22"/>
    </w:rPr>
  </w:style>
  <w:style w:type="character" w:customStyle="1" w:styleId="33">
    <w:name w:val="标题 4 字符"/>
    <w:link w:val="6"/>
    <w:autoRedefine/>
    <w:qFormat/>
    <w:uiPriority w:val="9"/>
    <w:rPr>
      <w:rFonts w:ascii="仿宋" w:hAnsi="仿宋" w:eastAsia="仿宋_GB2312" w:cs="仿宋"/>
      <w:b/>
      <w:color w:val="000000"/>
      <w:sz w:val="32"/>
    </w:rPr>
  </w:style>
  <w:style w:type="character" w:customStyle="1" w:styleId="34">
    <w:name w:val="标题 5 字符"/>
    <w:basedOn w:val="22"/>
    <w:link w:val="7"/>
    <w:autoRedefine/>
    <w:qFormat/>
    <w:uiPriority w:val="9"/>
    <w:rPr>
      <w:rFonts w:ascii="仿宋" w:hAnsi="仿宋" w:eastAsia="仿宋_GB2312" w:cs="仿宋"/>
      <w:color w:val="000000"/>
      <w:sz w:val="32"/>
    </w:rPr>
  </w:style>
  <w:style w:type="table" w:customStyle="1" w:styleId="35">
    <w:name w:val="TableGrid"/>
    <w:autoRedefine/>
    <w:qFormat/>
    <w:uiPriority w:val="0"/>
    <w:tblPr>
      <w:tblCellMar>
        <w:top w:w="0" w:type="dxa"/>
        <w:left w:w="0" w:type="dxa"/>
        <w:bottom w:w="0" w:type="dxa"/>
        <w:right w:w="0" w:type="dxa"/>
      </w:tblCellMar>
    </w:tblPr>
  </w:style>
  <w:style w:type="character" w:customStyle="1" w:styleId="36">
    <w:name w:val="页眉 字符"/>
    <w:basedOn w:val="22"/>
    <w:link w:val="15"/>
    <w:autoRedefine/>
    <w:qFormat/>
    <w:uiPriority w:val="99"/>
    <w:rPr>
      <w:rFonts w:ascii="仿宋" w:hAnsi="仿宋" w:eastAsia="仿宋" w:cs="仿宋"/>
      <w:color w:val="000000"/>
      <w:sz w:val="18"/>
      <w:szCs w:val="18"/>
    </w:rPr>
  </w:style>
  <w:style w:type="character" w:customStyle="1" w:styleId="37">
    <w:name w:val="页脚 字符"/>
    <w:basedOn w:val="22"/>
    <w:link w:val="14"/>
    <w:autoRedefine/>
    <w:qFormat/>
    <w:uiPriority w:val="99"/>
    <w:rPr>
      <w:rFonts w:ascii="仿宋" w:hAnsi="仿宋" w:eastAsia="仿宋" w:cs="仿宋"/>
      <w:color w:val="000000"/>
      <w:sz w:val="18"/>
      <w:szCs w:val="18"/>
    </w:rPr>
  </w:style>
  <w:style w:type="character" w:customStyle="1" w:styleId="38">
    <w:name w:val="明显强调1"/>
    <w:basedOn w:val="22"/>
    <w:autoRedefine/>
    <w:qFormat/>
    <w:uiPriority w:val="21"/>
    <w:rPr>
      <w:i/>
      <w:iCs/>
      <w:color w:val="4472C4" w:themeColor="accent1"/>
      <w14:textFill>
        <w14:solidFill>
          <w14:schemeClr w14:val="accent1"/>
        </w14:solidFill>
      </w14:textFill>
    </w:rPr>
  </w:style>
  <w:style w:type="character" w:customStyle="1" w:styleId="39">
    <w:name w:val="日期 字符"/>
    <w:basedOn w:val="22"/>
    <w:link w:val="12"/>
    <w:autoRedefine/>
    <w:semiHidden/>
    <w:qFormat/>
    <w:uiPriority w:val="99"/>
    <w:rPr>
      <w:rFonts w:ascii="宋体" w:hAnsi="宋体" w:eastAsia="宋体"/>
      <w:sz w:val="28"/>
    </w:rPr>
  </w:style>
  <w:style w:type="character" w:customStyle="1" w:styleId="40">
    <w:name w:val="批注文字 字符"/>
    <w:basedOn w:val="22"/>
    <w:link w:val="9"/>
    <w:autoRedefine/>
    <w:qFormat/>
    <w:uiPriority w:val="99"/>
    <w:rPr>
      <w:rFonts w:ascii="宋体" w:hAnsi="宋体" w:eastAsia="宋体"/>
      <w:sz w:val="28"/>
    </w:rPr>
  </w:style>
  <w:style w:type="character" w:customStyle="1" w:styleId="41">
    <w:name w:val="批注主题 字符"/>
    <w:basedOn w:val="40"/>
    <w:link w:val="19"/>
    <w:autoRedefine/>
    <w:semiHidden/>
    <w:qFormat/>
    <w:uiPriority w:val="99"/>
    <w:rPr>
      <w:rFonts w:ascii="宋体" w:hAnsi="宋体" w:eastAsia="宋体"/>
      <w:b/>
      <w:bCs/>
      <w:sz w:val="28"/>
    </w:rPr>
  </w:style>
  <w:style w:type="character" w:customStyle="1" w:styleId="42">
    <w:name w:val="批注框文本 字符"/>
    <w:basedOn w:val="22"/>
    <w:link w:val="13"/>
    <w:autoRedefine/>
    <w:semiHidden/>
    <w:qFormat/>
    <w:uiPriority w:val="99"/>
    <w:rPr>
      <w:rFonts w:ascii="宋体" w:hAnsi="宋体" w:eastAsia="宋体"/>
      <w:sz w:val="18"/>
      <w:szCs w:val="18"/>
    </w:rPr>
  </w:style>
  <w:style w:type="paragraph" w:customStyle="1" w:styleId="43">
    <w:name w:val="TOC 标题111"/>
    <w:basedOn w:val="2"/>
    <w:next w:val="1"/>
    <w:autoRedefine/>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44">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5">
    <w:name w:val="附录表标题"/>
    <w:next w:val="1"/>
    <w:autoRedefine/>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46">
    <w:name w:val="段"/>
    <w:link w:val="4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7">
    <w:name w:val="段 Char Char"/>
    <w:link w:val="46"/>
    <w:autoRedefine/>
    <w:qFormat/>
    <w:uiPriority w:val="0"/>
    <w:rPr>
      <w:rFonts w:ascii="宋体" w:hAnsi="Times New Roman" w:eastAsia="宋体" w:cs="Times New Roman"/>
      <w:kern w:val="0"/>
      <w:szCs w:val="20"/>
    </w:rPr>
  </w:style>
  <w:style w:type="paragraph" w:customStyle="1" w:styleId="48">
    <w:name w:val="修订1"/>
    <w:autoRedefine/>
    <w:hidden/>
    <w:semiHidden/>
    <w:qFormat/>
    <w:uiPriority w:val="99"/>
    <w:rPr>
      <w:rFonts w:ascii="仿宋_GB2312" w:hAnsi="仿宋_GB2312" w:eastAsia="仿宋_GB2312" w:cstheme="minorBidi"/>
      <w:kern w:val="2"/>
      <w:sz w:val="32"/>
      <w:szCs w:val="22"/>
      <w:lang w:val="en-US" w:eastAsia="zh-CN" w:bidi="ar-SA"/>
    </w:rPr>
  </w:style>
  <w:style w:type="character" w:customStyle="1" w:styleId="49">
    <w:name w:val="明显强调11"/>
    <w:basedOn w:val="22"/>
    <w:autoRedefine/>
    <w:qFormat/>
    <w:uiPriority w:val="21"/>
    <w:rPr>
      <w:i/>
      <w:iCs/>
      <w:color w:val="4472C4" w:themeColor="accent1"/>
      <w14:textFill>
        <w14:solidFill>
          <w14:schemeClr w14:val="accent1"/>
        </w14:solidFill>
      </w14:textFill>
    </w:rPr>
  </w:style>
  <w:style w:type="character" w:customStyle="1" w:styleId="50">
    <w:name w:val="正文文本 字符"/>
    <w:basedOn w:val="22"/>
    <w:link w:val="10"/>
    <w:autoRedefine/>
    <w:qFormat/>
    <w:uiPriority w:val="99"/>
    <w:rPr>
      <w:rFonts w:ascii="仿宋" w:hAnsi="仿宋" w:eastAsia="仿宋_GB2312" w:cs="仿宋"/>
      <w:color w:val="000000"/>
      <w:sz w:val="32"/>
    </w:rPr>
  </w:style>
  <w:style w:type="paragraph" w:customStyle="1" w:styleId="51">
    <w:name w:val="县级国空说明正文"/>
    <w:basedOn w:val="1"/>
    <w:autoRedefine/>
    <w:qFormat/>
    <w:uiPriority w:val="0"/>
    <w:rPr>
      <w:rFonts w:ascii="宋体" w:hAnsi="宋体" w:eastAsia="宋体"/>
    </w:rPr>
  </w:style>
  <w:style w:type="paragraph" w:customStyle="1" w:styleId="52">
    <w:name w:val="文本"/>
    <w:basedOn w:val="1"/>
    <w:autoRedefine/>
    <w:qFormat/>
    <w:uiPriority w:val="0"/>
  </w:style>
  <w:style w:type="paragraph" w:customStyle="1" w:styleId="53">
    <w:name w:val="TOC 标题11"/>
    <w:basedOn w:val="2"/>
    <w:next w:val="1"/>
    <w:autoRedefine/>
    <w:unhideWhenUsed/>
    <w:qFormat/>
    <w:uiPriority w:val="39"/>
    <w:pPr>
      <w:spacing w:before="240" w:beforeLines="50" w:after="0" w:afterLines="50"/>
      <w:ind w:firstLine="200" w:firstLineChars="200"/>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54">
    <w:name w:val="修订11"/>
    <w:autoRedefine/>
    <w:hidden/>
    <w:semiHidden/>
    <w:qFormat/>
    <w:uiPriority w:val="99"/>
    <w:rPr>
      <w:rFonts w:ascii="仿宋_GB2312" w:hAnsi="仿宋_GB2312" w:eastAsia="仿宋_GB2312" w:cstheme="minorBidi"/>
      <w:kern w:val="2"/>
      <w:sz w:val="32"/>
      <w:szCs w:val="22"/>
      <w:lang w:val="en-US" w:eastAsia="zh-CN" w:bidi="ar-SA"/>
    </w:rPr>
  </w:style>
  <w:style w:type="paragraph" w:customStyle="1" w:styleId="55">
    <w:name w:val="msonormal"/>
    <w:basedOn w:val="1"/>
    <w:autoRedefine/>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56">
    <w:name w:val="font5"/>
    <w:basedOn w:val="1"/>
    <w:autoRedefine/>
    <w:qFormat/>
    <w:uiPriority w:val="0"/>
    <w:pPr>
      <w:spacing w:before="100" w:beforeAutospacing="1" w:after="100" w:afterAutospacing="1" w:line="240" w:lineRule="auto"/>
      <w:ind w:firstLine="0" w:firstLineChars="0"/>
      <w:jc w:val="left"/>
    </w:pPr>
    <w:rPr>
      <w:rFonts w:ascii="宋体" w:hAnsi="宋体" w:eastAsia="宋体" w:cs="宋体"/>
      <w:b/>
      <w:bCs/>
      <w:kern w:val="0"/>
      <w:sz w:val="22"/>
    </w:rPr>
  </w:style>
  <w:style w:type="paragraph" w:customStyle="1" w:styleId="57">
    <w:name w:val="font6"/>
    <w:basedOn w:val="1"/>
    <w:autoRedefine/>
    <w:qFormat/>
    <w:uiPriority w:val="0"/>
    <w:pPr>
      <w:spacing w:before="100" w:beforeAutospacing="1" w:after="100" w:afterAutospacing="1" w:line="240" w:lineRule="auto"/>
      <w:ind w:firstLine="0" w:firstLineChars="0"/>
      <w:jc w:val="left"/>
    </w:pPr>
    <w:rPr>
      <w:rFonts w:ascii="宋体" w:hAnsi="宋体" w:eastAsia="宋体" w:cs="宋体"/>
      <w:b/>
      <w:bCs/>
      <w:kern w:val="0"/>
      <w:sz w:val="21"/>
      <w:szCs w:val="21"/>
    </w:rPr>
  </w:style>
  <w:style w:type="paragraph" w:customStyle="1" w:styleId="58">
    <w:name w:val="font7"/>
    <w:basedOn w:val="1"/>
    <w:autoRedefine/>
    <w:qFormat/>
    <w:uiPriority w:val="0"/>
    <w:pPr>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59">
    <w:name w:val="xl65"/>
    <w:basedOn w:val="1"/>
    <w:autoRedefine/>
    <w:qFormat/>
    <w:uiPriority w:val="0"/>
    <w:pPr>
      <w:spacing w:before="10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0">
    <w:name w:val="xl66"/>
    <w:basedOn w:val="1"/>
    <w:autoRedefine/>
    <w:qFormat/>
    <w:uiPriority w:val="0"/>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1">
    <w:name w:val="xl67"/>
    <w:basedOn w:val="1"/>
    <w:autoRedefine/>
    <w:qFormat/>
    <w:uiPriority w:val="0"/>
    <w:pP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62">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63">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8"/>
      <w:szCs w:val="28"/>
    </w:rPr>
  </w:style>
  <w:style w:type="paragraph" w:customStyle="1" w:styleId="64">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65">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66">
    <w:name w:val="xl72"/>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8"/>
      <w:szCs w:val="28"/>
    </w:rPr>
  </w:style>
  <w:style w:type="paragraph" w:customStyle="1" w:styleId="67">
    <w:name w:val="xl73"/>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68">
    <w:name w:val="xl74"/>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69">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70">
    <w:name w:val="表名/图名"/>
    <w:basedOn w:val="8"/>
    <w:link w:val="71"/>
    <w:autoRedefine/>
    <w:qFormat/>
    <w:uiPriority w:val="0"/>
    <w:pPr>
      <w:keepNext w:val="0"/>
      <w:spacing w:line="240" w:lineRule="auto"/>
    </w:pPr>
    <w:rPr>
      <w:rFonts w:asciiTheme="majorHAnsi" w:hAnsiTheme="majorHAnsi" w:cstheme="majorBidi"/>
      <w:b w:val="0"/>
    </w:rPr>
  </w:style>
  <w:style w:type="character" w:customStyle="1" w:styleId="71">
    <w:name w:val="表名/图名 字符"/>
    <w:link w:val="70"/>
    <w:autoRedefine/>
    <w:qFormat/>
    <w:uiPriority w:val="0"/>
    <w:rPr>
      <w:rFonts w:eastAsia="黑体" w:asciiTheme="majorHAnsi" w:hAnsiTheme="majorHAnsi" w:cstheme="majorBidi"/>
      <w:sz w:val="24"/>
      <w:szCs w:val="20"/>
    </w:rPr>
  </w:style>
  <w:style w:type="paragraph" w:customStyle="1" w:styleId="72">
    <w:name w:val="表正文"/>
    <w:basedOn w:val="1"/>
    <w:autoRedefine/>
    <w:qFormat/>
    <w:uiPriority w:val="0"/>
    <w:pPr>
      <w:spacing w:line="240" w:lineRule="auto"/>
      <w:ind w:firstLine="0" w:firstLineChars="0"/>
      <w:jc w:val="center"/>
    </w:pPr>
    <w:rPr>
      <w:sz w:val="24"/>
      <w:szCs w:val="24"/>
    </w:rPr>
  </w:style>
  <w:style w:type="table" w:customStyle="1" w:styleId="73">
    <w:name w:val="Table Normal"/>
    <w:autoRedefine/>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paragraph" w:customStyle="1" w:styleId="74">
    <w:name w:val="Table Paragraph"/>
    <w:basedOn w:val="1"/>
    <w:autoRedefine/>
    <w:qFormat/>
    <w:uiPriority w:val="1"/>
    <w:pPr>
      <w:widowControl w:val="0"/>
      <w:autoSpaceDE w:val="0"/>
      <w:autoSpaceDN w:val="0"/>
      <w:spacing w:before="27" w:line="240" w:lineRule="auto"/>
      <w:ind w:firstLine="0" w:firstLineChars="0"/>
      <w:jc w:val="center"/>
    </w:pPr>
    <w:rPr>
      <w:rFonts w:ascii="黑体" w:hAnsi="黑体" w:eastAsia="黑体" w:cs="黑体"/>
      <w:kern w:val="0"/>
      <w:sz w:val="22"/>
      <w:lang w:val="zh-CN" w:bidi="zh-CN"/>
    </w:rPr>
  </w:style>
  <w:style w:type="character" w:customStyle="1" w:styleId="75">
    <w:name w:val="15"/>
    <w:basedOn w:val="22"/>
    <w:autoRedefine/>
    <w:qFormat/>
    <w:uiPriority w:val="0"/>
    <w:rPr>
      <w:rFonts w:hint="default" w:ascii="Times New Roman" w:hAnsi="Times New Roman" w:cs="Times New Roman"/>
    </w:rPr>
  </w:style>
  <w:style w:type="character" w:customStyle="1" w:styleId="76">
    <w:name w:val="10"/>
    <w:basedOn w:val="22"/>
    <w:autoRedefine/>
    <w:qFormat/>
    <w:uiPriority w:val="0"/>
    <w:rPr>
      <w:rFonts w:hint="default" w:ascii="Times New Roman" w:hAnsi="Times New Roman" w:cs="Times New Roman"/>
    </w:rPr>
  </w:style>
  <w:style w:type="paragraph" w:customStyle="1" w:styleId="77">
    <w:name w:val="专栏正文"/>
    <w:basedOn w:val="1"/>
    <w:link w:val="79"/>
    <w:autoRedefine/>
    <w:qFormat/>
    <w:uiPriority w:val="0"/>
    <w:pPr>
      <w:spacing w:line="500" w:lineRule="exact"/>
      <w:ind w:firstLine="0" w:firstLineChars="0"/>
      <w:jc w:val="center"/>
    </w:pPr>
    <w:rPr>
      <w:rFonts w:ascii="楷体_GB2312" w:cstheme="minorBidi"/>
      <w:sz w:val="24"/>
      <w:szCs w:val="20"/>
    </w:rPr>
  </w:style>
  <w:style w:type="paragraph" w:customStyle="1" w:styleId="78">
    <w:name w:val="专栏标题"/>
    <w:basedOn w:val="1"/>
    <w:link w:val="80"/>
    <w:autoRedefine/>
    <w:qFormat/>
    <w:uiPriority w:val="0"/>
    <w:pPr>
      <w:spacing w:line="240" w:lineRule="auto"/>
      <w:ind w:firstLine="0" w:firstLineChars="0"/>
      <w:jc w:val="center"/>
    </w:pPr>
    <w:rPr>
      <w:rFonts w:ascii="黑体" w:hAnsi="黑体" w:eastAsia="黑体"/>
      <w:bCs/>
      <w:sz w:val="30"/>
      <w:szCs w:val="30"/>
    </w:rPr>
  </w:style>
  <w:style w:type="character" w:customStyle="1" w:styleId="79">
    <w:name w:val="专栏正文 字符"/>
    <w:basedOn w:val="22"/>
    <w:link w:val="77"/>
    <w:autoRedefine/>
    <w:qFormat/>
    <w:uiPriority w:val="0"/>
    <w:rPr>
      <w:rFonts w:ascii="楷体_GB2312" w:eastAsia="仿宋_GB2312" w:cstheme="minorBidi"/>
      <w:kern w:val="2"/>
      <w:sz w:val="24"/>
    </w:rPr>
  </w:style>
  <w:style w:type="character" w:customStyle="1" w:styleId="80">
    <w:name w:val="专栏标题 字符"/>
    <w:basedOn w:val="22"/>
    <w:link w:val="78"/>
    <w:autoRedefine/>
    <w:qFormat/>
    <w:uiPriority w:val="0"/>
    <w:rPr>
      <w:rFonts w:ascii="黑体" w:hAnsi="黑体" w:eastAsia="黑体" w:cs="仿宋"/>
      <w:bCs/>
      <w:color w:val="000000"/>
      <w:kern w:val="2"/>
      <w:sz w:val="30"/>
      <w:szCs w:val="30"/>
    </w:rPr>
  </w:style>
  <w:style w:type="paragraph" w:customStyle="1" w:styleId="81">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2">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1"/>
      <w:szCs w:val="21"/>
    </w:rPr>
  </w:style>
  <w:style w:type="paragraph" w:customStyle="1" w:styleId="83">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1"/>
      <w:szCs w:val="21"/>
    </w:rPr>
  </w:style>
  <w:style w:type="paragraph" w:customStyle="1" w:styleId="84">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85">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86">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仿宋" w:cs="宋体"/>
      <w:kern w:val="0"/>
      <w:sz w:val="24"/>
      <w:szCs w:val="24"/>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仿宋" w:cs="宋体"/>
      <w:kern w:val="0"/>
      <w:sz w:val="24"/>
      <w:szCs w:val="24"/>
    </w:rPr>
  </w:style>
  <w:style w:type="paragraph" w:customStyle="1" w:styleId="89">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top"/>
    </w:pPr>
    <w:rPr>
      <w:rFonts w:eastAsia="仿宋" w:cs="宋体"/>
      <w:kern w:val="0"/>
      <w:sz w:val="24"/>
      <w:szCs w:val="24"/>
    </w:rPr>
  </w:style>
  <w:style w:type="paragraph" w:customStyle="1" w:styleId="90">
    <w:name w:val="xl8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pPr>
    <w:rPr>
      <w:rFonts w:eastAsia="仿宋" w:cs="宋体"/>
      <w:kern w:val="0"/>
      <w:sz w:val="24"/>
      <w:szCs w:val="24"/>
    </w:rPr>
  </w:style>
  <w:style w:type="paragraph" w:customStyle="1" w:styleId="91">
    <w:name w:val="xl8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2">
    <w:name w:val="xl87"/>
    <w:basedOn w:val="1"/>
    <w:autoRedefine/>
    <w:qFormat/>
    <w:uiPriority w:val="0"/>
    <w:pP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left"/>
    </w:pPr>
    <w:rPr>
      <w:rFonts w:eastAsia="仿宋" w:cs="宋体"/>
      <w:kern w:val="0"/>
      <w:sz w:val="24"/>
      <w:szCs w:val="24"/>
    </w:rPr>
  </w:style>
  <w:style w:type="paragraph" w:customStyle="1" w:styleId="94">
    <w:name w:val="WPSOffice手动目录 1"/>
    <w:autoRedefine/>
    <w:qFormat/>
    <w:uiPriority w:val="0"/>
    <w:rPr>
      <w:rFonts w:ascii="Times New Roman" w:hAnsi="Times New Roman" w:eastAsia="宋体" w:cs="Times New Roman"/>
      <w:lang w:val="en-US" w:eastAsia="zh-CN" w:bidi="ar-SA"/>
    </w:rPr>
  </w:style>
  <w:style w:type="paragraph" w:customStyle="1" w:styleId="95">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96">
    <w:name w:val="不明显强调1"/>
    <w:basedOn w:val="22"/>
    <w:qFormat/>
    <w:uiPriority w:val="19"/>
    <w:rPr>
      <w:rFonts w:ascii="黑体" w:hAnsi="黑体" w:eastAsia="黑体"/>
      <w:bCs/>
      <w:iCs/>
      <w:sz w:val="30"/>
      <w:szCs w:val="30"/>
    </w:rPr>
  </w:style>
  <w:style w:type="paragraph" w:customStyle="1" w:styleId="97">
    <w:name w:val="xl63"/>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b/>
      <w:bCs/>
      <w:kern w:val="0"/>
      <w:sz w:val="24"/>
      <w:szCs w:val="24"/>
    </w:rPr>
  </w:style>
  <w:style w:type="paragraph" w:customStyle="1" w:styleId="98">
    <w:name w:val="xl64"/>
    <w:basedOn w:val="1"/>
    <w:autoRedefine/>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宋体" w:cs="宋体"/>
      <w:kern w:val="0"/>
      <w:sz w:val="24"/>
      <w:szCs w:val="24"/>
    </w:rPr>
  </w:style>
  <w:style w:type="paragraph" w:customStyle="1" w:styleId="99">
    <w:name w:val="正文1"/>
    <w:basedOn w:val="1"/>
    <w:autoRedefine/>
    <w:qFormat/>
    <w:uiPriority w:val="0"/>
    <w:pPr>
      <w:autoSpaceDE w:val="0"/>
      <w:autoSpaceDN w:val="0"/>
      <w:adjustRightInd/>
      <w:snapToGrid/>
      <w:spacing w:line="240" w:lineRule="auto"/>
    </w:pPr>
    <w:rPr>
      <w:color w:val="000000" w:themeColor="text1"/>
      <w:kern w:val="0"/>
      <w:szCs w:val="32"/>
      <w14:textFill>
        <w14:solidFill>
          <w14:schemeClr w14:val="tx1"/>
        </w14:solidFill>
      </w14:textFill>
    </w:rPr>
  </w:style>
  <w:style w:type="paragraph" w:customStyle="1" w:styleId="100">
    <w:name w:val="条目最新"/>
    <w:basedOn w:val="4"/>
    <w:link w:val="101"/>
    <w:qFormat/>
    <w:uiPriority w:val="0"/>
    <w:pPr>
      <w:numPr>
        <w:numId w:val="2"/>
      </w:numPr>
      <w:tabs>
        <w:tab w:val="left" w:pos="360"/>
      </w:tabs>
      <w:adjustRightInd/>
      <w:snapToGrid/>
      <w:spacing w:before="50" w:beforeLines="50" w:after="50" w:afterLines="50"/>
    </w:pPr>
  </w:style>
  <w:style w:type="character" w:customStyle="1" w:styleId="101">
    <w:name w:val="条目最新 字符"/>
    <w:basedOn w:val="32"/>
    <w:link w:val="100"/>
    <w:qFormat/>
    <w:uiPriority w:val="0"/>
    <w:rPr>
      <w:rFonts w:ascii="楷体" w:hAnsi="楷体" w:eastAsia="楷体"/>
      <w:color w:val="000000"/>
      <w:kern w:val="2"/>
      <w:sz w:val="32"/>
      <w:szCs w:val="22"/>
    </w:rPr>
  </w:style>
  <w:style w:type="paragraph" w:customStyle="1" w:styleId="102">
    <w:name w:val="修订2"/>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3">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paragraph" w:customStyle="1" w:styleId="104">
    <w:name w:val="修订3"/>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5">
    <w:name w:val="修订4"/>
    <w:hidden/>
    <w:unhideWhenUsed/>
    <w:qFormat/>
    <w:uiPriority w:val="99"/>
    <w:rPr>
      <w:rFonts w:ascii="Times New Roman" w:hAnsi="Times New Roman" w:eastAsia="仿宋_GB2312" w:cs="Times New Roman"/>
      <w:kern w:val="2"/>
      <w:sz w:val="32"/>
      <w:szCs w:val="22"/>
      <w:lang w:val="en-US" w:eastAsia="zh-CN" w:bidi="ar-SA"/>
    </w:rPr>
  </w:style>
  <w:style w:type="paragraph" w:customStyle="1" w:styleId="106">
    <w:name w:val="Revision"/>
    <w:hidden/>
    <w:unhideWhenUsed/>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100</Pages>
  <Words>12275</Words>
  <Characters>13101</Characters>
  <Lines>376</Lines>
  <Paragraphs>105</Paragraphs>
  <TotalTime>0</TotalTime>
  <ScaleCrop>false</ScaleCrop>
  <LinksUpToDate>false</LinksUpToDate>
  <CharactersWithSpaces>13314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2024-12-16T06:28:00Z</dcterms:created>
  <dc:creator>JonMMx 2000</dc:creator>
  <cp:lastModifiedBy>杨起</cp:lastModifiedBy>
  <cp:lastPrinted>2025-08-07T10:01:00Z</cp:lastPrinted>
  <dcterms:modified xsi:type="dcterms:W3CDTF">2026-03-24T07:47:41Z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4718E726406B4B789828105E1700AD6D_13</vt:lpwstr>
  </property>
  <property fmtid="{D5CDD505-2E9C-101B-9397-08002B2CF9AE}" pid="4" name="KSOTemplateDocerSaveRecord">
    <vt:lpwstr>eyJoZGlkIjoiOGQzMDYwYTU2NDdjMDE1YjIxNmRiZGU2ZDFkZmVlNmYiLCJ1c2VySWQiOiIxNDkzNjE0MzUyIn0=</vt:lpwstr>
  </property>
</Properties>
</file>