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CF88B65">
      <w:pPr>
        <w:adjustRightInd/>
        <w:snapToGrid/>
        <w:spacing w:line="240" w:lineRule="auto"/>
        <w:ind w:firstLine="0" w:firstLineChars="0"/>
        <w:jc w:val="left"/>
      </w:pPr>
    </w:p>
    <w:p w14:paraId="66089E12">
      <w:pPr>
        <w:adjustRightInd/>
        <w:snapToGrid/>
        <w:spacing w:line="240" w:lineRule="auto"/>
        <w:ind w:firstLine="0" w:firstLineChars="0"/>
        <w:jc w:val="left"/>
      </w:pPr>
    </w:p>
    <w:p w14:paraId="73A50675">
      <w:pPr>
        <w:adjustRightInd/>
        <w:snapToGrid/>
        <w:spacing w:line="240" w:lineRule="auto"/>
        <w:ind w:firstLine="0" w:firstLineChars="0"/>
        <w:jc w:val="left"/>
      </w:pPr>
    </w:p>
    <w:p w14:paraId="1CF5A241">
      <w:pPr>
        <w:adjustRightInd/>
        <w:snapToGrid/>
        <w:spacing w:line="240" w:lineRule="auto"/>
        <w:ind w:firstLine="0" w:firstLineChars="0"/>
        <w:jc w:val="left"/>
      </w:pPr>
    </w:p>
    <w:p w14:paraId="165E52E2">
      <w:pPr>
        <w:adjustRightInd/>
        <w:snapToGrid/>
        <w:spacing w:line="240" w:lineRule="auto"/>
        <w:ind w:firstLine="0" w:firstLineChars="0"/>
        <w:jc w:val="left"/>
      </w:pPr>
    </w:p>
    <w:p w14:paraId="3B9E7594">
      <w:pPr>
        <w:adjustRightInd/>
        <w:snapToGrid/>
        <w:spacing w:line="240" w:lineRule="auto"/>
        <w:ind w:firstLine="0" w:firstLineChars="0"/>
        <w:jc w:val="left"/>
      </w:pPr>
    </w:p>
    <w:p w14:paraId="222FB5A3">
      <w:pPr>
        <w:widowControl w:val="0"/>
        <w:adjustRightInd/>
        <w:snapToGrid/>
        <w:spacing w:line="240" w:lineRule="auto"/>
        <w:ind w:firstLine="0" w:firstLineChars="0"/>
        <w:jc w:val="center"/>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桓仁满族自治县普乐堡镇</w:t>
      </w:r>
    </w:p>
    <w:p w14:paraId="49118190">
      <w:pPr>
        <w:widowControl w:val="0"/>
        <w:adjustRightInd/>
        <w:snapToGrid/>
        <w:spacing w:line="240" w:lineRule="auto"/>
        <w:ind w:firstLine="0" w:firstLineChars="0"/>
        <w:jc w:val="center"/>
        <w:rPr>
          <w:rFonts w:hint="eastAsia" w:ascii="方正小标宋_GBK" w:hAnsi="方正小标宋_GBK" w:eastAsia="方正小标宋_GBK" w:cs="方正小标宋_GBK"/>
          <w:sz w:val="52"/>
          <w:szCs w:val="52"/>
        </w:rPr>
      </w:pPr>
      <w:r>
        <w:rPr>
          <w:rFonts w:hint="eastAsia" w:ascii="方正小标宋_GBK" w:hAnsi="方正小标宋_GBK" w:eastAsia="方正小标宋_GBK" w:cs="方正小标宋_GBK"/>
          <w:sz w:val="52"/>
          <w:szCs w:val="52"/>
        </w:rPr>
        <w:t>国土空间总体规划</w:t>
      </w:r>
    </w:p>
    <w:p w14:paraId="3FA44023">
      <w:pPr>
        <w:widowControl w:val="0"/>
        <w:adjustRightInd/>
        <w:snapToGrid/>
        <w:spacing w:line="240" w:lineRule="auto"/>
        <w:ind w:firstLine="0" w:firstLineChars="0"/>
        <w:jc w:val="center"/>
        <w:rPr>
          <w:rFonts w:ascii="方正小标宋_GBK" w:eastAsia="方正小标宋_GBK"/>
          <w:sz w:val="52"/>
          <w:szCs w:val="52"/>
        </w:rPr>
      </w:pPr>
      <w:r>
        <w:rPr>
          <w:rFonts w:hint="eastAsia" w:ascii="方正小标宋_GBK" w:eastAsia="方正小标宋_GBK"/>
          <w:sz w:val="52"/>
          <w:szCs w:val="52"/>
        </w:rPr>
        <w:t>（</w:t>
      </w:r>
      <w:r>
        <w:rPr>
          <w:rFonts w:ascii="方正小标宋_GBK" w:eastAsia="方正小标宋_GBK"/>
          <w:sz w:val="52"/>
          <w:szCs w:val="52"/>
        </w:rPr>
        <w:t>2021-2035</w:t>
      </w:r>
      <w:r>
        <w:rPr>
          <w:rFonts w:hint="eastAsia" w:ascii="方正小标宋_GBK" w:eastAsia="方正小标宋_GBK"/>
          <w:sz w:val="52"/>
          <w:szCs w:val="52"/>
        </w:rPr>
        <w:t>年）</w:t>
      </w:r>
    </w:p>
    <w:p w14:paraId="1B3D5BDA">
      <w:pPr>
        <w:spacing w:line="240" w:lineRule="auto"/>
        <w:ind w:firstLine="0" w:firstLineChars="0"/>
        <w:jc w:val="center"/>
        <w:rPr>
          <w:rFonts w:hint="eastAsia" w:ascii="楷体_GB2312" w:hAnsi="楷体_GB2312" w:eastAsia="楷体_GB2312" w:cs="楷体_GB2312"/>
          <w:szCs w:val="36"/>
        </w:rPr>
      </w:pPr>
    </w:p>
    <w:p w14:paraId="1BF98B92">
      <w:pPr>
        <w:spacing w:line="240" w:lineRule="auto"/>
        <w:ind w:firstLine="0" w:firstLineChars="0"/>
        <w:jc w:val="center"/>
        <w:rPr>
          <w:rFonts w:hint="eastAsia" w:ascii="楷体_GB2312" w:hAnsi="楷体_GB2312" w:eastAsia="楷体_GB2312" w:cs="楷体_GB2312"/>
          <w:szCs w:val="36"/>
        </w:rPr>
      </w:pPr>
    </w:p>
    <w:p w14:paraId="4F6C1D8E">
      <w:pPr>
        <w:spacing w:line="240" w:lineRule="auto"/>
        <w:ind w:firstLine="0" w:firstLineChars="0"/>
        <w:jc w:val="center"/>
        <w:rPr>
          <w:rFonts w:hint="eastAsia" w:ascii="楷体_GB2312" w:hAnsi="楷体_GB2312" w:eastAsia="楷体_GB2312" w:cs="楷体_GB2312"/>
          <w:szCs w:val="36"/>
        </w:rPr>
      </w:pPr>
    </w:p>
    <w:p w14:paraId="01B6AF4D">
      <w:pPr>
        <w:spacing w:line="240" w:lineRule="auto"/>
        <w:ind w:firstLine="0" w:firstLineChars="0"/>
        <w:jc w:val="center"/>
        <w:rPr>
          <w:rFonts w:hint="eastAsia" w:ascii="楷体_GB2312" w:hAnsi="楷体_GB2312" w:eastAsia="楷体_GB2312" w:cs="楷体_GB2312"/>
          <w:szCs w:val="36"/>
        </w:rPr>
      </w:pPr>
    </w:p>
    <w:p w14:paraId="586FC0DD">
      <w:pPr>
        <w:spacing w:line="240" w:lineRule="auto"/>
        <w:ind w:firstLine="0" w:firstLineChars="0"/>
        <w:jc w:val="center"/>
        <w:rPr>
          <w:rFonts w:hint="eastAsia" w:ascii="楷体_GB2312" w:hAnsi="楷体_GB2312" w:eastAsia="楷体_GB2312" w:cs="楷体_GB2312"/>
          <w:szCs w:val="36"/>
        </w:rPr>
      </w:pPr>
    </w:p>
    <w:p w14:paraId="5246B85A">
      <w:pPr>
        <w:spacing w:line="240" w:lineRule="auto"/>
        <w:ind w:firstLine="0" w:firstLineChars="0"/>
        <w:jc w:val="center"/>
        <w:rPr>
          <w:rFonts w:hint="eastAsia" w:ascii="楷体_GB2312" w:hAnsi="楷体_GB2312" w:eastAsia="楷体_GB2312" w:cs="楷体_GB2312"/>
          <w:szCs w:val="36"/>
        </w:rPr>
      </w:pPr>
    </w:p>
    <w:p w14:paraId="7E1B2BE9">
      <w:pPr>
        <w:spacing w:line="240" w:lineRule="auto"/>
        <w:ind w:firstLine="0" w:firstLineChars="0"/>
        <w:jc w:val="center"/>
        <w:rPr>
          <w:rFonts w:hint="eastAsia" w:ascii="楷体_GB2312" w:hAnsi="楷体_GB2312" w:eastAsia="楷体_GB2312" w:cs="楷体_GB2312"/>
          <w:szCs w:val="36"/>
        </w:rPr>
      </w:pPr>
    </w:p>
    <w:p w14:paraId="737073F7">
      <w:pPr>
        <w:spacing w:line="240" w:lineRule="auto"/>
        <w:ind w:firstLine="0" w:firstLineChars="0"/>
        <w:rPr>
          <w:rFonts w:hint="eastAsia" w:ascii="楷体_GB2312" w:hAnsi="楷体_GB2312" w:eastAsia="楷体_GB2312" w:cs="楷体_GB2312"/>
          <w:szCs w:val="36"/>
        </w:rPr>
      </w:pPr>
    </w:p>
    <w:p w14:paraId="3C1DC158">
      <w:pPr>
        <w:spacing w:line="240" w:lineRule="auto"/>
        <w:ind w:firstLine="0" w:firstLineChars="0"/>
        <w:jc w:val="center"/>
        <w:rPr>
          <w:rFonts w:hint="eastAsia" w:ascii="楷体_GB2312" w:hAnsi="楷体_GB2312" w:eastAsia="楷体_GB2312" w:cs="楷体_GB2312"/>
          <w:szCs w:val="36"/>
        </w:rPr>
      </w:pPr>
    </w:p>
    <w:p w14:paraId="5C8F1520">
      <w:pPr>
        <w:spacing w:line="240" w:lineRule="auto"/>
        <w:ind w:firstLine="0" w:firstLineChars="0"/>
        <w:jc w:val="center"/>
        <w:rPr>
          <w:rFonts w:hint="eastAsia" w:ascii="楷体_GB2312" w:hAnsi="楷体_GB2312" w:eastAsia="楷体_GB2312" w:cs="楷体_GB2312"/>
          <w:szCs w:val="36"/>
        </w:rPr>
      </w:pPr>
    </w:p>
    <w:p w14:paraId="782A4364">
      <w:pPr>
        <w:spacing w:line="240" w:lineRule="auto"/>
        <w:ind w:firstLine="0" w:firstLineChars="0"/>
        <w:jc w:val="center"/>
        <w:rPr>
          <w:rFonts w:hint="eastAsia" w:ascii="楷体_GB2312" w:hAnsi="楷体_GB2312" w:eastAsia="楷体_GB2312" w:cs="楷体_GB2312"/>
          <w:szCs w:val="36"/>
        </w:rPr>
      </w:pPr>
    </w:p>
    <w:p w14:paraId="08683A35">
      <w:pPr>
        <w:spacing w:line="240" w:lineRule="auto"/>
        <w:ind w:firstLine="0" w:firstLineChars="0"/>
        <w:jc w:val="center"/>
        <w:rPr>
          <w:rFonts w:hint="eastAsia" w:ascii="楷体_GB2312" w:hAnsi="楷体_GB2312" w:eastAsia="楷体_GB2312" w:cs="楷体_GB2312"/>
          <w:szCs w:val="36"/>
        </w:rPr>
      </w:pPr>
    </w:p>
    <w:p w14:paraId="218DC5DE">
      <w:pPr>
        <w:spacing w:line="240" w:lineRule="auto"/>
        <w:ind w:firstLine="0" w:firstLineChars="0"/>
        <w:jc w:val="center"/>
        <w:rPr>
          <w:rFonts w:hint="eastAsia" w:ascii="楷体_GB2312" w:hAnsi="楷体_GB2312" w:eastAsia="楷体_GB2312" w:cs="楷体_GB2312"/>
          <w:szCs w:val="36"/>
        </w:rPr>
      </w:pPr>
    </w:p>
    <w:p w14:paraId="56EC9B7B">
      <w:pPr>
        <w:widowControl w:val="0"/>
        <w:adjustRightInd/>
        <w:snapToGrid/>
        <w:spacing w:line="240" w:lineRule="auto"/>
        <w:ind w:firstLine="0" w:firstLineChars="0"/>
        <w:jc w:val="center"/>
        <w:rPr>
          <w:rFonts w:hint="eastAsia" w:ascii="楷体_GB2312" w:hAnsi="楷体_GB2312" w:eastAsia="楷体_GB2312" w:cs="楷体_GB2312"/>
          <w:szCs w:val="36"/>
        </w:rPr>
      </w:pPr>
      <w:r>
        <w:rPr>
          <w:rFonts w:hint="eastAsia" w:ascii="楷体_GB2312" w:hAnsi="楷体_GB2312" w:eastAsia="楷体_GB2312" w:cs="楷体_GB2312"/>
          <w:szCs w:val="36"/>
        </w:rPr>
        <w:t>桓仁满族自治县普乐堡镇人民政府</w:t>
      </w:r>
    </w:p>
    <w:p w14:paraId="4E15A29D">
      <w:pPr>
        <w:widowControl w:val="0"/>
        <w:adjustRightInd/>
        <w:snapToGrid/>
        <w:spacing w:line="240" w:lineRule="auto"/>
        <w:ind w:firstLine="0" w:firstLineChars="0"/>
        <w:jc w:val="center"/>
        <w:rPr>
          <w:rFonts w:hint="eastAsia" w:ascii="微软雅黑" w:hAnsi="微软雅黑" w:eastAsia="微软雅黑" w:cs="微软雅黑"/>
          <w:sz w:val="44"/>
          <w:szCs w:val="44"/>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r>
        <w:rPr>
          <w:rFonts w:ascii="楷体_GB2312" w:hAnsi="楷体_GB2312" w:eastAsia="楷体_GB2312" w:cs="楷体_GB2312"/>
          <w:szCs w:val="36"/>
        </w:rPr>
        <w:t>202</w:t>
      </w:r>
      <w:r>
        <w:rPr>
          <w:rFonts w:hint="eastAsia" w:ascii="楷体_GB2312" w:hAnsi="楷体_GB2312" w:eastAsia="楷体_GB2312" w:cs="楷体_GB2312"/>
          <w:szCs w:val="36"/>
        </w:rPr>
        <w:t>5</w:t>
      </w:r>
      <w:r>
        <w:rPr>
          <w:rFonts w:ascii="楷体_GB2312" w:hAnsi="楷体_GB2312" w:eastAsia="楷体_GB2312" w:cs="楷体_GB2312"/>
          <w:szCs w:val="36"/>
        </w:rPr>
        <w:t>年</w:t>
      </w:r>
      <w:r>
        <w:rPr>
          <w:rFonts w:hint="eastAsia" w:ascii="楷体_GB2312" w:hAnsi="楷体_GB2312" w:eastAsia="楷体_GB2312" w:cs="楷体_GB2312"/>
          <w:szCs w:val="36"/>
        </w:rPr>
        <w:t>12</w:t>
      </w:r>
      <w:r>
        <w:rPr>
          <w:rFonts w:ascii="楷体_GB2312" w:hAnsi="楷体_GB2312" w:eastAsia="楷体_GB2312" w:cs="楷体_GB2312"/>
          <w:szCs w:val="36"/>
        </w:rPr>
        <w:t>月</w:t>
      </w:r>
    </w:p>
    <w:p w14:paraId="2F0C2E36">
      <w:pPr>
        <w:pStyle w:val="16"/>
        <w:rPr>
          <w:rFonts w:hint="eastAsia"/>
        </w:rPr>
      </w:pPr>
    </w:p>
    <w:p w14:paraId="0155AAE8">
      <w:pPr>
        <w:pStyle w:val="16"/>
        <w:rPr>
          <w:rFonts w:hint="eastAsia"/>
        </w:rPr>
      </w:pPr>
    </w:p>
    <w:p w14:paraId="4E8A3F3A">
      <w:pPr>
        <w:pStyle w:val="16"/>
        <w:rPr>
          <w:rFonts w:hint="eastAsia"/>
        </w:rPr>
      </w:pPr>
    </w:p>
    <w:p w14:paraId="28A86FB6">
      <w:pPr>
        <w:pStyle w:val="16"/>
        <w:rPr>
          <w:rFonts w:hint="eastAsia"/>
        </w:rPr>
      </w:pPr>
    </w:p>
    <w:p w14:paraId="60D25DAD">
      <w:pPr>
        <w:widowControl/>
        <w:adjustRightInd/>
        <w:snapToGrid/>
        <w:spacing w:line="240" w:lineRule="auto"/>
        <w:ind w:firstLine="0" w:firstLineChars="0"/>
        <w:jc w:val="center"/>
        <w:rPr>
          <w:rFonts w:hint="eastAsia" w:ascii="方正小标宋简体" w:hAnsi="方正小标宋简体" w:eastAsia="方正小标宋简体" w:cs="方正小标宋简体"/>
          <w:color w:val="auto"/>
          <w:kern w:val="0"/>
          <w:sz w:val="52"/>
          <w:szCs w:val="52"/>
        </w:rPr>
      </w:pPr>
    </w:p>
    <w:p w14:paraId="54C494EA">
      <w:pPr>
        <w:widowControl/>
        <w:adjustRightInd/>
        <w:snapToGrid/>
        <w:spacing w:line="240" w:lineRule="auto"/>
        <w:ind w:firstLine="0" w:firstLineChars="0"/>
        <w:jc w:val="center"/>
        <w:rPr>
          <w:rFonts w:hint="eastAsia" w:ascii="方正小标宋简体" w:hAnsi="方正小标宋简体" w:eastAsia="方正小标宋简体" w:cs="方正小标宋简体"/>
          <w:color w:val="auto"/>
          <w:kern w:val="0"/>
          <w:sz w:val="52"/>
          <w:szCs w:val="52"/>
        </w:rPr>
      </w:pPr>
      <w:r>
        <w:rPr>
          <w:rFonts w:hint="eastAsia" w:ascii="方正小标宋简体" w:hAnsi="方正小标宋简体" w:eastAsia="方正小标宋简体" w:cs="方正小标宋简体"/>
          <w:color w:val="auto"/>
          <w:kern w:val="0"/>
          <w:sz w:val="52"/>
          <w:szCs w:val="52"/>
        </w:rPr>
        <w:t>桓仁满族自治县普乐堡镇</w:t>
      </w:r>
    </w:p>
    <w:p w14:paraId="01609769">
      <w:pPr>
        <w:widowControl/>
        <w:adjustRightInd/>
        <w:snapToGrid/>
        <w:spacing w:line="240" w:lineRule="auto"/>
        <w:ind w:firstLine="0" w:firstLineChars="0"/>
        <w:jc w:val="center"/>
        <w:rPr>
          <w:rFonts w:hint="eastAsia" w:ascii="方正小标宋简体" w:hAnsi="方正小标宋简体" w:eastAsia="方正小标宋简体" w:cs="方正小标宋简体"/>
          <w:color w:val="auto"/>
          <w:kern w:val="0"/>
          <w:sz w:val="52"/>
          <w:szCs w:val="52"/>
        </w:rPr>
      </w:pPr>
      <w:r>
        <w:rPr>
          <w:rFonts w:hint="eastAsia" w:ascii="方正小标宋简体" w:hAnsi="方正小标宋简体" w:eastAsia="方正小标宋简体" w:cs="方正小标宋简体"/>
          <w:color w:val="auto"/>
          <w:kern w:val="0"/>
          <w:sz w:val="52"/>
          <w:szCs w:val="52"/>
        </w:rPr>
        <w:t>国土空间总体规划</w:t>
      </w:r>
    </w:p>
    <w:p w14:paraId="719D3749">
      <w:pPr>
        <w:widowControl/>
        <w:adjustRightInd/>
        <w:snapToGrid/>
        <w:spacing w:line="240" w:lineRule="auto"/>
        <w:ind w:firstLine="0" w:firstLineChars="0"/>
        <w:jc w:val="center"/>
        <w:rPr>
          <w:rFonts w:hint="eastAsia" w:ascii="方正小标宋简体" w:hAnsi="方正小标宋简体" w:eastAsia="方正小标宋简体" w:cs="方正小标宋简体"/>
          <w:color w:val="auto"/>
          <w:kern w:val="0"/>
          <w:sz w:val="52"/>
          <w:szCs w:val="52"/>
        </w:rPr>
      </w:pPr>
      <w:r>
        <w:rPr>
          <w:rFonts w:hint="eastAsia" w:ascii="方正小标宋简体" w:hAnsi="方正小标宋简体" w:eastAsia="方正小标宋简体" w:cs="方正小标宋简体"/>
          <w:color w:val="auto"/>
          <w:kern w:val="0"/>
          <w:sz w:val="52"/>
          <w:szCs w:val="52"/>
        </w:rPr>
        <w:t>（2021-2035年）</w:t>
      </w:r>
    </w:p>
    <w:p w14:paraId="4F15DA76">
      <w:pPr>
        <w:spacing w:line="240" w:lineRule="auto"/>
        <w:ind w:firstLine="0" w:firstLineChars="0"/>
        <w:jc w:val="center"/>
        <w:rPr>
          <w:rFonts w:hint="eastAsia" w:ascii="楷体_GB2312" w:hAnsi="楷体_GB2312" w:eastAsia="楷体_GB2312" w:cs="楷体_GB2312"/>
          <w:szCs w:val="36"/>
          <w:lang w:eastAsia="zh-CN"/>
        </w:rPr>
      </w:pPr>
      <w:r>
        <w:rPr>
          <w:rFonts w:hint="eastAsia" w:ascii="方正小标宋_GBK" w:hAnsi="方正小标宋_GBK" w:eastAsia="方正小标宋_GBK" w:cs="方正小标宋_GBK"/>
          <w:sz w:val="44"/>
          <w:szCs w:val="44"/>
          <w:lang w:val="en-US" w:eastAsia="zh-CN"/>
        </w:rPr>
        <w:t>说明书</w:t>
      </w:r>
    </w:p>
    <w:p w14:paraId="146AC07B">
      <w:pPr>
        <w:spacing w:line="240" w:lineRule="auto"/>
        <w:ind w:firstLine="0" w:firstLineChars="0"/>
        <w:jc w:val="center"/>
        <w:rPr>
          <w:rFonts w:hint="eastAsia" w:ascii="楷体_GB2312" w:hAnsi="楷体_GB2312" w:eastAsia="楷体_GB2312" w:cs="楷体_GB2312"/>
          <w:szCs w:val="36"/>
        </w:rPr>
      </w:pPr>
    </w:p>
    <w:p w14:paraId="5E66D977">
      <w:pPr>
        <w:spacing w:line="240" w:lineRule="auto"/>
        <w:ind w:firstLine="0" w:firstLineChars="0"/>
        <w:jc w:val="center"/>
        <w:rPr>
          <w:rFonts w:hint="eastAsia" w:ascii="楷体_GB2312" w:hAnsi="楷体_GB2312" w:eastAsia="楷体_GB2312" w:cs="楷体_GB2312"/>
          <w:szCs w:val="36"/>
        </w:rPr>
      </w:pPr>
    </w:p>
    <w:p w14:paraId="2AB19F92">
      <w:pPr>
        <w:spacing w:line="240" w:lineRule="auto"/>
        <w:ind w:firstLine="0" w:firstLineChars="0"/>
        <w:jc w:val="center"/>
        <w:rPr>
          <w:rFonts w:hint="eastAsia" w:ascii="楷体_GB2312" w:hAnsi="楷体_GB2312" w:eastAsia="楷体_GB2312" w:cs="楷体_GB2312"/>
          <w:szCs w:val="36"/>
        </w:rPr>
      </w:pPr>
    </w:p>
    <w:p w14:paraId="7B4368BF">
      <w:pPr>
        <w:spacing w:line="240" w:lineRule="auto"/>
        <w:ind w:firstLine="0" w:firstLineChars="0"/>
        <w:jc w:val="center"/>
        <w:rPr>
          <w:rFonts w:hint="eastAsia" w:ascii="楷体_GB2312" w:hAnsi="楷体_GB2312" w:eastAsia="楷体_GB2312" w:cs="楷体_GB2312"/>
          <w:szCs w:val="36"/>
        </w:rPr>
      </w:pPr>
    </w:p>
    <w:p w14:paraId="641656E1">
      <w:pPr>
        <w:spacing w:line="240" w:lineRule="auto"/>
        <w:ind w:firstLine="0" w:firstLineChars="0"/>
        <w:jc w:val="center"/>
        <w:rPr>
          <w:rFonts w:hint="eastAsia" w:ascii="楷体_GB2312" w:hAnsi="楷体_GB2312" w:eastAsia="楷体_GB2312" w:cs="楷体_GB2312"/>
          <w:szCs w:val="36"/>
        </w:rPr>
      </w:pPr>
    </w:p>
    <w:p w14:paraId="480FDA5E">
      <w:pPr>
        <w:spacing w:line="240" w:lineRule="auto"/>
        <w:ind w:firstLine="0" w:firstLineChars="0"/>
        <w:rPr>
          <w:rFonts w:hint="eastAsia" w:ascii="楷体_GB2312" w:hAnsi="楷体_GB2312" w:eastAsia="楷体_GB2312" w:cs="楷体_GB2312"/>
          <w:szCs w:val="36"/>
        </w:rPr>
      </w:pPr>
    </w:p>
    <w:p w14:paraId="23391FD1">
      <w:pPr>
        <w:spacing w:line="240" w:lineRule="auto"/>
        <w:ind w:firstLine="0" w:firstLineChars="0"/>
        <w:jc w:val="center"/>
        <w:rPr>
          <w:rFonts w:hint="eastAsia" w:ascii="楷体_GB2312" w:hAnsi="楷体_GB2312" w:eastAsia="楷体_GB2312" w:cs="楷体_GB2312"/>
          <w:szCs w:val="36"/>
        </w:rPr>
      </w:pPr>
    </w:p>
    <w:p w14:paraId="61865C55">
      <w:pPr>
        <w:spacing w:line="240" w:lineRule="auto"/>
        <w:ind w:firstLine="0" w:firstLineChars="0"/>
        <w:jc w:val="center"/>
        <w:rPr>
          <w:rFonts w:hint="eastAsia" w:ascii="楷体_GB2312" w:hAnsi="楷体_GB2312" w:eastAsia="楷体_GB2312" w:cs="楷体_GB2312"/>
          <w:szCs w:val="36"/>
        </w:rPr>
      </w:pPr>
    </w:p>
    <w:p w14:paraId="7A9106B0">
      <w:pPr>
        <w:spacing w:line="240" w:lineRule="auto"/>
        <w:ind w:firstLine="0" w:firstLineChars="0"/>
        <w:jc w:val="center"/>
        <w:rPr>
          <w:rFonts w:hint="eastAsia" w:ascii="楷体_GB2312" w:hAnsi="楷体_GB2312" w:eastAsia="楷体_GB2312" w:cs="楷体_GB2312"/>
          <w:szCs w:val="36"/>
        </w:rPr>
      </w:pPr>
    </w:p>
    <w:p w14:paraId="28BA77AA">
      <w:pPr>
        <w:spacing w:line="240" w:lineRule="auto"/>
        <w:ind w:firstLine="0" w:firstLineChars="0"/>
        <w:jc w:val="center"/>
        <w:rPr>
          <w:rFonts w:hint="eastAsia" w:ascii="楷体_GB2312" w:hAnsi="楷体_GB2312" w:eastAsia="楷体_GB2312" w:cs="楷体_GB2312"/>
          <w:szCs w:val="36"/>
        </w:rPr>
      </w:pPr>
    </w:p>
    <w:p w14:paraId="148D73A0">
      <w:pPr>
        <w:spacing w:line="240" w:lineRule="auto"/>
        <w:ind w:firstLine="0" w:firstLineChars="0"/>
        <w:jc w:val="center"/>
        <w:rPr>
          <w:rFonts w:hint="eastAsia" w:ascii="楷体_GB2312" w:hAnsi="楷体_GB2312" w:eastAsia="楷体_GB2312" w:cs="楷体_GB2312"/>
          <w:szCs w:val="36"/>
        </w:rPr>
      </w:pPr>
    </w:p>
    <w:p w14:paraId="119983D0">
      <w:pPr>
        <w:widowControl w:val="0"/>
        <w:adjustRightInd/>
        <w:snapToGrid/>
        <w:spacing w:line="240" w:lineRule="auto"/>
        <w:ind w:firstLine="0" w:firstLineChars="0"/>
        <w:jc w:val="center"/>
        <w:rPr>
          <w:rFonts w:hint="eastAsia" w:ascii="楷体_GB2312" w:hAnsi="楷体_GB2312" w:eastAsia="楷体_GB2312" w:cs="楷体_GB2312"/>
          <w:szCs w:val="36"/>
        </w:rPr>
      </w:pPr>
      <w:r>
        <w:rPr>
          <w:rFonts w:hint="eastAsia" w:ascii="楷体_GB2312" w:hAnsi="楷体_GB2312" w:eastAsia="楷体_GB2312" w:cs="楷体_GB2312"/>
          <w:szCs w:val="36"/>
        </w:rPr>
        <w:t>桓仁满族自治县普乐堡镇人民政府</w:t>
      </w:r>
    </w:p>
    <w:p w14:paraId="49628F5D">
      <w:pPr>
        <w:widowControl w:val="0"/>
        <w:adjustRightInd/>
        <w:snapToGrid/>
        <w:spacing w:line="240" w:lineRule="auto"/>
        <w:ind w:firstLine="0" w:firstLineChars="0"/>
        <w:jc w:val="center"/>
        <w:rPr>
          <w:rFonts w:hint="eastAsia" w:ascii="微软雅黑" w:hAnsi="微软雅黑" w:eastAsia="微软雅黑" w:cs="微软雅黑"/>
          <w:sz w:val="44"/>
          <w:szCs w:val="44"/>
        </w:rPr>
        <w:sectPr>
          <w:headerReference r:id="rId13" w:type="first"/>
          <w:footerReference r:id="rId16" w:type="first"/>
          <w:headerReference r:id="rId11" w:type="default"/>
          <w:footerReference r:id="rId14" w:type="default"/>
          <w:headerReference r:id="rId12" w:type="even"/>
          <w:footerReference r:id="rId15" w:type="even"/>
          <w:pgSz w:w="11906" w:h="16838"/>
          <w:pgMar w:top="1440" w:right="1800" w:bottom="1440" w:left="1800" w:header="851" w:footer="992" w:gutter="0"/>
          <w:cols w:space="425" w:num="1"/>
          <w:docGrid w:type="lines" w:linePitch="312" w:charSpace="0"/>
        </w:sectPr>
      </w:pPr>
      <w:r>
        <w:rPr>
          <w:rFonts w:ascii="楷体_GB2312" w:hAnsi="楷体_GB2312" w:eastAsia="楷体_GB2312" w:cs="楷体_GB2312"/>
          <w:szCs w:val="36"/>
        </w:rPr>
        <w:t>202</w:t>
      </w:r>
      <w:r>
        <w:rPr>
          <w:rFonts w:hint="eastAsia" w:ascii="楷体_GB2312" w:hAnsi="楷体_GB2312" w:eastAsia="楷体_GB2312" w:cs="楷体_GB2312"/>
          <w:szCs w:val="36"/>
        </w:rPr>
        <w:t>5</w:t>
      </w:r>
      <w:r>
        <w:rPr>
          <w:rFonts w:ascii="楷体_GB2312" w:hAnsi="楷体_GB2312" w:eastAsia="楷体_GB2312" w:cs="楷体_GB2312"/>
          <w:szCs w:val="36"/>
        </w:rPr>
        <w:t>年</w:t>
      </w:r>
      <w:r>
        <w:rPr>
          <w:rFonts w:hint="eastAsia" w:ascii="楷体_GB2312" w:hAnsi="楷体_GB2312" w:eastAsia="楷体_GB2312" w:cs="楷体_GB2312"/>
          <w:szCs w:val="36"/>
        </w:rPr>
        <w:t>12</w:t>
      </w:r>
      <w:r>
        <w:rPr>
          <w:rFonts w:ascii="楷体_GB2312" w:hAnsi="楷体_GB2312" w:eastAsia="楷体_GB2312" w:cs="楷体_GB2312"/>
          <w:szCs w:val="36"/>
        </w:rPr>
        <w:t>月</w:t>
      </w:r>
    </w:p>
    <w:p w14:paraId="6522C397">
      <w:pPr>
        <w:widowControl w:val="0"/>
        <w:adjustRightInd/>
        <w:snapToGrid/>
        <w:spacing w:line="240" w:lineRule="auto"/>
        <w:ind w:firstLine="0" w:firstLineChars="0"/>
        <w:jc w:val="center"/>
        <w:rPr>
          <w:rFonts w:eastAsia="黑体"/>
        </w:rPr>
      </w:pPr>
    </w:p>
    <w:sdt>
      <w:sdtPr>
        <w:rPr>
          <w:rFonts w:eastAsia="黑体"/>
        </w:rPr>
        <w:id w:val="147474843"/>
        <w15:color w:val="DBDBDB"/>
        <w:docPartObj>
          <w:docPartGallery w:val="Table of Contents"/>
          <w:docPartUnique/>
        </w:docPartObj>
      </w:sdtPr>
      <w:sdtEndPr>
        <w:rPr>
          <w:rFonts w:ascii="宋体" w:hAnsi="宋体" w:eastAsia="宋体"/>
          <w:sz w:val="21"/>
        </w:rPr>
      </w:sdtEndPr>
      <w:sdtContent>
        <w:p w14:paraId="01B66BC6">
          <w:pPr>
            <w:widowControl w:val="0"/>
            <w:adjustRightInd/>
            <w:snapToGrid/>
            <w:spacing w:line="240" w:lineRule="auto"/>
            <w:ind w:firstLine="0" w:firstLineChars="0"/>
            <w:jc w:val="center"/>
            <w:rPr>
              <w:rFonts w:eastAsia="方正小标宋_GBK"/>
              <w:sz w:val="36"/>
              <w:szCs w:val="36"/>
            </w:rPr>
          </w:pPr>
          <w:r>
            <w:rPr>
              <w:rFonts w:eastAsia="方正小标宋_GBK"/>
              <w:sz w:val="36"/>
              <w:szCs w:val="36"/>
            </w:rPr>
            <w:t>目录</w:t>
          </w:r>
        </w:p>
        <w:p w14:paraId="1455975A">
          <w:pPr>
            <w:pStyle w:val="10"/>
            <w:tabs>
              <w:tab w:val="right" w:leader="dot" w:pos="8297"/>
            </w:tabs>
          </w:pPr>
          <w:r>
            <w:fldChar w:fldCharType="begin"/>
          </w:r>
          <w:r>
            <w:instrText xml:space="preserve"> TOC \o "1-2" \h \z \u </w:instrText>
          </w:r>
          <w:r>
            <w:fldChar w:fldCharType="separate"/>
          </w:r>
          <w:r>
            <w:fldChar w:fldCharType="begin"/>
          </w:r>
          <w:r>
            <w:instrText xml:space="preserve"> HYPERLINK \l _Toc17537 </w:instrText>
          </w:r>
          <w:r>
            <w:fldChar w:fldCharType="separate"/>
          </w:r>
          <w:r>
            <w:rPr>
              <w:rFonts w:hint="default" w:eastAsia="方正小标宋简体"/>
            </w:rPr>
            <w:t xml:space="preserve">第1章 </w:t>
          </w:r>
          <w:r>
            <w:t>总则</w:t>
          </w:r>
          <w:r>
            <w:tab/>
          </w:r>
          <w:r>
            <w:fldChar w:fldCharType="begin"/>
          </w:r>
          <w:r>
            <w:instrText xml:space="preserve"> PAGEREF _Toc17537 \h </w:instrText>
          </w:r>
          <w:r>
            <w:fldChar w:fldCharType="separate"/>
          </w:r>
          <w:r>
            <w:t>4</w:t>
          </w:r>
          <w:r>
            <w:fldChar w:fldCharType="end"/>
          </w:r>
          <w:r>
            <w:fldChar w:fldCharType="end"/>
          </w:r>
        </w:p>
        <w:p w14:paraId="6D2DD85C">
          <w:pPr>
            <w:pStyle w:val="10"/>
            <w:tabs>
              <w:tab w:val="right" w:leader="dot" w:pos="8297"/>
            </w:tabs>
          </w:pPr>
          <w:r>
            <w:fldChar w:fldCharType="begin"/>
          </w:r>
          <w:r>
            <w:instrText xml:space="preserve"> HYPERLINK \l _Toc6663 </w:instrText>
          </w:r>
          <w:r>
            <w:fldChar w:fldCharType="separate"/>
          </w:r>
          <w:r>
            <w:rPr>
              <w:rFonts w:hint="default" w:eastAsia="方正小标宋简体"/>
            </w:rPr>
            <w:t xml:space="preserve">第2章 </w:t>
          </w:r>
          <w:r>
            <w:t>发展定位与目标</w:t>
          </w:r>
          <w:r>
            <w:tab/>
          </w:r>
          <w:r>
            <w:fldChar w:fldCharType="begin"/>
          </w:r>
          <w:r>
            <w:instrText xml:space="preserve"> PAGEREF _Toc6663 \h </w:instrText>
          </w:r>
          <w:r>
            <w:fldChar w:fldCharType="separate"/>
          </w:r>
          <w:r>
            <w:t>11</w:t>
          </w:r>
          <w:r>
            <w:fldChar w:fldCharType="end"/>
          </w:r>
          <w:r>
            <w:fldChar w:fldCharType="end"/>
          </w:r>
        </w:p>
        <w:p w14:paraId="7C9FFDD7">
          <w:pPr>
            <w:pStyle w:val="11"/>
            <w:tabs>
              <w:tab w:val="right" w:leader="dot" w:pos="8297"/>
            </w:tabs>
          </w:pPr>
          <w:r>
            <w:fldChar w:fldCharType="begin"/>
          </w:r>
          <w:r>
            <w:instrText xml:space="preserve"> HYPERLINK \l _Toc23559 </w:instrText>
          </w:r>
          <w:r>
            <w:fldChar w:fldCharType="separate"/>
          </w:r>
          <w:r>
            <w:rPr>
              <w:rFonts w:hint="default" w:eastAsia="黑体"/>
            </w:rPr>
            <w:t xml:space="preserve">2.1 </w:t>
          </w:r>
          <w:r>
            <w:rPr>
              <w:rFonts w:hint="eastAsia"/>
            </w:rPr>
            <w:t>乡镇功能定位</w:t>
          </w:r>
          <w:r>
            <w:tab/>
          </w:r>
          <w:r>
            <w:fldChar w:fldCharType="begin"/>
          </w:r>
          <w:r>
            <w:instrText xml:space="preserve"> PAGEREF _Toc23559 \h </w:instrText>
          </w:r>
          <w:r>
            <w:fldChar w:fldCharType="separate"/>
          </w:r>
          <w:r>
            <w:t>11</w:t>
          </w:r>
          <w:r>
            <w:fldChar w:fldCharType="end"/>
          </w:r>
          <w:r>
            <w:fldChar w:fldCharType="end"/>
          </w:r>
        </w:p>
        <w:p w14:paraId="425FC737">
          <w:pPr>
            <w:pStyle w:val="11"/>
            <w:tabs>
              <w:tab w:val="right" w:leader="dot" w:pos="8297"/>
            </w:tabs>
          </w:pPr>
          <w:r>
            <w:fldChar w:fldCharType="begin"/>
          </w:r>
          <w:r>
            <w:instrText xml:space="preserve"> HYPERLINK \l _Toc29120 </w:instrText>
          </w:r>
          <w:r>
            <w:fldChar w:fldCharType="separate"/>
          </w:r>
          <w:r>
            <w:rPr>
              <w:rFonts w:hint="default" w:eastAsia="黑体"/>
            </w:rPr>
            <w:t xml:space="preserve">2.2 </w:t>
          </w:r>
          <w:r>
            <w:rPr>
              <w:rFonts w:hint="eastAsia"/>
            </w:rPr>
            <w:t>国土空间开发保护目标</w:t>
          </w:r>
          <w:r>
            <w:tab/>
          </w:r>
          <w:r>
            <w:fldChar w:fldCharType="begin"/>
          </w:r>
          <w:r>
            <w:instrText xml:space="preserve"> PAGEREF _Toc29120 \h </w:instrText>
          </w:r>
          <w:r>
            <w:fldChar w:fldCharType="separate"/>
          </w:r>
          <w:r>
            <w:t>12</w:t>
          </w:r>
          <w:r>
            <w:fldChar w:fldCharType="end"/>
          </w:r>
          <w:r>
            <w:fldChar w:fldCharType="end"/>
          </w:r>
        </w:p>
        <w:p w14:paraId="1F20E5F9">
          <w:pPr>
            <w:pStyle w:val="10"/>
            <w:tabs>
              <w:tab w:val="right" w:leader="dot" w:pos="8297"/>
            </w:tabs>
          </w:pPr>
          <w:r>
            <w:fldChar w:fldCharType="begin"/>
          </w:r>
          <w:r>
            <w:instrText xml:space="preserve"> HYPERLINK \l _Toc29465 </w:instrText>
          </w:r>
          <w:r>
            <w:fldChar w:fldCharType="separate"/>
          </w:r>
          <w:r>
            <w:rPr>
              <w:rFonts w:hint="default" w:eastAsia="方正小标宋简体"/>
            </w:rPr>
            <w:t xml:space="preserve">第3章 </w:t>
          </w:r>
          <w:r>
            <w:t>国土空间开发保护格局</w:t>
          </w:r>
          <w:r>
            <w:tab/>
          </w:r>
          <w:r>
            <w:fldChar w:fldCharType="begin"/>
          </w:r>
          <w:r>
            <w:instrText xml:space="preserve"> PAGEREF _Toc29465 \h </w:instrText>
          </w:r>
          <w:r>
            <w:fldChar w:fldCharType="separate"/>
          </w:r>
          <w:r>
            <w:t>16</w:t>
          </w:r>
          <w:r>
            <w:fldChar w:fldCharType="end"/>
          </w:r>
          <w:r>
            <w:fldChar w:fldCharType="end"/>
          </w:r>
        </w:p>
        <w:p w14:paraId="6CC1273C">
          <w:pPr>
            <w:pStyle w:val="11"/>
            <w:tabs>
              <w:tab w:val="right" w:leader="dot" w:pos="8297"/>
            </w:tabs>
          </w:pPr>
          <w:r>
            <w:fldChar w:fldCharType="begin"/>
          </w:r>
          <w:r>
            <w:instrText xml:space="preserve"> HYPERLINK \l _Toc26227 </w:instrText>
          </w:r>
          <w:r>
            <w:fldChar w:fldCharType="separate"/>
          </w:r>
          <w:r>
            <w:rPr>
              <w:rFonts w:hint="default" w:eastAsia="黑体"/>
            </w:rPr>
            <w:t xml:space="preserve">3.1 </w:t>
          </w:r>
          <w:r>
            <w:rPr>
              <w:rFonts w:hint="eastAsia"/>
            </w:rPr>
            <w:t>国土空间总体格局</w:t>
          </w:r>
          <w:r>
            <w:tab/>
          </w:r>
          <w:r>
            <w:fldChar w:fldCharType="begin"/>
          </w:r>
          <w:r>
            <w:instrText xml:space="preserve"> PAGEREF _Toc26227 \h </w:instrText>
          </w:r>
          <w:r>
            <w:fldChar w:fldCharType="separate"/>
          </w:r>
          <w:r>
            <w:t>16</w:t>
          </w:r>
          <w:r>
            <w:fldChar w:fldCharType="end"/>
          </w:r>
          <w:r>
            <w:fldChar w:fldCharType="end"/>
          </w:r>
        </w:p>
        <w:p w14:paraId="74D6C862">
          <w:pPr>
            <w:pStyle w:val="11"/>
            <w:tabs>
              <w:tab w:val="right" w:leader="dot" w:pos="8297"/>
            </w:tabs>
          </w:pPr>
          <w:r>
            <w:fldChar w:fldCharType="begin"/>
          </w:r>
          <w:r>
            <w:instrText xml:space="preserve"> HYPERLINK \l _Toc10592 </w:instrText>
          </w:r>
          <w:r>
            <w:fldChar w:fldCharType="separate"/>
          </w:r>
          <w:r>
            <w:rPr>
              <w:rFonts w:hint="default" w:eastAsia="黑体"/>
            </w:rPr>
            <w:t xml:space="preserve">3.2 </w:t>
          </w:r>
          <w:r>
            <w:rPr>
              <w:rFonts w:hint="eastAsia"/>
            </w:rPr>
            <w:t>重要控制线划定</w:t>
          </w:r>
          <w:r>
            <w:tab/>
          </w:r>
          <w:r>
            <w:fldChar w:fldCharType="begin"/>
          </w:r>
          <w:r>
            <w:instrText xml:space="preserve"> PAGEREF _Toc10592 \h </w:instrText>
          </w:r>
          <w:r>
            <w:fldChar w:fldCharType="separate"/>
          </w:r>
          <w:r>
            <w:t>17</w:t>
          </w:r>
          <w:r>
            <w:fldChar w:fldCharType="end"/>
          </w:r>
          <w:r>
            <w:fldChar w:fldCharType="end"/>
          </w:r>
        </w:p>
        <w:p w14:paraId="2F832A29">
          <w:pPr>
            <w:pStyle w:val="11"/>
            <w:tabs>
              <w:tab w:val="right" w:leader="dot" w:pos="8297"/>
            </w:tabs>
          </w:pPr>
          <w:r>
            <w:fldChar w:fldCharType="begin"/>
          </w:r>
          <w:r>
            <w:instrText xml:space="preserve"> HYPERLINK \l _Toc16408 </w:instrText>
          </w:r>
          <w:r>
            <w:fldChar w:fldCharType="separate"/>
          </w:r>
          <w:r>
            <w:rPr>
              <w:rFonts w:hint="default" w:eastAsia="黑体"/>
            </w:rPr>
            <w:t xml:space="preserve">3.3 </w:t>
          </w:r>
          <w:r>
            <w:rPr>
              <w:rFonts w:hint="eastAsia"/>
            </w:rPr>
            <w:t>规划分区</w:t>
          </w:r>
          <w:r>
            <w:tab/>
          </w:r>
          <w:r>
            <w:fldChar w:fldCharType="begin"/>
          </w:r>
          <w:r>
            <w:instrText xml:space="preserve"> PAGEREF _Toc16408 \h </w:instrText>
          </w:r>
          <w:r>
            <w:fldChar w:fldCharType="separate"/>
          </w:r>
          <w:r>
            <w:t>20</w:t>
          </w:r>
          <w:r>
            <w:fldChar w:fldCharType="end"/>
          </w:r>
          <w:r>
            <w:fldChar w:fldCharType="end"/>
          </w:r>
        </w:p>
        <w:p w14:paraId="7B320A9A">
          <w:pPr>
            <w:pStyle w:val="11"/>
            <w:tabs>
              <w:tab w:val="right" w:leader="dot" w:pos="8297"/>
            </w:tabs>
          </w:pPr>
          <w:r>
            <w:fldChar w:fldCharType="begin"/>
          </w:r>
          <w:r>
            <w:instrText xml:space="preserve"> HYPERLINK \l _Toc31266 </w:instrText>
          </w:r>
          <w:r>
            <w:fldChar w:fldCharType="separate"/>
          </w:r>
          <w:r>
            <w:rPr>
              <w:rFonts w:hint="default" w:eastAsia="黑体"/>
            </w:rPr>
            <w:t xml:space="preserve">3.4 </w:t>
          </w:r>
          <w:r>
            <w:rPr>
              <w:rFonts w:hint="eastAsia"/>
            </w:rPr>
            <w:t>国土空间功能结构优化</w:t>
          </w:r>
          <w:r>
            <w:tab/>
          </w:r>
          <w:r>
            <w:fldChar w:fldCharType="begin"/>
          </w:r>
          <w:r>
            <w:instrText xml:space="preserve"> PAGEREF _Toc31266 \h </w:instrText>
          </w:r>
          <w:r>
            <w:fldChar w:fldCharType="separate"/>
          </w:r>
          <w:r>
            <w:t>23</w:t>
          </w:r>
          <w:r>
            <w:fldChar w:fldCharType="end"/>
          </w:r>
          <w:r>
            <w:fldChar w:fldCharType="end"/>
          </w:r>
        </w:p>
        <w:p w14:paraId="3DC61E1F">
          <w:pPr>
            <w:pStyle w:val="10"/>
            <w:tabs>
              <w:tab w:val="right" w:leader="dot" w:pos="8297"/>
            </w:tabs>
          </w:pPr>
          <w:r>
            <w:fldChar w:fldCharType="begin"/>
          </w:r>
          <w:r>
            <w:instrText xml:space="preserve"> HYPERLINK \l _Toc15200 </w:instrText>
          </w:r>
          <w:r>
            <w:fldChar w:fldCharType="separate"/>
          </w:r>
          <w:r>
            <w:rPr>
              <w:rFonts w:hint="default" w:eastAsia="方正小标宋简体"/>
            </w:rPr>
            <w:t xml:space="preserve">第4章 </w:t>
          </w:r>
          <w:r>
            <w:rPr>
              <w:rFonts w:hint="eastAsia"/>
            </w:rPr>
            <w:t>资源保护与利用</w:t>
          </w:r>
          <w:r>
            <w:tab/>
          </w:r>
          <w:r>
            <w:fldChar w:fldCharType="begin"/>
          </w:r>
          <w:r>
            <w:instrText xml:space="preserve"> PAGEREF _Toc15200 \h </w:instrText>
          </w:r>
          <w:r>
            <w:fldChar w:fldCharType="separate"/>
          </w:r>
          <w:r>
            <w:t>26</w:t>
          </w:r>
          <w:r>
            <w:fldChar w:fldCharType="end"/>
          </w:r>
          <w:r>
            <w:fldChar w:fldCharType="end"/>
          </w:r>
        </w:p>
        <w:p w14:paraId="3A25BA94">
          <w:pPr>
            <w:pStyle w:val="11"/>
            <w:tabs>
              <w:tab w:val="right" w:leader="dot" w:pos="8297"/>
            </w:tabs>
          </w:pPr>
          <w:r>
            <w:fldChar w:fldCharType="begin"/>
          </w:r>
          <w:r>
            <w:instrText xml:space="preserve"> HYPERLINK \l _Toc11206 </w:instrText>
          </w:r>
          <w:r>
            <w:fldChar w:fldCharType="separate"/>
          </w:r>
          <w:r>
            <w:rPr>
              <w:rFonts w:hint="default" w:eastAsia="黑体"/>
            </w:rPr>
            <w:t xml:space="preserve">4.1 </w:t>
          </w:r>
          <w:r>
            <w:rPr>
              <w:rFonts w:hint="eastAsia"/>
            </w:rPr>
            <w:t>耕地资源</w:t>
          </w:r>
          <w:r>
            <w:tab/>
          </w:r>
          <w:r>
            <w:fldChar w:fldCharType="begin"/>
          </w:r>
          <w:r>
            <w:instrText xml:space="preserve"> PAGEREF _Toc11206 \h </w:instrText>
          </w:r>
          <w:r>
            <w:fldChar w:fldCharType="separate"/>
          </w:r>
          <w:r>
            <w:t>26</w:t>
          </w:r>
          <w:r>
            <w:fldChar w:fldCharType="end"/>
          </w:r>
          <w:r>
            <w:fldChar w:fldCharType="end"/>
          </w:r>
        </w:p>
        <w:p w14:paraId="6B50C7C6">
          <w:pPr>
            <w:pStyle w:val="11"/>
            <w:tabs>
              <w:tab w:val="right" w:leader="dot" w:pos="8297"/>
            </w:tabs>
          </w:pPr>
          <w:r>
            <w:fldChar w:fldCharType="begin"/>
          </w:r>
          <w:r>
            <w:instrText xml:space="preserve"> HYPERLINK \l _Toc30629 </w:instrText>
          </w:r>
          <w:r>
            <w:fldChar w:fldCharType="separate"/>
          </w:r>
          <w:r>
            <w:rPr>
              <w:rFonts w:hint="default" w:eastAsia="黑体"/>
            </w:rPr>
            <w:t xml:space="preserve">4.2 </w:t>
          </w:r>
          <w:r>
            <w:rPr>
              <w:rFonts w:hint="eastAsia"/>
            </w:rPr>
            <w:t>水资源</w:t>
          </w:r>
          <w:r>
            <w:tab/>
          </w:r>
          <w:r>
            <w:fldChar w:fldCharType="begin"/>
          </w:r>
          <w:r>
            <w:instrText xml:space="preserve"> PAGEREF _Toc30629 \h </w:instrText>
          </w:r>
          <w:r>
            <w:fldChar w:fldCharType="separate"/>
          </w:r>
          <w:r>
            <w:t>28</w:t>
          </w:r>
          <w:r>
            <w:fldChar w:fldCharType="end"/>
          </w:r>
          <w:r>
            <w:fldChar w:fldCharType="end"/>
          </w:r>
        </w:p>
        <w:p w14:paraId="44F0BF35">
          <w:pPr>
            <w:pStyle w:val="11"/>
            <w:tabs>
              <w:tab w:val="right" w:leader="dot" w:pos="8297"/>
            </w:tabs>
          </w:pPr>
          <w:r>
            <w:fldChar w:fldCharType="begin"/>
          </w:r>
          <w:r>
            <w:instrText xml:space="preserve"> HYPERLINK \l _Toc20611 </w:instrText>
          </w:r>
          <w:r>
            <w:fldChar w:fldCharType="separate"/>
          </w:r>
          <w:r>
            <w:rPr>
              <w:rFonts w:hint="default" w:eastAsia="黑体"/>
            </w:rPr>
            <w:t xml:space="preserve">4.3 </w:t>
          </w:r>
          <w:r>
            <w:rPr>
              <w:rFonts w:hint="eastAsia"/>
            </w:rPr>
            <w:t>湿地资源</w:t>
          </w:r>
          <w:r>
            <w:tab/>
          </w:r>
          <w:r>
            <w:fldChar w:fldCharType="begin"/>
          </w:r>
          <w:r>
            <w:instrText xml:space="preserve"> PAGEREF _Toc20611 \h </w:instrText>
          </w:r>
          <w:r>
            <w:fldChar w:fldCharType="separate"/>
          </w:r>
          <w:r>
            <w:t>30</w:t>
          </w:r>
          <w:r>
            <w:fldChar w:fldCharType="end"/>
          </w:r>
          <w:r>
            <w:fldChar w:fldCharType="end"/>
          </w:r>
        </w:p>
        <w:p w14:paraId="4CB95B30">
          <w:pPr>
            <w:pStyle w:val="11"/>
            <w:tabs>
              <w:tab w:val="right" w:leader="dot" w:pos="8297"/>
            </w:tabs>
          </w:pPr>
          <w:r>
            <w:fldChar w:fldCharType="begin"/>
          </w:r>
          <w:r>
            <w:instrText xml:space="preserve"> HYPERLINK \l _Toc5477 </w:instrText>
          </w:r>
          <w:r>
            <w:fldChar w:fldCharType="separate"/>
          </w:r>
          <w:r>
            <w:rPr>
              <w:rFonts w:hint="default" w:eastAsia="黑体"/>
            </w:rPr>
            <w:t xml:space="preserve">4.4 </w:t>
          </w:r>
          <w:r>
            <w:rPr>
              <w:rFonts w:hint="eastAsia"/>
            </w:rPr>
            <w:t>林草资源</w:t>
          </w:r>
          <w:r>
            <w:tab/>
          </w:r>
          <w:r>
            <w:fldChar w:fldCharType="begin"/>
          </w:r>
          <w:r>
            <w:instrText xml:space="preserve"> PAGEREF _Toc5477 \h </w:instrText>
          </w:r>
          <w:r>
            <w:fldChar w:fldCharType="separate"/>
          </w:r>
          <w:r>
            <w:t>31</w:t>
          </w:r>
          <w:r>
            <w:fldChar w:fldCharType="end"/>
          </w:r>
          <w:r>
            <w:fldChar w:fldCharType="end"/>
          </w:r>
        </w:p>
        <w:p w14:paraId="5B14CB81">
          <w:pPr>
            <w:pStyle w:val="11"/>
            <w:tabs>
              <w:tab w:val="right" w:leader="dot" w:pos="8297"/>
            </w:tabs>
          </w:pPr>
          <w:r>
            <w:fldChar w:fldCharType="begin"/>
          </w:r>
          <w:r>
            <w:instrText xml:space="preserve"> HYPERLINK \l _Toc2432 </w:instrText>
          </w:r>
          <w:r>
            <w:fldChar w:fldCharType="separate"/>
          </w:r>
          <w:r>
            <w:rPr>
              <w:rFonts w:hint="default" w:eastAsia="黑体"/>
            </w:rPr>
            <w:t xml:space="preserve">4.5 </w:t>
          </w:r>
          <w:r>
            <w:rPr>
              <w:rFonts w:hint="eastAsia"/>
            </w:rPr>
            <w:t>矿产资源</w:t>
          </w:r>
          <w:r>
            <w:tab/>
          </w:r>
          <w:r>
            <w:fldChar w:fldCharType="begin"/>
          </w:r>
          <w:r>
            <w:instrText xml:space="preserve"> PAGEREF _Toc2432 \h </w:instrText>
          </w:r>
          <w:r>
            <w:fldChar w:fldCharType="separate"/>
          </w:r>
          <w:r>
            <w:t>32</w:t>
          </w:r>
          <w:r>
            <w:fldChar w:fldCharType="end"/>
          </w:r>
          <w:r>
            <w:fldChar w:fldCharType="end"/>
          </w:r>
        </w:p>
        <w:p w14:paraId="3916522D">
          <w:pPr>
            <w:pStyle w:val="11"/>
            <w:tabs>
              <w:tab w:val="right" w:leader="dot" w:pos="8297"/>
            </w:tabs>
          </w:pPr>
          <w:r>
            <w:fldChar w:fldCharType="begin"/>
          </w:r>
          <w:r>
            <w:instrText xml:space="preserve"> HYPERLINK \l _Toc4445 </w:instrText>
          </w:r>
          <w:r>
            <w:fldChar w:fldCharType="separate"/>
          </w:r>
          <w:r>
            <w:rPr>
              <w:rFonts w:hint="default" w:eastAsia="黑体"/>
            </w:rPr>
            <w:t xml:space="preserve">4.6 </w:t>
          </w:r>
          <w:r>
            <w:t>历史文化</w:t>
          </w:r>
          <w:r>
            <w:rPr>
              <w:rFonts w:hint="eastAsia"/>
            </w:rPr>
            <w:t>资源</w:t>
          </w:r>
          <w:r>
            <w:tab/>
          </w:r>
          <w:r>
            <w:fldChar w:fldCharType="begin"/>
          </w:r>
          <w:r>
            <w:instrText xml:space="preserve"> PAGEREF _Toc4445 \h </w:instrText>
          </w:r>
          <w:r>
            <w:fldChar w:fldCharType="separate"/>
          </w:r>
          <w:r>
            <w:t>33</w:t>
          </w:r>
          <w:r>
            <w:fldChar w:fldCharType="end"/>
          </w:r>
          <w:r>
            <w:fldChar w:fldCharType="end"/>
          </w:r>
        </w:p>
        <w:p w14:paraId="7A3BFF59">
          <w:pPr>
            <w:pStyle w:val="10"/>
            <w:tabs>
              <w:tab w:val="right" w:leader="dot" w:pos="8297"/>
            </w:tabs>
          </w:pPr>
          <w:r>
            <w:fldChar w:fldCharType="begin"/>
          </w:r>
          <w:r>
            <w:instrText xml:space="preserve"> HYPERLINK \l _Toc2027 </w:instrText>
          </w:r>
          <w:r>
            <w:fldChar w:fldCharType="separate"/>
          </w:r>
          <w:r>
            <w:rPr>
              <w:rFonts w:hint="default" w:eastAsia="方正小标宋简体"/>
            </w:rPr>
            <w:t xml:space="preserve">第5章 </w:t>
          </w:r>
          <w:r>
            <w:rPr>
              <w:rFonts w:hint="eastAsia"/>
            </w:rPr>
            <w:t>镇村统筹发展</w:t>
          </w:r>
          <w:r>
            <w:tab/>
          </w:r>
          <w:r>
            <w:fldChar w:fldCharType="begin"/>
          </w:r>
          <w:r>
            <w:instrText xml:space="preserve"> PAGEREF _Toc2027 \h </w:instrText>
          </w:r>
          <w:r>
            <w:fldChar w:fldCharType="separate"/>
          </w:r>
          <w:r>
            <w:t>35</w:t>
          </w:r>
          <w:r>
            <w:fldChar w:fldCharType="end"/>
          </w:r>
          <w:r>
            <w:fldChar w:fldCharType="end"/>
          </w:r>
        </w:p>
        <w:p w14:paraId="2D61FD8D">
          <w:pPr>
            <w:pStyle w:val="11"/>
            <w:tabs>
              <w:tab w:val="right" w:leader="dot" w:pos="8297"/>
            </w:tabs>
          </w:pPr>
          <w:r>
            <w:fldChar w:fldCharType="begin"/>
          </w:r>
          <w:r>
            <w:instrText xml:space="preserve"> HYPERLINK \l _Toc2502 </w:instrText>
          </w:r>
          <w:r>
            <w:fldChar w:fldCharType="separate"/>
          </w:r>
          <w:r>
            <w:rPr>
              <w:rFonts w:hint="default" w:eastAsia="黑体"/>
            </w:rPr>
            <w:t xml:space="preserve">5.1 </w:t>
          </w:r>
          <w:r>
            <w:t>镇村体系</w:t>
          </w:r>
          <w:r>
            <w:rPr>
              <w:rFonts w:hint="eastAsia"/>
            </w:rPr>
            <w:t>构建</w:t>
          </w:r>
          <w:r>
            <w:tab/>
          </w:r>
          <w:r>
            <w:fldChar w:fldCharType="begin"/>
          </w:r>
          <w:r>
            <w:instrText xml:space="preserve"> PAGEREF _Toc2502 \h </w:instrText>
          </w:r>
          <w:r>
            <w:fldChar w:fldCharType="separate"/>
          </w:r>
          <w:r>
            <w:t>35</w:t>
          </w:r>
          <w:r>
            <w:fldChar w:fldCharType="end"/>
          </w:r>
          <w:r>
            <w:fldChar w:fldCharType="end"/>
          </w:r>
        </w:p>
        <w:p w14:paraId="2743C7A6">
          <w:pPr>
            <w:pStyle w:val="11"/>
            <w:tabs>
              <w:tab w:val="right" w:leader="dot" w:pos="8297"/>
            </w:tabs>
          </w:pPr>
          <w:r>
            <w:fldChar w:fldCharType="begin"/>
          </w:r>
          <w:r>
            <w:instrText xml:space="preserve"> HYPERLINK \l _Toc25552 </w:instrText>
          </w:r>
          <w:r>
            <w:fldChar w:fldCharType="separate"/>
          </w:r>
          <w:r>
            <w:rPr>
              <w:rFonts w:hint="default" w:eastAsia="黑体"/>
            </w:rPr>
            <w:t xml:space="preserve">5.2 </w:t>
          </w:r>
          <w:r>
            <w:rPr>
              <w:rFonts w:hint="eastAsia"/>
            </w:rPr>
            <w:t>村庄布局</w:t>
          </w:r>
          <w:r>
            <w:tab/>
          </w:r>
          <w:r>
            <w:fldChar w:fldCharType="begin"/>
          </w:r>
          <w:r>
            <w:instrText xml:space="preserve"> PAGEREF _Toc25552 \h </w:instrText>
          </w:r>
          <w:r>
            <w:fldChar w:fldCharType="separate"/>
          </w:r>
          <w:r>
            <w:t>36</w:t>
          </w:r>
          <w:r>
            <w:fldChar w:fldCharType="end"/>
          </w:r>
          <w:r>
            <w:fldChar w:fldCharType="end"/>
          </w:r>
        </w:p>
        <w:p w14:paraId="01C85B61">
          <w:pPr>
            <w:pStyle w:val="11"/>
            <w:tabs>
              <w:tab w:val="right" w:leader="dot" w:pos="8297"/>
            </w:tabs>
          </w:pPr>
          <w:r>
            <w:fldChar w:fldCharType="begin"/>
          </w:r>
          <w:r>
            <w:instrText xml:space="preserve"> HYPERLINK \l _Toc17995 </w:instrText>
          </w:r>
          <w:r>
            <w:fldChar w:fldCharType="separate"/>
          </w:r>
          <w:r>
            <w:rPr>
              <w:rFonts w:hint="default" w:eastAsia="黑体"/>
            </w:rPr>
            <w:t xml:space="preserve">5.3 </w:t>
          </w:r>
          <w:r>
            <w:rPr>
              <w:rFonts w:hint="eastAsia"/>
            </w:rPr>
            <w:t>“通则式”村庄规划管理要求</w:t>
          </w:r>
          <w:r>
            <w:tab/>
          </w:r>
          <w:r>
            <w:fldChar w:fldCharType="begin"/>
          </w:r>
          <w:r>
            <w:instrText xml:space="preserve"> PAGEREF _Toc17995 \h </w:instrText>
          </w:r>
          <w:r>
            <w:fldChar w:fldCharType="separate"/>
          </w:r>
          <w:r>
            <w:t>40</w:t>
          </w:r>
          <w:r>
            <w:fldChar w:fldCharType="end"/>
          </w:r>
          <w:r>
            <w:fldChar w:fldCharType="end"/>
          </w:r>
        </w:p>
        <w:p w14:paraId="1FB770C1">
          <w:pPr>
            <w:pStyle w:val="11"/>
            <w:tabs>
              <w:tab w:val="right" w:leader="dot" w:pos="8297"/>
            </w:tabs>
          </w:pPr>
          <w:r>
            <w:fldChar w:fldCharType="begin"/>
          </w:r>
          <w:r>
            <w:instrText xml:space="preserve"> HYPERLINK \l _Toc24258 </w:instrText>
          </w:r>
          <w:r>
            <w:fldChar w:fldCharType="separate"/>
          </w:r>
          <w:r>
            <w:rPr>
              <w:rFonts w:hint="default" w:eastAsia="黑体"/>
            </w:rPr>
            <w:t xml:space="preserve">5.4 </w:t>
          </w:r>
          <w:r>
            <w:t>产业</w:t>
          </w:r>
          <w:r>
            <w:rPr>
              <w:rFonts w:hint="eastAsia"/>
            </w:rPr>
            <w:t>布局</w:t>
          </w:r>
          <w:r>
            <w:tab/>
          </w:r>
          <w:r>
            <w:fldChar w:fldCharType="begin"/>
          </w:r>
          <w:r>
            <w:instrText xml:space="preserve"> PAGEREF _Toc24258 \h </w:instrText>
          </w:r>
          <w:r>
            <w:fldChar w:fldCharType="separate"/>
          </w:r>
          <w:r>
            <w:t>44</w:t>
          </w:r>
          <w:r>
            <w:fldChar w:fldCharType="end"/>
          </w:r>
          <w:r>
            <w:fldChar w:fldCharType="end"/>
          </w:r>
        </w:p>
        <w:p w14:paraId="3B863039">
          <w:pPr>
            <w:pStyle w:val="11"/>
            <w:tabs>
              <w:tab w:val="right" w:leader="dot" w:pos="8297"/>
            </w:tabs>
          </w:pPr>
          <w:r>
            <w:fldChar w:fldCharType="begin"/>
          </w:r>
          <w:r>
            <w:instrText xml:space="preserve"> HYPERLINK \l _Toc24731 </w:instrText>
          </w:r>
          <w:r>
            <w:fldChar w:fldCharType="separate"/>
          </w:r>
          <w:r>
            <w:rPr>
              <w:rFonts w:hint="default" w:eastAsia="黑体"/>
            </w:rPr>
            <w:t xml:space="preserve">5.5 </w:t>
          </w:r>
          <w:r>
            <w:rPr>
              <w:rFonts w:hint="eastAsia"/>
            </w:rPr>
            <w:t>景观风貌管控</w:t>
          </w:r>
          <w:r>
            <w:tab/>
          </w:r>
          <w:r>
            <w:fldChar w:fldCharType="begin"/>
          </w:r>
          <w:r>
            <w:instrText xml:space="preserve"> PAGEREF _Toc24731 \h </w:instrText>
          </w:r>
          <w:r>
            <w:fldChar w:fldCharType="separate"/>
          </w:r>
          <w:r>
            <w:t>47</w:t>
          </w:r>
          <w:r>
            <w:fldChar w:fldCharType="end"/>
          </w:r>
          <w:r>
            <w:fldChar w:fldCharType="end"/>
          </w:r>
        </w:p>
        <w:p w14:paraId="71D9CDBB">
          <w:pPr>
            <w:pStyle w:val="11"/>
            <w:tabs>
              <w:tab w:val="right" w:leader="dot" w:pos="8297"/>
            </w:tabs>
          </w:pPr>
          <w:r>
            <w:fldChar w:fldCharType="begin"/>
          </w:r>
          <w:r>
            <w:instrText xml:space="preserve"> HYPERLINK \l _Toc6276 </w:instrText>
          </w:r>
          <w:r>
            <w:fldChar w:fldCharType="separate"/>
          </w:r>
          <w:r>
            <w:rPr>
              <w:rFonts w:hint="default" w:eastAsia="黑体"/>
            </w:rPr>
            <w:t xml:space="preserve">5.6 </w:t>
          </w:r>
          <w:r>
            <w:t>全域旅游</w:t>
          </w:r>
          <w:r>
            <w:tab/>
          </w:r>
          <w:r>
            <w:fldChar w:fldCharType="begin"/>
          </w:r>
          <w:r>
            <w:instrText xml:space="preserve"> PAGEREF _Toc6276 \h </w:instrText>
          </w:r>
          <w:r>
            <w:fldChar w:fldCharType="separate"/>
          </w:r>
          <w:r>
            <w:t>49</w:t>
          </w:r>
          <w:r>
            <w:fldChar w:fldCharType="end"/>
          </w:r>
          <w:r>
            <w:fldChar w:fldCharType="end"/>
          </w:r>
        </w:p>
        <w:p w14:paraId="2532E42C">
          <w:pPr>
            <w:pStyle w:val="10"/>
            <w:tabs>
              <w:tab w:val="right" w:leader="dot" w:pos="8297"/>
            </w:tabs>
          </w:pPr>
          <w:r>
            <w:fldChar w:fldCharType="begin"/>
          </w:r>
          <w:r>
            <w:instrText xml:space="preserve"> HYPERLINK \l _Toc6873 </w:instrText>
          </w:r>
          <w:r>
            <w:fldChar w:fldCharType="separate"/>
          </w:r>
          <w:r>
            <w:rPr>
              <w:rFonts w:hint="default" w:eastAsia="方正小标宋简体"/>
            </w:rPr>
            <w:t xml:space="preserve">第6章 </w:t>
          </w:r>
          <w:r>
            <w:rPr>
              <w:rFonts w:hint="eastAsia"/>
            </w:rPr>
            <w:t>国土空间保障支撑体系</w:t>
          </w:r>
          <w:r>
            <w:tab/>
          </w:r>
          <w:r>
            <w:fldChar w:fldCharType="begin"/>
          </w:r>
          <w:r>
            <w:instrText xml:space="preserve"> PAGEREF _Toc6873 \h </w:instrText>
          </w:r>
          <w:r>
            <w:fldChar w:fldCharType="separate"/>
          </w:r>
          <w:r>
            <w:t>51</w:t>
          </w:r>
          <w:r>
            <w:fldChar w:fldCharType="end"/>
          </w:r>
          <w:r>
            <w:fldChar w:fldCharType="end"/>
          </w:r>
        </w:p>
        <w:p w14:paraId="42B60D1C">
          <w:pPr>
            <w:pStyle w:val="11"/>
            <w:tabs>
              <w:tab w:val="right" w:leader="dot" w:pos="8297"/>
            </w:tabs>
          </w:pPr>
          <w:r>
            <w:fldChar w:fldCharType="begin"/>
          </w:r>
          <w:r>
            <w:instrText xml:space="preserve"> HYPERLINK \l _Toc11871 </w:instrText>
          </w:r>
          <w:r>
            <w:fldChar w:fldCharType="separate"/>
          </w:r>
          <w:r>
            <w:rPr>
              <w:rFonts w:hint="default" w:eastAsia="黑体"/>
            </w:rPr>
            <w:t xml:space="preserve">6.1 </w:t>
          </w:r>
          <w:r>
            <w:rPr>
              <w:rFonts w:hint="eastAsia"/>
            </w:rPr>
            <w:t>公共服务设施</w:t>
          </w:r>
          <w:r>
            <w:tab/>
          </w:r>
          <w:r>
            <w:fldChar w:fldCharType="begin"/>
          </w:r>
          <w:r>
            <w:instrText xml:space="preserve"> PAGEREF _Toc11871 \h </w:instrText>
          </w:r>
          <w:r>
            <w:fldChar w:fldCharType="separate"/>
          </w:r>
          <w:r>
            <w:t>51</w:t>
          </w:r>
          <w:r>
            <w:fldChar w:fldCharType="end"/>
          </w:r>
          <w:r>
            <w:fldChar w:fldCharType="end"/>
          </w:r>
        </w:p>
        <w:p w14:paraId="0E4238FA">
          <w:pPr>
            <w:pStyle w:val="11"/>
            <w:tabs>
              <w:tab w:val="right" w:leader="dot" w:pos="8297"/>
            </w:tabs>
          </w:pPr>
          <w:r>
            <w:fldChar w:fldCharType="begin"/>
          </w:r>
          <w:r>
            <w:instrText xml:space="preserve"> HYPERLINK \l _Toc6703 </w:instrText>
          </w:r>
          <w:r>
            <w:fldChar w:fldCharType="separate"/>
          </w:r>
          <w:r>
            <w:rPr>
              <w:rFonts w:hint="default" w:eastAsia="黑体"/>
            </w:rPr>
            <w:t xml:space="preserve">6.2 </w:t>
          </w:r>
          <w:r>
            <w:t>综合交通设施</w:t>
          </w:r>
          <w:r>
            <w:tab/>
          </w:r>
          <w:r>
            <w:fldChar w:fldCharType="begin"/>
          </w:r>
          <w:r>
            <w:instrText xml:space="preserve"> PAGEREF _Toc6703 \h </w:instrText>
          </w:r>
          <w:r>
            <w:fldChar w:fldCharType="separate"/>
          </w:r>
          <w:r>
            <w:t>53</w:t>
          </w:r>
          <w:r>
            <w:fldChar w:fldCharType="end"/>
          </w:r>
          <w:r>
            <w:fldChar w:fldCharType="end"/>
          </w:r>
        </w:p>
        <w:p w14:paraId="5EDB4DFD">
          <w:pPr>
            <w:pStyle w:val="11"/>
            <w:tabs>
              <w:tab w:val="right" w:leader="dot" w:pos="8297"/>
            </w:tabs>
          </w:pPr>
          <w:r>
            <w:fldChar w:fldCharType="begin"/>
          </w:r>
          <w:r>
            <w:instrText xml:space="preserve"> HYPERLINK \l _Toc16840 </w:instrText>
          </w:r>
          <w:r>
            <w:fldChar w:fldCharType="separate"/>
          </w:r>
          <w:r>
            <w:rPr>
              <w:rFonts w:hint="default" w:eastAsia="黑体"/>
            </w:rPr>
            <w:t xml:space="preserve">6.3 </w:t>
          </w:r>
          <w:r>
            <w:rPr>
              <w:rFonts w:hint="eastAsia"/>
            </w:rPr>
            <w:t>市政基础设施</w:t>
          </w:r>
          <w:r>
            <w:tab/>
          </w:r>
          <w:r>
            <w:fldChar w:fldCharType="begin"/>
          </w:r>
          <w:r>
            <w:instrText xml:space="preserve"> PAGEREF _Toc16840 \h </w:instrText>
          </w:r>
          <w:r>
            <w:fldChar w:fldCharType="separate"/>
          </w:r>
          <w:r>
            <w:t>55</w:t>
          </w:r>
          <w:r>
            <w:fldChar w:fldCharType="end"/>
          </w:r>
          <w:r>
            <w:fldChar w:fldCharType="end"/>
          </w:r>
        </w:p>
        <w:p w14:paraId="07C4EBF9">
          <w:pPr>
            <w:pStyle w:val="11"/>
            <w:tabs>
              <w:tab w:val="right" w:leader="dot" w:pos="8297"/>
            </w:tabs>
          </w:pPr>
          <w:r>
            <w:fldChar w:fldCharType="begin"/>
          </w:r>
          <w:r>
            <w:instrText xml:space="preserve"> HYPERLINK \l _Toc12110 </w:instrText>
          </w:r>
          <w:r>
            <w:fldChar w:fldCharType="separate"/>
          </w:r>
          <w:r>
            <w:rPr>
              <w:rFonts w:hint="default" w:eastAsia="黑体"/>
            </w:rPr>
            <w:t xml:space="preserve">6.4 </w:t>
          </w:r>
          <w:r>
            <w:rPr>
              <w:rFonts w:hint="eastAsia"/>
            </w:rPr>
            <w:t>防灾减灾设施</w:t>
          </w:r>
          <w:r>
            <w:tab/>
          </w:r>
          <w:r>
            <w:fldChar w:fldCharType="begin"/>
          </w:r>
          <w:r>
            <w:instrText xml:space="preserve"> PAGEREF _Toc12110 \h </w:instrText>
          </w:r>
          <w:r>
            <w:fldChar w:fldCharType="separate"/>
          </w:r>
          <w:r>
            <w:t>58</w:t>
          </w:r>
          <w:r>
            <w:fldChar w:fldCharType="end"/>
          </w:r>
          <w:r>
            <w:fldChar w:fldCharType="end"/>
          </w:r>
        </w:p>
        <w:p w14:paraId="5B30151A">
          <w:pPr>
            <w:pStyle w:val="10"/>
            <w:tabs>
              <w:tab w:val="right" w:leader="dot" w:pos="8297"/>
            </w:tabs>
          </w:pPr>
          <w:r>
            <w:fldChar w:fldCharType="begin"/>
          </w:r>
          <w:r>
            <w:instrText xml:space="preserve"> HYPERLINK \l _Toc2427 </w:instrText>
          </w:r>
          <w:r>
            <w:fldChar w:fldCharType="separate"/>
          </w:r>
          <w:r>
            <w:rPr>
              <w:rFonts w:hint="default" w:eastAsia="方正小标宋简体"/>
            </w:rPr>
            <w:t xml:space="preserve">第7章 </w:t>
          </w:r>
          <w:r>
            <w:rPr>
              <w:rFonts w:hint="eastAsia"/>
            </w:rPr>
            <w:t>国土综合整治和生态修复</w:t>
          </w:r>
          <w:r>
            <w:tab/>
          </w:r>
          <w:r>
            <w:fldChar w:fldCharType="begin"/>
          </w:r>
          <w:r>
            <w:instrText xml:space="preserve"> PAGEREF _Toc2427 \h </w:instrText>
          </w:r>
          <w:r>
            <w:fldChar w:fldCharType="separate"/>
          </w:r>
          <w:r>
            <w:t>63</w:t>
          </w:r>
          <w:r>
            <w:fldChar w:fldCharType="end"/>
          </w:r>
          <w:r>
            <w:fldChar w:fldCharType="end"/>
          </w:r>
        </w:p>
        <w:p w14:paraId="2E91FD11">
          <w:pPr>
            <w:pStyle w:val="11"/>
            <w:tabs>
              <w:tab w:val="right" w:leader="dot" w:pos="8297"/>
            </w:tabs>
          </w:pPr>
          <w:r>
            <w:fldChar w:fldCharType="begin"/>
          </w:r>
          <w:r>
            <w:instrText xml:space="preserve"> HYPERLINK \l _Toc25511 </w:instrText>
          </w:r>
          <w:r>
            <w:fldChar w:fldCharType="separate"/>
          </w:r>
          <w:r>
            <w:rPr>
              <w:rFonts w:hint="default" w:eastAsia="黑体"/>
            </w:rPr>
            <w:t xml:space="preserve">7.1 </w:t>
          </w:r>
          <w:r>
            <w:t>生态修复</w:t>
          </w:r>
          <w:r>
            <w:tab/>
          </w:r>
          <w:r>
            <w:fldChar w:fldCharType="begin"/>
          </w:r>
          <w:r>
            <w:instrText xml:space="preserve"> PAGEREF _Toc25511 \h </w:instrText>
          </w:r>
          <w:r>
            <w:fldChar w:fldCharType="separate"/>
          </w:r>
          <w:r>
            <w:t>63</w:t>
          </w:r>
          <w:r>
            <w:fldChar w:fldCharType="end"/>
          </w:r>
          <w:r>
            <w:fldChar w:fldCharType="end"/>
          </w:r>
        </w:p>
        <w:p w14:paraId="371A9347">
          <w:pPr>
            <w:pStyle w:val="11"/>
            <w:tabs>
              <w:tab w:val="right" w:leader="dot" w:pos="8297"/>
            </w:tabs>
          </w:pPr>
          <w:r>
            <w:fldChar w:fldCharType="begin"/>
          </w:r>
          <w:r>
            <w:instrText xml:space="preserve"> HYPERLINK \l _Toc26686 </w:instrText>
          </w:r>
          <w:r>
            <w:fldChar w:fldCharType="separate"/>
          </w:r>
          <w:r>
            <w:rPr>
              <w:rFonts w:hint="default" w:eastAsia="黑体"/>
            </w:rPr>
            <w:t xml:space="preserve">7.2 </w:t>
          </w:r>
          <w:r>
            <w:rPr>
              <w:rFonts w:hint="eastAsia"/>
            </w:rPr>
            <w:t>国土综合整治</w:t>
          </w:r>
          <w:r>
            <w:tab/>
          </w:r>
          <w:r>
            <w:fldChar w:fldCharType="begin"/>
          </w:r>
          <w:r>
            <w:instrText xml:space="preserve"> PAGEREF _Toc26686 \h </w:instrText>
          </w:r>
          <w:r>
            <w:fldChar w:fldCharType="separate"/>
          </w:r>
          <w:r>
            <w:t>64</w:t>
          </w:r>
          <w:r>
            <w:fldChar w:fldCharType="end"/>
          </w:r>
          <w:r>
            <w:fldChar w:fldCharType="end"/>
          </w:r>
        </w:p>
        <w:p w14:paraId="0894F590">
          <w:pPr>
            <w:pStyle w:val="10"/>
            <w:tabs>
              <w:tab w:val="right" w:leader="dot" w:pos="8297"/>
            </w:tabs>
          </w:pPr>
          <w:r>
            <w:fldChar w:fldCharType="begin"/>
          </w:r>
          <w:r>
            <w:instrText xml:space="preserve"> HYPERLINK \l _Toc31126 </w:instrText>
          </w:r>
          <w:r>
            <w:fldChar w:fldCharType="separate"/>
          </w:r>
          <w:r>
            <w:rPr>
              <w:rFonts w:hint="default" w:eastAsia="方正小标宋简体"/>
            </w:rPr>
            <w:t xml:space="preserve">第8章 </w:t>
          </w:r>
          <w:r>
            <w:rPr>
              <w:rFonts w:hint="eastAsia"/>
            </w:rPr>
            <w:t>镇中心区功能布局与规划管控</w:t>
          </w:r>
          <w:r>
            <w:tab/>
          </w:r>
          <w:r>
            <w:fldChar w:fldCharType="begin"/>
          </w:r>
          <w:r>
            <w:instrText xml:space="preserve"> PAGEREF _Toc31126 \h </w:instrText>
          </w:r>
          <w:r>
            <w:fldChar w:fldCharType="separate"/>
          </w:r>
          <w:r>
            <w:t>68</w:t>
          </w:r>
          <w:r>
            <w:fldChar w:fldCharType="end"/>
          </w:r>
          <w:r>
            <w:fldChar w:fldCharType="end"/>
          </w:r>
        </w:p>
        <w:p w14:paraId="5CCF8936">
          <w:pPr>
            <w:pStyle w:val="11"/>
            <w:tabs>
              <w:tab w:val="right" w:leader="dot" w:pos="8297"/>
            </w:tabs>
          </w:pPr>
          <w:r>
            <w:fldChar w:fldCharType="begin"/>
          </w:r>
          <w:r>
            <w:instrText xml:space="preserve"> HYPERLINK \l _Toc7909 </w:instrText>
          </w:r>
          <w:r>
            <w:fldChar w:fldCharType="separate"/>
          </w:r>
          <w:r>
            <w:rPr>
              <w:rFonts w:hint="default" w:eastAsia="黑体"/>
            </w:rPr>
            <w:t xml:space="preserve">8.1 </w:t>
          </w:r>
          <w:r>
            <w:rPr>
              <w:rFonts w:hint="eastAsia"/>
            </w:rPr>
            <w:t>用地结构和布局</w:t>
          </w:r>
          <w:r>
            <w:tab/>
          </w:r>
          <w:r>
            <w:fldChar w:fldCharType="begin"/>
          </w:r>
          <w:r>
            <w:instrText xml:space="preserve"> PAGEREF _Toc7909 \h </w:instrText>
          </w:r>
          <w:r>
            <w:fldChar w:fldCharType="separate"/>
          </w:r>
          <w:r>
            <w:t>68</w:t>
          </w:r>
          <w:r>
            <w:fldChar w:fldCharType="end"/>
          </w:r>
          <w:r>
            <w:fldChar w:fldCharType="end"/>
          </w:r>
        </w:p>
        <w:p w14:paraId="6C154CB9">
          <w:pPr>
            <w:pStyle w:val="11"/>
            <w:tabs>
              <w:tab w:val="right" w:leader="dot" w:pos="8297"/>
            </w:tabs>
          </w:pPr>
          <w:r>
            <w:fldChar w:fldCharType="begin"/>
          </w:r>
          <w:r>
            <w:instrText xml:space="preserve"> HYPERLINK \l _Toc16100 </w:instrText>
          </w:r>
          <w:r>
            <w:fldChar w:fldCharType="separate"/>
          </w:r>
          <w:r>
            <w:rPr>
              <w:rFonts w:hint="default" w:eastAsia="黑体"/>
            </w:rPr>
            <w:t xml:space="preserve">8.2 </w:t>
          </w:r>
          <w:r>
            <w:rPr>
              <w:rFonts w:hint="eastAsia"/>
            </w:rPr>
            <w:t>绿地系统和开敞空间</w:t>
          </w:r>
          <w:r>
            <w:tab/>
          </w:r>
          <w:r>
            <w:fldChar w:fldCharType="begin"/>
          </w:r>
          <w:r>
            <w:instrText xml:space="preserve"> PAGEREF _Toc16100 \h </w:instrText>
          </w:r>
          <w:r>
            <w:fldChar w:fldCharType="separate"/>
          </w:r>
          <w:r>
            <w:t>69</w:t>
          </w:r>
          <w:r>
            <w:fldChar w:fldCharType="end"/>
          </w:r>
          <w:r>
            <w:fldChar w:fldCharType="end"/>
          </w:r>
        </w:p>
        <w:p w14:paraId="6524E9DF">
          <w:pPr>
            <w:pStyle w:val="11"/>
            <w:tabs>
              <w:tab w:val="right" w:leader="dot" w:pos="8297"/>
            </w:tabs>
          </w:pPr>
          <w:r>
            <w:fldChar w:fldCharType="begin"/>
          </w:r>
          <w:r>
            <w:instrText xml:space="preserve"> HYPERLINK \l _Toc6993 </w:instrText>
          </w:r>
          <w:r>
            <w:fldChar w:fldCharType="separate"/>
          </w:r>
          <w:r>
            <w:rPr>
              <w:rFonts w:hint="default" w:eastAsia="黑体"/>
            </w:rPr>
            <w:t xml:space="preserve">8.3 </w:t>
          </w:r>
          <w:r>
            <w:rPr>
              <w:rFonts w:hint="eastAsia"/>
            </w:rPr>
            <w:t>景观风貌</w:t>
          </w:r>
          <w:r>
            <w:tab/>
          </w:r>
          <w:r>
            <w:fldChar w:fldCharType="begin"/>
          </w:r>
          <w:r>
            <w:instrText xml:space="preserve"> PAGEREF _Toc6993 \h </w:instrText>
          </w:r>
          <w:r>
            <w:fldChar w:fldCharType="separate"/>
          </w:r>
          <w:r>
            <w:t>70</w:t>
          </w:r>
          <w:r>
            <w:fldChar w:fldCharType="end"/>
          </w:r>
          <w:r>
            <w:fldChar w:fldCharType="end"/>
          </w:r>
        </w:p>
        <w:p w14:paraId="37BF67F3">
          <w:pPr>
            <w:pStyle w:val="11"/>
            <w:tabs>
              <w:tab w:val="right" w:leader="dot" w:pos="8297"/>
            </w:tabs>
          </w:pPr>
          <w:r>
            <w:fldChar w:fldCharType="begin"/>
          </w:r>
          <w:r>
            <w:instrText xml:space="preserve"> HYPERLINK \l _Toc19522 </w:instrText>
          </w:r>
          <w:r>
            <w:fldChar w:fldCharType="separate"/>
          </w:r>
          <w:r>
            <w:rPr>
              <w:rFonts w:hint="default" w:eastAsia="黑体"/>
            </w:rPr>
            <w:t xml:space="preserve">8.4 </w:t>
          </w:r>
          <w:r>
            <w:rPr>
              <w:rFonts w:hint="eastAsia"/>
            </w:rPr>
            <w:t>住房保障</w:t>
          </w:r>
          <w:r>
            <w:tab/>
          </w:r>
          <w:r>
            <w:fldChar w:fldCharType="begin"/>
          </w:r>
          <w:r>
            <w:instrText xml:space="preserve"> PAGEREF _Toc19522 \h </w:instrText>
          </w:r>
          <w:r>
            <w:fldChar w:fldCharType="separate"/>
          </w:r>
          <w:r>
            <w:t>71</w:t>
          </w:r>
          <w:r>
            <w:fldChar w:fldCharType="end"/>
          </w:r>
          <w:r>
            <w:fldChar w:fldCharType="end"/>
          </w:r>
        </w:p>
        <w:p w14:paraId="4A90E1E0">
          <w:pPr>
            <w:pStyle w:val="11"/>
            <w:tabs>
              <w:tab w:val="right" w:leader="dot" w:pos="8297"/>
            </w:tabs>
          </w:pPr>
          <w:r>
            <w:fldChar w:fldCharType="begin"/>
          </w:r>
          <w:r>
            <w:instrText xml:space="preserve"> HYPERLINK \l _Toc13432 </w:instrText>
          </w:r>
          <w:r>
            <w:fldChar w:fldCharType="separate"/>
          </w:r>
          <w:r>
            <w:rPr>
              <w:rFonts w:hint="default" w:eastAsia="黑体"/>
            </w:rPr>
            <w:t xml:space="preserve">8.5 </w:t>
          </w:r>
          <w:r>
            <w:rPr>
              <w:rFonts w:hint="eastAsia"/>
            </w:rPr>
            <w:t>城镇更新</w:t>
          </w:r>
          <w:r>
            <w:tab/>
          </w:r>
          <w:r>
            <w:fldChar w:fldCharType="begin"/>
          </w:r>
          <w:r>
            <w:instrText xml:space="preserve"> PAGEREF _Toc13432 \h </w:instrText>
          </w:r>
          <w:r>
            <w:fldChar w:fldCharType="separate"/>
          </w:r>
          <w:r>
            <w:t>72</w:t>
          </w:r>
          <w:r>
            <w:fldChar w:fldCharType="end"/>
          </w:r>
          <w:r>
            <w:fldChar w:fldCharType="end"/>
          </w:r>
        </w:p>
        <w:p w14:paraId="13818D01">
          <w:pPr>
            <w:pStyle w:val="11"/>
            <w:tabs>
              <w:tab w:val="right" w:leader="dot" w:pos="8297"/>
            </w:tabs>
          </w:pPr>
          <w:r>
            <w:fldChar w:fldCharType="begin"/>
          </w:r>
          <w:r>
            <w:instrText xml:space="preserve"> HYPERLINK \l _Toc25002 </w:instrText>
          </w:r>
          <w:r>
            <w:fldChar w:fldCharType="separate"/>
          </w:r>
          <w:r>
            <w:rPr>
              <w:rFonts w:hint="default" w:eastAsia="黑体"/>
            </w:rPr>
            <w:t xml:space="preserve">8.6 </w:t>
          </w:r>
          <w:r>
            <w:t>公共服务设施</w:t>
          </w:r>
          <w:r>
            <w:tab/>
          </w:r>
          <w:r>
            <w:fldChar w:fldCharType="begin"/>
          </w:r>
          <w:r>
            <w:instrText xml:space="preserve"> PAGEREF _Toc25002 \h </w:instrText>
          </w:r>
          <w:r>
            <w:fldChar w:fldCharType="separate"/>
          </w:r>
          <w:r>
            <w:t>73</w:t>
          </w:r>
          <w:r>
            <w:fldChar w:fldCharType="end"/>
          </w:r>
          <w:r>
            <w:fldChar w:fldCharType="end"/>
          </w:r>
        </w:p>
        <w:p w14:paraId="7AF21726">
          <w:pPr>
            <w:pStyle w:val="11"/>
            <w:tabs>
              <w:tab w:val="right" w:leader="dot" w:pos="8297"/>
            </w:tabs>
          </w:pPr>
          <w:r>
            <w:fldChar w:fldCharType="begin"/>
          </w:r>
          <w:r>
            <w:instrText xml:space="preserve"> HYPERLINK \l _Toc25542 </w:instrText>
          </w:r>
          <w:r>
            <w:fldChar w:fldCharType="separate"/>
          </w:r>
          <w:r>
            <w:rPr>
              <w:rFonts w:hint="default" w:eastAsia="黑体"/>
            </w:rPr>
            <w:t xml:space="preserve">8.7 </w:t>
          </w:r>
          <w:r>
            <w:rPr>
              <w:rFonts w:hint="eastAsia"/>
            </w:rPr>
            <w:t>道路交通设施</w:t>
          </w:r>
          <w:r>
            <w:tab/>
          </w:r>
          <w:r>
            <w:fldChar w:fldCharType="begin"/>
          </w:r>
          <w:r>
            <w:instrText xml:space="preserve"> PAGEREF _Toc25542 \h </w:instrText>
          </w:r>
          <w:r>
            <w:fldChar w:fldCharType="separate"/>
          </w:r>
          <w:r>
            <w:t>75</w:t>
          </w:r>
          <w:r>
            <w:fldChar w:fldCharType="end"/>
          </w:r>
          <w:r>
            <w:fldChar w:fldCharType="end"/>
          </w:r>
        </w:p>
        <w:p w14:paraId="75432763">
          <w:pPr>
            <w:pStyle w:val="11"/>
            <w:tabs>
              <w:tab w:val="right" w:leader="dot" w:pos="8297"/>
            </w:tabs>
          </w:pPr>
          <w:r>
            <w:fldChar w:fldCharType="begin"/>
          </w:r>
          <w:r>
            <w:instrText xml:space="preserve"> HYPERLINK \l _Toc20175 </w:instrText>
          </w:r>
          <w:r>
            <w:fldChar w:fldCharType="separate"/>
          </w:r>
          <w:r>
            <w:rPr>
              <w:rFonts w:hint="default" w:eastAsia="黑体"/>
            </w:rPr>
            <w:t xml:space="preserve">8.8 </w:t>
          </w:r>
          <w:r>
            <w:rPr>
              <w:rFonts w:hint="eastAsia"/>
            </w:rPr>
            <w:t>市政公用设施</w:t>
          </w:r>
          <w:r>
            <w:tab/>
          </w:r>
          <w:r>
            <w:fldChar w:fldCharType="begin"/>
          </w:r>
          <w:r>
            <w:instrText xml:space="preserve"> PAGEREF _Toc20175 \h </w:instrText>
          </w:r>
          <w:r>
            <w:fldChar w:fldCharType="separate"/>
          </w:r>
          <w:r>
            <w:t>76</w:t>
          </w:r>
          <w:r>
            <w:fldChar w:fldCharType="end"/>
          </w:r>
          <w:r>
            <w:fldChar w:fldCharType="end"/>
          </w:r>
        </w:p>
        <w:p w14:paraId="787B2BD5">
          <w:pPr>
            <w:pStyle w:val="11"/>
            <w:tabs>
              <w:tab w:val="right" w:leader="dot" w:pos="8297"/>
            </w:tabs>
          </w:pPr>
          <w:r>
            <w:fldChar w:fldCharType="begin"/>
          </w:r>
          <w:r>
            <w:instrText xml:space="preserve"> HYPERLINK \l _Toc20043 </w:instrText>
          </w:r>
          <w:r>
            <w:fldChar w:fldCharType="separate"/>
          </w:r>
          <w:r>
            <w:rPr>
              <w:rFonts w:hint="default" w:eastAsia="黑体"/>
            </w:rPr>
            <w:t xml:space="preserve">8.9 </w:t>
          </w:r>
          <w:r>
            <w:t>四线管控</w:t>
          </w:r>
          <w:r>
            <w:tab/>
          </w:r>
          <w:r>
            <w:fldChar w:fldCharType="begin"/>
          </w:r>
          <w:r>
            <w:instrText xml:space="preserve"> PAGEREF _Toc20043 \h </w:instrText>
          </w:r>
          <w:r>
            <w:fldChar w:fldCharType="separate"/>
          </w:r>
          <w:r>
            <w:t>82</w:t>
          </w:r>
          <w:r>
            <w:fldChar w:fldCharType="end"/>
          </w:r>
          <w:r>
            <w:fldChar w:fldCharType="end"/>
          </w:r>
        </w:p>
        <w:p w14:paraId="76973CD6">
          <w:pPr>
            <w:pStyle w:val="11"/>
            <w:tabs>
              <w:tab w:val="right" w:leader="dot" w:pos="8297"/>
            </w:tabs>
          </w:pPr>
          <w:r>
            <w:fldChar w:fldCharType="begin"/>
          </w:r>
          <w:r>
            <w:instrText xml:space="preserve"> HYPERLINK \l _Toc4097 </w:instrText>
          </w:r>
          <w:r>
            <w:fldChar w:fldCharType="separate"/>
          </w:r>
          <w:r>
            <w:rPr>
              <w:rFonts w:hint="default" w:eastAsia="黑体"/>
            </w:rPr>
            <w:t xml:space="preserve">8.10 </w:t>
          </w:r>
          <w:r>
            <w:rPr>
              <w:rFonts w:hint="eastAsia"/>
            </w:rPr>
            <w:t>开发强度</w:t>
          </w:r>
          <w:r>
            <w:tab/>
          </w:r>
          <w:r>
            <w:fldChar w:fldCharType="begin"/>
          </w:r>
          <w:r>
            <w:instrText xml:space="preserve"> PAGEREF _Toc4097 \h </w:instrText>
          </w:r>
          <w:r>
            <w:fldChar w:fldCharType="separate"/>
          </w:r>
          <w:r>
            <w:t>83</w:t>
          </w:r>
          <w:r>
            <w:fldChar w:fldCharType="end"/>
          </w:r>
          <w:r>
            <w:fldChar w:fldCharType="end"/>
          </w:r>
        </w:p>
        <w:p w14:paraId="61DE704D">
          <w:pPr>
            <w:pStyle w:val="10"/>
            <w:tabs>
              <w:tab w:val="right" w:leader="dot" w:pos="8297"/>
            </w:tabs>
          </w:pPr>
          <w:r>
            <w:fldChar w:fldCharType="begin"/>
          </w:r>
          <w:r>
            <w:instrText xml:space="preserve"> HYPERLINK \l _Toc17555 </w:instrText>
          </w:r>
          <w:r>
            <w:fldChar w:fldCharType="separate"/>
          </w:r>
          <w:r>
            <w:rPr>
              <w:rFonts w:hint="default" w:eastAsia="方正小标宋简体"/>
            </w:rPr>
            <w:t xml:space="preserve">第9章 </w:t>
          </w:r>
          <w:r>
            <w:rPr>
              <w:rFonts w:hint="eastAsia"/>
            </w:rPr>
            <w:t>规划传导与近期建设</w:t>
          </w:r>
          <w:r>
            <w:tab/>
          </w:r>
          <w:r>
            <w:fldChar w:fldCharType="begin"/>
          </w:r>
          <w:r>
            <w:instrText xml:space="preserve"> PAGEREF _Toc17555 \h </w:instrText>
          </w:r>
          <w:r>
            <w:fldChar w:fldCharType="separate"/>
          </w:r>
          <w:r>
            <w:t>85</w:t>
          </w:r>
          <w:r>
            <w:fldChar w:fldCharType="end"/>
          </w:r>
          <w:r>
            <w:fldChar w:fldCharType="end"/>
          </w:r>
        </w:p>
        <w:p w14:paraId="37DB1913">
          <w:pPr>
            <w:pStyle w:val="11"/>
            <w:tabs>
              <w:tab w:val="right" w:leader="dot" w:pos="8297"/>
            </w:tabs>
          </w:pPr>
          <w:r>
            <w:fldChar w:fldCharType="begin"/>
          </w:r>
          <w:r>
            <w:instrText xml:space="preserve"> HYPERLINK \l _Toc19243 </w:instrText>
          </w:r>
          <w:r>
            <w:fldChar w:fldCharType="separate"/>
          </w:r>
          <w:r>
            <w:rPr>
              <w:rFonts w:hint="default" w:eastAsia="黑体"/>
            </w:rPr>
            <w:t xml:space="preserve">9.1 </w:t>
          </w:r>
          <w:r>
            <w:rPr>
              <w:rFonts w:hint="eastAsia"/>
            </w:rPr>
            <w:t>加强党的领导</w:t>
          </w:r>
          <w:r>
            <w:tab/>
          </w:r>
          <w:r>
            <w:fldChar w:fldCharType="begin"/>
          </w:r>
          <w:r>
            <w:instrText xml:space="preserve"> PAGEREF _Toc19243 \h </w:instrText>
          </w:r>
          <w:r>
            <w:fldChar w:fldCharType="separate"/>
          </w:r>
          <w:r>
            <w:t>85</w:t>
          </w:r>
          <w:r>
            <w:fldChar w:fldCharType="end"/>
          </w:r>
          <w:r>
            <w:fldChar w:fldCharType="end"/>
          </w:r>
        </w:p>
        <w:p w14:paraId="5F95230B">
          <w:pPr>
            <w:pStyle w:val="11"/>
            <w:tabs>
              <w:tab w:val="right" w:leader="dot" w:pos="8297"/>
            </w:tabs>
          </w:pPr>
          <w:r>
            <w:fldChar w:fldCharType="begin"/>
          </w:r>
          <w:r>
            <w:instrText xml:space="preserve"> HYPERLINK \l _Toc22055 </w:instrText>
          </w:r>
          <w:r>
            <w:fldChar w:fldCharType="separate"/>
          </w:r>
          <w:r>
            <w:rPr>
              <w:rFonts w:hint="default" w:eastAsia="黑体"/>
            </w:rPr>
            <w:t xml:space="preserve">9.2 </w:t>
          </w:r>
          <w:r>
            <w:rPr>
              <w:rFonts w:hint="eastAsia"/>
            </w:rPr>
            <w:t>详细</w:t>
          </w:r>
          <w:r>
            <w:t>规划传导</w:t>
          </w:r>
          <w:r>
            <w:tab/>
          </w:r>
          <w:r>
            <w:fldChar w:fldCharType="begin"/>
          </w:r>
          <w:r>
            <w:instrText xml:space="preserve"> PAGEREF _Toc22055 \h </w:instrText>
          </w:r>
          <w:r>
            <w:fldChar w:fldCharType="separate"/>
          </w:r>
          <w:r>
            <w:t>85</w:t>
          </w:r>
          <w:r>
            <w:fldChar w:fldCharType="end"/>
          </w:r>
          <w:r>
            <w:fldChar w:fldCharType="end"/>
          </w:r>
        </w:p>
        <w:p w14:paraId="1EB6EEA7">
          <w:pPr>
            <w:pStyle w:val="11"/>
            <w:tabs>
              <w:tab w:val="right" w:leader="dot" w:pos="8297"/>
            </w:tabs>
          </w:pPr>
          <w:r>
            <w:fldChar w:fldCharType="begin"/>
          </w:r>
          <w:r>
            <w:instrText xml:space="preserve"> HYPERLINK \l _Toc30171 </w:instrText>
          </w:r>
          <w:r>
            <w:fldChar w:fldCharType="separate"/>
          </w:r>
          <w:r>
            <w:rPr>
              <w:rFonts w:hint="default" w:eastAsia="黑体"/>
            </w:rPr>
            <w:t xml:space="preserve">9.3 </w:t>
          </w:r>
          <w:r>
            <w:rPr>
              <w:rFonts w:hint="eastAsia"/>
            </w:rPr>
            <w:t>近期行动计划</w:t>
          </w:r>
          <w:r>
            <w:tab/>
          </w:r>
          <w:r>
            <w:fldChar w:fldCharType="begin"/>
          </w:r>
          <w:r>
            <w:instrText xml:space="preserve"> PAGEREF _Toc30171 \h </w:instrText>
          </w:r>
          <w:r>
            <w:fldChar w:fldCharType="separate"/>
          </w:r>
          <w:r>
            <w:t>86</w:t>
          </w:r>
          <w:r>
            <w:fldChar w:fldCharType="end"/>
          </w:r>
          <w:r>
            <w:fldChar w:fldCharType="end"/>
          </w:r>
        </w:p>
        <w:p w14:paraId="7CF7BAE4">
          <w:pPr>
            <w:pStyle w:val="11"/>
            <w:tabs>
              <w:tab w:val="right" w:leader="dot" w:pos="8297"/>
            </w:tabs>
          </w:pPr>
          <w:r>
            <w:fldChar w:fldCharType="begin"/>
          </w:r>
          <w:r>
            <w:instrText xml:space="preserve"> HYPERLINK \l _Toc15861 </w:instrText>
          </w:r>
          <w:r>
            <w:fldChar w:fldCharType="separate"/>
          </w:r>
          <w:r>
            <w:rPr>
              <w:rFonts w:hint="default" w:eastAsia="黑体"/>
            </w:rPr>
            <w:t xml:space="preserve">9.4 </w:t>
          </w:r>
          <w:r>
            <w:rPr>
              <w:rFonts w:hint="eastAsia"/>
            </w:rPr>
            <w:t>“一张图”建设与实施监督</w:t>
          </w:r>
          <w:r>
            <w:tab/>
          </w:r>
          <w:r>
            <w:fldChar w:fldCharType="begin"/>
          </w:r>
          <w:r>
            <w:instrText xml:space="preserve"> PAGEREF _Toc15861 \h </w:instrText>
          </w:r>
          <w:r>
            <w:fldChar w:fldCharType="separate"/>
          </w:r>
          <w:r>
            <w:t>88</w:t>
          </w:r>
          <w:r>
            <w:fldChar w:fldCharType="end"/>
          </w:r>
          <w:r>
            <w:fldChar w:fldCharType="end"/>
          </w:r>
        </w:p>
        <w:p w14:paraId="16BFB405">
          <w:pPr>
            <w:pStyle w:val="10"/>
            <w:tabs>
              <w:tab w:val="right" w:leader="dot" w:pos="8287"/>
            </w:tabs>
          </w:pPr>
          <w:r>
            <w:fldChar w:fldCharType="end"/>
          </w:r>
        </w:p>
      </w:sdtContent>
    </w:sdt>
    <w:p w14:paraId="5369F483">
      <w:pPr>
        <w:pStyle w:val="2"/>
        <w:bidi w:val="0"/>
        <w:rPr>
          <w:rFonts w:hint="eastAsia"/>
        </w:rPr>
        <w:sectPr>
          <w:headerReference r:id="rId18" w:type="first"/>
          <w:footerReference r:id="rId20" w:type="first"/>
          <w:headerReference r:id="rId17" w:type="default"/>
          <w:footerReference r:id="rId19" w:type="default"/>
          <w:pgSz w:w="11906" w:h="16838"/>
          <w:pgMar w:top="1491" w:right="1809" w:bottom="991" w:left="1800" w:header="720" w:footer="992" w:gutter="0"/>
          <w:pgNumType w:start="1"/>
          <w:cols w:space="720" w:num="1"/>
          <w:titlePg/>
          <w:docGrid w:linePitch="435" w:charSpace="0"/>
        </w:sectPr>
      </w:pPr>
    </w:p>
    <w:p w14:paraId="7F4459D5">
      <w:pPr>
        <w:pStyle w:val="2"/>
        <w:bidi w:val="0"/>
        <w:rPr>
          <w:rFonts w:hint="eastAsia"/>
        </w:rPr>
      </w:pPr>
      <w:bookmarkStart w:id="0" w:name="_Toc133419305"/>
      <w:bookmarkStart w:id="1" w:name="_Toc10171"/>
      <w:bookmarkStart w:id="2" w:name="_Toc152937178"/>
      <w:bookmarkStart w:id="3" w:name="_Toc17537"/>
      <w:bookmarkStart w:id="4" w:name="_Toc381586"/>
      <w:bookmarkStart w:id="5" w:name="_Toc114829196"/>
      <w:bookmarkStart w:id="6" w:name="_Toc80001913"/>
      <w:r>
        <w:t>总则</w:t>
      </w:r>
      <w:bookmarkEnd w:id="0"/>
      <w:bookmarkEnd w:id="1"/>
      <w:bookmarkEnd w:id="2"/>
      <w:bookmarkEnd w:id="3"/>
      <w:bookmarkEnd w:id="4"/>
    </w:p>
    <w:p w14:paraId="7C3746F2">
      <w:pPr>
        <w:pStyle w:val="4"/>
        <w:bidi w:val="0"/>
        <w:rPr>
          <w:rFonts w:hint="eastAsia"/>
        </w:rPr>
      </w:pPr>
      <w:bookmarkStart w:id="7" w:name="_Toc9266"/>
      <w:bookmarkStart w:id="8" w:name="_Toc381587"/>
      <w:r>
        <w:rPr>
          <w:rFonts w:hint="eastAsia"/>
        </w:rPr>
        <w:t>规划定位</w:t>
      </w:r>
      <w:bookmarkEnd w:id="7"/>
    </w:p>
    <w:p w14:paraId="6FA9BACE">
      <w:pPr>
        <w:rPr>
          <w:rFonts w:hint="eastAsia"/>
        </w:rPr>
      </w:pPr>
      <w:r>
        <w:rPr>
          <w:rFonts w:hint="eastAsia"/>
        </w:rPr>
        <w:t>《桓仁满族自治县普乐堡镇国土空间总体规划（2021-2035年）》是对桓仁满族自治县（以下简称“桓仁县”）国土空间总体规划的细化落实，是对规划期内普乐堡镇全域国土空间</w:t>
      </w:r>
      <w:r>
        <w:t>保护、开发、利用、修复</w:t>
      </w:r>
      <w:r>
        <w:rPr>
          <w:rFonts w:hint="eastAsia"/>
        </w:rPr>
        <w:t>等工作作出的具体安排，是编制详细规划和实施国土空间用途管制的基本依据，也是落实乡村振兴战略的重要抓手。</w:t>
      </w:r>
    </w:p>
    <w:p w14:paraId="5D706BA4">
      <w:pPr>
        <w:pStyle w:val="4"/>
        <w:bidi w:val="0"/>
        <w:rPr>
          <w:rFonts w:hint="eastAsia"/>
        </w:rPr>
      </w:pPr>
      <w:r>
        <w:t>指导思想</w:t>
      </w:r>
    </w:p>
    <w:p w14:paraId="3CDE67B1">
      <w:r>
        <w:rPr>
          <w:rFonts w:hint="eastAsia"/>
        </w:rPr>
        <w:t>以习近平新时代中国特色社会主义思想为指导，认真学习贯彻党的二十大和二十届二中、三中全会精神，深入贯彻习近平总书记关于东北、辽宁振兴发展的重要讲话和指示精神，特别是习近平总书记到辽宁考察时的重要讲话精神，统筹推进“五位一体”总体布局，协调推进“四个全面”战略布局，履行维护国家“五大安全”政治使命，立足新发展阶段，贯彻新发展理念，主动服务和融入新发展格局，坚持以人民为中心，统筹安排全域国土空间开发与保护，突出耕地和永久基本农田、生态保护红线、城镇开发边界的底线约束，优化农业、生态、城镇等空间布局，保护传承历史文化遗产，提高国土空间资源利用效率，构建美丽国土空间格局，推动高质量发展，创造高品质生活，实现高水平治理</w:t>
      </w:r>
      <w:r>
        <w:t>，为实现</w:t>
      </w:r>
      <w:r>
        <w:rPr>
          <w:rFonts w:hint="eastAsia"/>
        </w:rPr>
        <w:t>普乐堡镇</w:t>
      </w:r>
      <w:r>
        <w:t>全面振兴、全方位振兴提供空间引领和保障。</w:t>
      </w:r>
    </w:p>
    <w:p w14:paraId="3B3CC778">
      <w:pPr>
        <w:pStyle w:val="4"/>
        <w:bidi w:val="0"/>
        <w:rPr>
          <w:rFonts w:hint="eastAsia"/>
        </w:rPr>
      </w:pPr>
      <w:r>
        <w:t>规划依据</w:t>
      </w:r>
    </w:p>
    <w:p w14:paraId="25BD1C17">
      <w:r>
        <w:t>1.</w:t>
      </w:r>
      <w:r>
        <w:rPr>
          <w:rFonts w:hint="eastAsia"/>
        </w:rPr>
        <w:t>法律法规</w:t>
      </w:r>
    </w:p>
    <w:p w14:paraId="62EB5B7F">
      <w:r>
        <w:rPr>
          <w:rFonts w:hint="eastAsia"/>
        </w:rPr>
        <w:t>（</w:t>
      </w:r>
      <w:r>
        <w:t>1）《中华人民共和国土地管理法》</w:t>
      </w:r>
      <w:r>
        <w:rPr>
          <w:rFonts w:hint="eastAsia"/>
        </w:rPr>
        <w:t>（2</w:t>
      </w:r>
      <w:r>
        <w:t>019</w:t>
      </w:r>
      <w:r>
        <w:rPr>
          <w:rFonts w:hint="eastAsia"/>
        </w:rPr>
        <w:t>年修正）</w:t>
      </w:r>
      <w:r>
        <w:t>；</w:t>
      </w:r>
    </w:p>
    <w:p w14:paraId="7A21F95D">
      <w:r>
        <w:rPr>
          <w:rFonts w:hint="eastAsia"/>
        </w:rPr>
        <w:t>（</w:t>
      </w:r>
      <w:r>
        <w:t>2）《中华人民共和国</w:t>
      </w:r>
      <w:r>
        <w:rPr>
          <w:rFonts w:hint="eastAsia"/>
        </w:rPr>
        <w:t>城乡规划</w:t>
      </w:r>
      <w:r>
        <w:t>法》</w:t>
      </w:r>
      <w:r>
        <w:rPr>
          <w:rFonts w:hint="eastAsia"/>
        </w:rPr>
        <w:t>（2</w:t>
      </w:r>
      <w:r>
        <w:t>019</w:t>
      </w:r>
      <w:r>
        <w:rPr>
          <w:rFonts w:hint="eastAsia"/>
        </w:rPr>
        <w:t>年修正）</w:t>
      </w:r>
      <w:r>
        <w:t>；</w:t>
      </w:r>
    </w:p>
    <w:p w14:paraId="04686A03">
      <w:r>
        <w:rPr>
          <w:rFonts w:hint="eastAsia"/>
        </w:rPr>
        <w:t>（3）《中华人民共和国黑土地保护法》（2022年）；</w:t>
      </w:r>
    </w:p>
    <w:p w14:paraId="34B7A711">
      <w:r>
        <w:rPr>
          <w:rFonts w:hint="eastAsia"/>
        </w:rPr>
        <w:t>（4）《中华人民共和国湿地保护法》（2022年）；</w:t>
      </w:r>
    </w:p>
    <w:p w14:paraId="049116F0">
      <w:r>
        <w:rPr>
          <w:rFonts w:hint="eastAsia"/>
        </w:rPr>
        <w:t>（5）《中华人民共和国乡村振兴促进法》（2021年）；</w:t>
      </w:r>
    </w:p>
    <w:p w14:paraId="4D29ADE8">
      <w:r>
        <w:rPr>
          <w:rFonts w:hint="eastAsia"/>
        </w:rPr>
        <w:t>（6）《中华人民共和国军事设施保护法》（2021年修订版）；</w:t>
      </w:r>
    </w:p>
    <w:p w14:paraId="53018A60">
      <w:r>
        <w:rPr>
          <w:rFonts w:hint="eastAsia"/>
        </w:rPr>
        <w:t>（7）《中华人民共和国消防法》（2021年修正版）；</w:t>
      </w:r>
    </w:p>
    <w:p w14:paraId="7D2670B2">
      <w:r>
        <w:rPr>
          <w:rFonts w:hint="eastAsia"/>
        </w:rPr>
        <w:t>（8）《中华人民共和国基本医疗卫生与健康促进法》（2020年）；</w:t>
      </w:r>
    </w:p>
    <w:p w14:paraId="46BE451D">
      <w:r>
        <w:rPr>
          <w:rFonts w:hint="eastAsia"/>
        </w:rPr>
        <w:t>（9）《中华人民共和国固体废物污染环境防治法》（2020年修订版）；</w:t>
      </w:r>
    </w:p>
    <w:p w14:paraId="0C6E4B78">
      <w:r>
        <w:rPr>
          <w:rFonts w:hint="eastAsia"/>
        </w:rPr>
        <w:t>（1</w:t>
      </w:r>
      <w:r>
        <w:t>0</w:t>
      </w:r>
      <w:r>
        <w:rPr>
          <w:rFonts w:hint="eastAsia"/>
        </w:rPr>
        <w:t>）《中华人民共和国森林法》（2019年修订版）；</w:t>
      </w:r>
    </w:p>
    <w:p w14:paraId="7E51FD93">
      <w:r>
        <w:rPr>
          <w:rFonts w:hint="eastAsia"/>
        </w:rPr>
        <w:t>（1</w:t>
      </w:r>
      <w:r>
        <w:t>1</w:t>
      </w:r>
      <w:r>
        <w:rPr>
          <w:rFonts w:hint="eastAsia"/>
        </w:rPr>
        <w:t>）《中华人民共和国文物保护法》（2017年修订版）；</w:t>
      </w:r>
    </w:p>
    <w:p w14:paraId="2A79FF71">
      <w:r>
        <w:rPr>
          <w:rFonts w:hint="eastAsia"/>
        </w:rPr>
        <w:t>（1</w:t>
      </w:r>
      <w:r>
        <w:t>2</w:t>
      </w:r>
      <w:r>
        <w:rPr>
          <w:rFonts w:hint="eastAsia"/>
        </w:rPr>
        <w:t>）《中华人民共和国防洪法》（2016年修订版）；</w:t>
      </w:r>
    </w:p>
    <w:p w14:paraId="25496273">
      <w:r>
        <w:rPr>
          <w:rFonts w:hint="eastAsia"/>
        </w:rPr>
        <w:t>（1</w:t>
      </w:r>
      <w:r>
        <w:t>3</w:t>
      </w:r>
      <w:r>
        <w:rPr>
          <w:rFonts w:hint="eastAsia"/>
        </w:rPr>
        <w:t>）《中华人民共和国环境保护法》（2014年修订版）；</w:t>
      </w:r>
    </w:p>
    <w:p w14:paraId="0B52ABCC">
      <w:r>
        <w:rPr>
          <w:rFonts w:hint="eastAsia"/>
        </w:rPr>
        <w:t>（1</w:t>
      </w:r>
      <w:r>
        <w:t>4</w:t>
      </w:r>
      <w:r>
        <w:rPr>
          <w:rFonts w:hint="eastAsia"/>
        </w:rPr>
        <w:t>）《中华人民共和国农业法》（2012年修订版）；</w:t>
      </w:r>
    </w:p>
    <w:p w14:paraId="7D9578AA">
      <w:r>
        <w:rPr>
          <w:rFonts w:hint="eastAsia"/>
        </w:rPr>
        <w:t>（1</w:t>
      </w:r>
      <w:r>
        <w:t>5</w:t>
      </w:r>
      <w:r>
        <w:rPr>
          <w:rFonts w:hint="eastAsia"/>
        </w:rPr>
        <w:t>）《中华人民共和国土地管理法实施条例》（2021年修订版）；</w:t>
      </w:r>
    </w:p>
    <w:p w14:paraId="6A42FD81">
      <w:r>
        <w:rPr>
          <w:rFonts w:hint="eastAsia"/>
        </w:rPr>
        <w:t>（1</w:t>
      </w:r>
      <w:r>
        <w:t>6</w:t>
      </w:r>
      <w:r>
        <w:rPr>
          <w:rFonts w:hint="eastAsia"/>
        </w:rPr>
        <w:t>）《中华人民共和国自然保护区条例》（2017年修订版）；</w:t>
      </w:r>
    </w:p>
    <w:p w14:paraId="27041F7F">
      <w:r>
        <w:rPr>
          <w:rFonts w:hint="eastAsia"/>
        </w:rPr>
        <w:t>（1</w:t>
      </w:r>
      <w:r>
        <w:t>7</w:t>
      </w:r>
      <w:r>
        <w:rPr>
          <w:rFonts w:hint="eastAsia"/>
        </w:rPr>
        <w:t>）《历史文化名城名镇名村保护条例》（2017年修订版）；</w:t>
      </w:r>
    </w:p>
    <w:p w14:paraId="6439189C">
      <w:r>
        <w:rPr>
          <w:rFonts w:hint="eastAsia"/>
        </w:rPr>
        <w:t>（1</w:t>
      </w:r>
      <w:r>
        <w:t>8</w:t>
      </w:r>
      <w:r>
        <w:rPr>
          <w:rFonts w:hint="eastAsia"/>
        </w:rPr>
        <w:t>）《风景名胜区条例》（2016年修订版）；</w:t>
      </w:r>
    </w:p>
    <w:p w14:paraId="7D7211D4">
      <w:r>
        <w:rPr>
          <w:rFonts w:hint="eastAsia"/>
        </w:rPr>
        <w:t>（1</w:t>
      </w:r>
      <w:r>
        <w:t>9</w:t>
      </w:r>
      <w:r>
        <w:rPr>
          <w:rFonts w:hint="eastAsia"/>
        </w:rPr>
        <w:t>）《基本农田保护条例》（2011年修订版）；</w:t>
      </w:r>
    </w:p>
    <w:p w14:paraId="1C22E735">
      <w:r>
        <w:rPr>
          <w:rFonts w:hint="eastAsia"/>
        </w:rPr>
        <w:t>（2</w:t>
      </w:r>
      <w:r>
        <w:t>0</w:t>
      </w:r>
      <w:r>
        <w:rPr>
          <w:rFonts w:hint="eastAsia"/>
        </w:rPr>
        <w:t>）《地质灾害防治条例》（2004年）；</w:t>
      </w:r>
    </w:p>
    <w:p w14:paraId="020C9308">
      <w:r>
        <w:rPr>
          <w:rFonts w:hint="eastAsia"/>
        </w:rPr>
        <w:t>（2</w:t>
      </w:r>
      <w:r>
        <w:t>1</w:t>
      </w:r>
      <w:r>
        <w:rPr>
          <w:rFonts w:hint="eastAsia"/>
        </w:rPr>
        <w:t>）《村庄和集镇规划建设管理条例》（1993年）。</w:t>
      </w:r>
    </w:p>
    <w:p w14:paraId="377144EA">
      <w:r>
        <w:rPr>
          <w:rFonts w:hint="eastAsia"/>
        </w:rPr>
        <w:t>2</w:t>
      </w:r>
      <w:r>
        <w:t>.</w:t>
      </w:r>
      <w:r>
        <w:rPr>
          <w:rFonts w:hint="eastAsia"/>
        </w:rPr>
        <w:t>标准规范</w:t>
      </w:r>
    </w:p>
    <w:p w14:paraId="0F6DA8E5">
      <w:r>
        <w:rPr>
          <w:rFonts w:hint="eastAsia"/>
        </w:rPr>
        <w:t>（</w:t>
      </w:r>
      <w:r>
        <w:t>1</w:t>
      </w:r>
      <w:r>
        <w:rPr>
          <w:rFonts w:hint="eastAsia"/>
        </w:rPr>
        <w:t>）《国土空间调查、规划、用途管制用地用海分类指南》（2</w:t>
      </w:r>
      <w:r>
        <w:t>023</w:t>
      </w:r>
      <w:r>
        <w:rPr>
          <w:rFonts w:hint="eastAsia"/>
        </w:rPr>
        <w:t>年印发）；</w:t>
      </w:r>
    </w:p>
    <w:p w14:paraId="7CF5022C">
      <w:r>
        <w:rPr>
          <w:rFonts w:hint="eastAsia"/>
        </w:rPr>
        <w:t>（</w:t>
      </w:r>
      <w:r>
        <w:t>2</w:t>
      </w:r>
      <w:r>
        <w:rPr>
          <w:rFonts w:hint="eastAsia"/>
        </w:rPr>
        <w:t>）《市级国土空间总体规划编制指南（试行）》；</w:t>
      </w:r>
    </w:p>
    <w:p w14:paraId="5E615FE6">
      <w:r>
        <w:rPr>
          <w:rFonts w:hint="eastAsia"/>
        </w:rPr>
        <w:t>（</w:t>
      </w:r>
      <w:r>
        <w:t>3</w:t>
      </w:r>
      <w:r>
        <w:rPr>
          <w:rFonts w:hint="eastAsia"/>
        </w:rPr>
        <w:t>）《辽宁省县级国土空间总体规划编制导则（试行）》；</w:t>
      </w:r>
    </w:p>
    <w:p w14:paraId="58A8D597">
      <w:r>
        <w:rPr>
          <w:rFonts w:hint="eastAsia"/>
        </w:rPr>
        <w:t>（</w:t>
      </w:r>
      <w:r>
        <w:t>4</w:t>
      </w:r>
      <w:r>
        <w:rPr>
          <w:rFonts w:hint="eastAsia"/>
        </w:rPr>
        <w:t>）《辽宁省乡镇级国土空间规划编制导则（试行）》；</w:t>
      </w:r>
    </w:p>
    <w:p w14:paraId="6016F64B">
      <w:r>
        <w:rPr>
          <w:rFonts w:hint="eastAsia"/>
        </w:rPr>
        <w:t>（</w:t>
      </w:r>
      <w:r>
        <w:t>5</w:t>
      </w:r>
      <w:r>
        <w:rPr>
          <w:rFonts w:hint="eastAsia"/>
        </w:rPr>
        <w:t>）《辽宁省村庄规划编制导则（试行）》；</w:t>
      </w:r>
    </w:p>
    <w:p w14:paraId="6BF37F6C">
      <w:r>
        <w:rPr>
          <w:rFonts w:hint="eastAsia"/>
        </w:rPr>
        <w:t>（</w:t>
      </w:r>
      <w:r>
        <w:t>6</w:t>
      </w:r>
      <w:r>
        <w:rPr>
          <w:rFonts w:hint="eastAsia"/>
        </w:rPr>
        <w:t>）《乡镇级国土空间规划数据库规范（试行）》；</w:t>
      </w:r>
    </w:p>
    <w:p w14:paraId="776C4CD0">
      <w:r>
        <w:rPr>
          <w:rFonts w:hint="eastAsia"/>
        </w:rPr>
        <w:t>（</w:t>
      </w:r>
      <w:r>
        <w:t>7</w:t>
      </w:r>
      <w:r>
        <w:rPr>
          <w:rFonts w:hint="eastAsia"/>
        </w:rPr>
        <w:t>）《辽宁省乡镇级国土空间总体规划汇交要求》（2024修订版）。</w:t>
      </w:r>
    </w:p>
    <w:p w14:paraId="10CBCE10">
      <w:r>
        <w:t>3.</w:t>
      </w:r>
      <w:r>
        <w:rPr>
          <w:rFonts w:hint="eastAsia"/>
        </w:rPr>
        <w:t>政策文件</w:t>
      </w:r>
    </w:p>
    <w:p w14:paraId="75ACF115">
      <w:r>
        <w:rPr>
          <w:rFonts w:hint="eastAsia"/>
        </w:rPr>
        <w:t>（1）《中共中央 国务院关于进一步加强城市规划建设管理工作的若干意见》（中发〔2016〕6号）；</w:t>
      </w:r>
    </w:p>
    <w:p w14:paraId="06A9B874">
      <w:r>
        <w:rPr>
          <w:rFonts w:hint="eastAsia"/>
        </w:rPr>
        <w:t>（2）《中共中央 国务院关于建立国土空间规划体系并监督实施的若干意见》（中发〔2019〕18号）；</w:t>
      </w:r>
    </w:p>
    <w:p w14:paraId="3815FD81">
      <w:r>
        <w:rPr>
          <w:rFonts w:hint="eastAsia"/>
        </w:rPr>
        <w:t>（3）《中共中央办公厅 国务院办公厅印发&lt;关于在国土空间规划中统筹划定落实三条控制线的指导意见&gt;的通知》（厅字〔2019〕48号）；</w:t>
      </w:r>
    </w:p>
    <w:p w14:paraId="3EAAFCA7">
      <w:r>
        <w:rPr>
          <w:rFonts w:hint="eastAsia"/>
        </w:rPr>
        <w:t>（</w:t>
      </w:r>
      <w:r>
        <w:t>4</w:t>
      </w:r>
      <w:r>
        <w:rPr>
          <w:rFonts w:hint="eastAsia"/>
        </w:rPr>
        <w:t>）《自然资源部中央农村工作领导小组办公室关于学习运用“千万工程”经验提高村庄规划编制质量和实效的通知》（自然资发〔2024〕1号）；</w:t>
      </w:r>
    </w:p>
    <w:p w14:paraId="40AB74C0">
      <w:r>
        <w:rPr>
          <w:rFonts w:hint="eastAsia"/>
        </w:rPr>
        <w:t>（</w:t>
      </w:r>
      <w:r>
        <w:t>5</w:t>
      </w:r>
      <w:r>
        <w:rPr>
          <w:rFonts w:hint="eastAsia"/>
        </w:rPr>
        <w:t>）《自然资源部关于深化规划用地“多审合一、多证合一”改革的通知》（自然资发〔2023〕69号）；</w:t>
      </w:r>
    </w:p>
    <w:p w14:paraId="0CAABAAD">
      <w:r>
        <w:rPr>
          <w:rFonts w:hint="eastAsia"/>
        </w:rPr>
        <w:t>（</w:t>
      </w:r>
      <w:r>
        <w:t>6</w:t>
      </w:r>
      <w:r>
        <w:rPr>
          <w:rFonts w:hint="eastAsia"/>
        </w:rPr>
        <w:t>）《辽宁省村庄建设边界初划实施方案》（辽自然资发〔2021〕29号）；</w:t>
      </w:r>
    </w:p>
    <w:p w14:paraId="0CC838EC">
      <w:r>
        <w:rPr>
          <w:rFonts w:hint="eastAsia"/>
        </w:rPr>
        <w:t>（</w:t>
      </w:r>
      <w:r>
        <w:t>7</w:t>
      </w:r>
      <w:r>
        <w:rPr>
          <w:rFonts w:hint="eastAsia"/>
        </w:rPr>
        <w:t>）《国务院办公厅关于坚决制止耕地“非农化”行为的通知》（国办发明电〔2020〕24号）；</w:t>
      </w:r>
    </w:p>
    <w:p w14:paraId="783C6071">
      <w:r>
        <w:rPr>
          <w:rFonts w:hint="eastAsia"/>
        </w:rPr>
        <w:t>（</w:t>
      </w:r>
      <w:r>
        <w:t>8</w:t>
      </w:r>
      <w:r>
        <w:rPr>
          <w:rFonts w:hint="eastAsia"/>
        </w:rPr>
        <w:t>）《国务院办公厅关于防止耕地“非粮化”稳定粮食生产的意见》（国办发〔2020〕44号）；</w:t>
      </w:r>
    </w:p>
    <w:p w14:paraId="3F4CBD6C">
      <w:r>
        <w:rPr>
          <w:rFonts w:hint="eastAsia"/>
        </w:rPr>
        <w:t>（</w:t>
      </w:r>
      <w:r>
        <w:t>9</w:t>
      </w:r>
      <w:r>
        <w:rPr>
          <w:rFonts w:hint="eastAsia"/>
        </w:rPr>
        <w:t>）《中共中央办公厅国务院办公厅印发〈关于建立以国家公园为主体的自然保护地体系的指导意见〉的通知》（中办发〔2019〕42号）；</w:t>
      </w:r>
    </w:p>
    <w:p w14:paraId="7E0BA123">
      <w:r>
        <w:rPr>
          <w:rFonts w:hint="eastAsia"/>
        </w:rPr>
        <w:t>（</w:t>
      </w:r>
      <w:r>
        <w:t>10</w:t>
      </w:r>
      <w:r>
        <w:rPr>
          <w:rFonts w:hint="eastAsia"/>
        </w:rPr>
        <w:t>）《中央农办农业农村部自然资源部国家发展改革委财政部关于统筹推进村庄规划的意见》（农规发〔2019〕1号）；</w:t>
      </w:r>
    </w:p>
    <w:p w14:paraId="1F31B1CE">
      <w:r>
        <w:rPr>
          <w:rFonts w:hint="eastAsia"/>
        </w:rPr>
        <w:t>（</w:t>
      </w:r>
      <w:r>
        <w:t>11</w:t>
      </w:r>
      <w:r>
        <w:rPr>
          <w:rFonts w:hint="eastAsia"/>
        </w:rPr>
        <w:t>）《自然资源部关于全面开展国土空间规划工作的通知》（自然资发〔2019〕87号）；</w:t>
      </w:r>
    </w:p>
    <w:p w14:paraId="507EE980">
      <w:r>
        <w:rPr>
          <w:rFonts w:hint="eastAsia"/>
        </w:rPr>
        <w:t>（</w:t>
      </w:r>
      <w:r>
        <w:t>12</w:t>
      </w:r>
      <w:r>
        <w:rPr>
          <w:rFonts w:hint="eastAsia"/>
        </w:rPr>
        <w:t>）《自然资源部办公厅关于开展国土空间规划“一张图”建设和现状评估工作的通知》（自然资办发〔2019〕38号）；</w:t>
      </w:r>
    </w:p>
    <w:p w14:paraId="2FD0C026">
      <w:r>
        <w:rPr>
          <w:rFonts w:hint="eastAsia"/>
        </w:rPr>
        <w:t>（</w:t>
      </w:r>
      <w:r>
        <w:t>13</w:t>
      </w:r>
      <w:r>
        <w:rPr>
          <w:rFonts w:hint="eastAsia"/>
        </w:rPr>
        <w:t>）《自然资源部办公厅关于加强村庄规划促进乡村振兴的通知》（自然资办发〔2019〕35号）；</w:t>
      </w:r>
    </w:p>
    <w:p w14:paraId="766833D0">
      <w:r>
        <w:rPr>
          <w:rFonts w:hint="eastAsia"/>
        </w:rPr>
        <w:t>（</w:t>
      </w:r>
      <w:r>
        <w:t>14</w:t>
      </w:r>
      <w:r>
        <w:rPr>
          <w:rFonts w:hint="eastAsia"/>
        </w:rPr>
        <w:t>）《落实乡村振兴战略推进村庄规划工作的实施方案》（辽自然资发〔2019〕48号）；</w:t>
      </w:r>
    </w:p>
    <w:p w14:paraId="1698B3BE">
      <w:r>
        <w:rPr>
          <w:rFonts w:hint="eastAsia"/>
        </w:rPr>
        <w:t>（</w:t>
      </w:r>
      <w:r>
        <w:t>15</w:t>
      </w:r>
      <w:r>
        <w:rPr>
          <w:rFonts w:hint="eastAsia"/>
        </w:rPr>
        <w:t>）《中共中央国务院关于实施乡村振兴战略的意见》（中发〔2018〕1号）；</w:t>
      </w:r>
    </w:p>
    <w:p w14:paraId="7B343931">
      <w:r>
        <w:rPr>
          <w:rFonts w:hint="eastAsia"/>
        </w:rPr>
        <w:t>（1</w:t>
      </w:r>
      <w:r>
        <w:t>6</w:t>
      </w:r>
      <w:r>
        <w:rPr>
          <w:rFonts w:hint="eastAsia"/>
        </w:rPr>
        <w:t>）《关于建立全省国土空间规划体系并监督实施的意见》（辽委发〔2020〕12号）；</w:t>
      </w:r>
    </w:p>
    <w:p w14:paraId="1D82FD58">
      <w:r>
        <w:t>4.</w:t>
      </w:r>
      <w:r>
        <w:rPr>
          <w:rFonts w:hint="eastAsia"/>
        </w:rPr>
        <w:t>相关规划</w:t>
      </w:r>
    </w:p>
    <w:p w14:paraId="453DEC37">
      <w:r>
        <w:rPr>
          <w:rFonts w:hint="eastAsia"/>
        </w:rPr>
        <w:t>（</w:t>
      </w:r>
      <w:r>
        <w:t>1）《全国国土空间规划纲要（2021—2035年）》；</w:t>
      </w:r>
    </w:p>
    <w:p w14:paraId="739BCC40">
      <w:r>
        <w:rPr>
          <w:rFonts w:hint="eastAsia"/>
        </w:rPr>
        <w:t>（</w:t>
      </w:r>
      <w:r>
        <w:t>2）《辽宁省国民经济和社会发展第十四个五年规划和二</w:t>
      </w:r>
      <w:r>
        <w:rPr>
          <w:rFonts w:hint="eastAsia" w:ascii="微软雅黑" w:hAnsi="微软雅黑" w:eastAsia="微软雅黑" w:cs="微软雅黑"/>
        </w:rPr>
        <w:t>〇</w:t>
      </w:r>
      <w:r>
        <w:rPr>
          <w:rFonts w:hint="eastAsia" w:ascii="仿宋_GB2312" w:hAnsi="仿宋_GB2312" w:cs="仿宋_GB2312"/>
        </w:rPr>
        <w:t>三五年远景目标纲要》；</w:t>
      </w:r>
    </w:p>
    <w:p w14:paraId="3AF79E06">
      <w:r>
        <w:rPr>
          <w:rFonts w:hint="eastAsia"/>
        </w:rPr>
        <w:t>（</w:t>
      </w:r>
      <w:r>
        <w:t>3）《辽宁省国土空间规划（2021—2035年）》；</w:t>
      </w:r>
    </w:p>
    <w:p w14:paraId="48761FE0">
      <w:r>
        <w:rPr>
          <w:rFonts w:hint="eastAsia"/>
        </w:rPr>
        <w:t>（</w:t>
      </w:r>
      <w:r>
        <w:t>4）《</w:t>
      </w:r>
      <w:r>
        <w:rPr>
          <w:rFonts w:hint="eastAsia"/>
        </w:rPr>
        <w:t>本溪市</w:t>
      </w:r>
      <w:r>
        <w:t>国土空间总体规划（2021—2035年）》；</w:t>
      </w:r>
    </w:p>
    <w:p w14:paraId="76B1AA17">
      <w:r>
        <w:rPr>
          <w:rFonts w:hint="eastAsia"/>
        </w:rPr>
        <w:t>（</w:t>
      </w:r>
      <w:r>
        <w:t>5）《</w:t>
      </w:r>
      <w:r>
        <w:rPr>
          <w:rFonts w:hint="eastAsia"/>
        </w:rPr>
        <w:t>本溪市</w:t>
      </w:r>
      <w:r>
        <w:t>国民经济和社会发展第十四个五年规划和二</w:t>
      </w:r>
      <w:r>
        <w:rPr>
          <w:rFonts w:hint="eastAsia" w:ascii="微软雅黑" w:hAnsi="微软雅黑" w:eastAsia="微软雅黑" w:cs="微软雅黑"/>
        </w:rPr>
        <w:t>〇</w:t>
      </w:r>
      <w:r>
        <w:rPr>
          <w:rFonts w:hint="eastAsia" w:ascii="仿宋_GB2312" w:hAnsi="仿宋_GB2312" w:cs="仿宋_GB2312"/>
        </w:rPr>
        <w:t>三五年远景目标纲要》；</w:t>
      </w:r>
    </w:p>
    <w:p w14:paraId="18D72CC5">
      <w:pPr>
        <w:rPr>
          <w:rFonts w:hint="eastAsia" w:ascii="仿宋_GB2312" w:hAnsi="仿宋_GB2312" w:cs="仿宋_GB2312"/>
        </w:rPr>
      </w:pPr>
      <w:r>
        <w:rPr>
          <w:rFonts w:hint="eastAsia"/>
        </w:rPr>
        <w:t>（</w:t>
      </w:r>
      <w:r>
        <w:t>6）《</w:t>
      </w:r>
      <w:r>
        <w:rPr>
          <w:rFonts w:hint="eastAsia"/>
        </w:rPr>
        <w:t>桓仁满族自治县</w:t>
      </w:r>
      <w:r>
        <w:t>国民经济和社会发展第十四个五年规划和二</w:t>
      </w:r>
      <w:r>
        <w:rPr>
          <w:rFonts w:hint="eastAsia" w:ascii="微软雅黑" w:hAnsi="微软雅黑" w:eastAsia="微软雅黑" w:cs="微软雅黑"/>
        </w:rPr>
        <w:t>〇</w:t>
      </w:r>
      <w:r>
        <w:rPr>
          <w:rFonts w:hint="eastAsia" w:ascii="仿宋_GB2312" w:hAnsi="仿宋_GB2312" w:cs="仿宋_GB2312"/>
        </w:rPr>
        <w:t>三五年远景目标纲要》；</w:t>
      </w:r>
    </w:p>
    <w:p w14:paraId="11DD3126">
      <w:pPr>
        <w:rPr>
          <w:rFonts w:hint="eastAsia" w:ascii="仿宋_GB2312" w:hAnsi="仿宋_GB2312" w:cs="仿宋_GB2312"/>
        </w:rPr>
      </w:pPr>
      <w:r>
        <w:rPr>
          <w:rFonts w:hint="eastAsia"/>
        </w:rPr>
        <w:t>（</w:t>
      </w:r>
      <w:r>
        <w:t>7</w:t>
      </w:r>
      <w:r>
        <w:rPr>
          <w:rFonts w:hint="eastAsia"/>
        </w:rPr>
        <w:t>）</w:t>
      </w:r>
      <w:r>
        <w:rPr>
          <w:rFonts w:hint="eastAsia" w:ascii="仿宋_GB2312" w:hAnsi="仿宋_GB2312" w:cs="仿宋_GB2312"/>
        </w:rPr>
        <w:t>《</w:t>
      </w:r>
      <w:r>
        <w:rPr>
          <w:rFonts w:hint="eastAsia"/>
        </w:rPr>
        <w:t>桓仁满族自治县</w:t>
      </w:r>
      <w:r>
        <w:rPr>
          <w:rFonts w:hint="eastAsia" w:ascii="仿宋_GB2312" w:hAnsi="仿宋_GB2312" w:cs="仿宋_GB2312"/>
        </w:rPr>
        <w:t>国土空间总体规划（2021-2035年）》；</w:t>
      </w:r>
    </w:p>
    <w:p w14:paraId="6DB33F64">
      <w:pPr>
        <w:rPr>
          <w:color w:val="249087" w:themeColor="accent5" w:themeShade="BF"/>
        </w:rPr>
      </w:pPr>
      <w:r>
        <w:rPr>
          <w:rFonts w:hint="eastAsia"/>
        </w:rPr>
        <w:t>国家、省、市其他相关法律法规、标准规范和政策文件。</w:t>
      </w:r>
    </w:p>
    <w:p w14:paraId="1093CF33">
      <w:pPr>
        <w:pStyle w:val="4"/>
        <w:bidi w:val="0"/>
        <w:rPr>
          <w:rFonts w:hint="eastAsia"/>
        </w:rPr>
      </w:pPr>
      <w:r>
        <w:t>规划范围</w:t>
      </w:r>
    </w:p>
    <w:p w14:paraId="11809259">
      <w:r>
        <w:rPr>
          <w:rFonts w:hint="eastAsia"/>
        </w:rPr>
        <w:t>本次</w:t>
      </w:r>
      <w:r>
        <w:t>规划范围</w:t>
      </w:r>
      <w:r>
        <w:rPr>
          <w:rFonts w:hint="eastAsia"/>
        </w:rPr>
        <w:t>为普乐堡镇</w:t>
      </w:r>
      <w:r>
        <w:t>行政辖区</w:t>
      </w:r>
      <w:r>
        <w:rPr>
          <w:rFonts w:hint="eastAsia"/>
        </w:rPr>
        <w:t>内全部国土空间</w:t>
      </w:r>
      <w:r>
        <w:t>，</w:t>
      </w:r>
      <w:r>
        <w:rPr>
          <w:rFonts w:hint="eastAsia"/>
        </w:rPr>
        <w:t>共辖7个行政村，总面积310.29平方公里。镇中心区为城镇开发边界的范围，总面积86.67公顷。</w:t>
      </w:r>
    </w:p>
    <w:p w14:paraId="0C7B2A5D">
      <w:pPr>
        <w:pStyle w:val="4"/>
        <w:bidi w:val="0"/>
        <w:rPr>
          <w:rFonts w:hint="eastAsia"/>
        </w:rPr>
      </w:pPr>
      <w:r>
        <w:t>规划期限</w:t>
      </w:r>
    </w:p>
    <w:p w14:paraId="6C14F6F1">
      <w:r>
        <w:t>规划基期年为2020年，规划期限为2021-2035年，近期与国民经济和社会发展五年规划期限相衔接，远景展望</w:t>
      </w:r>
      <w:r>
        <w:rPr>
          <w:rFonts w:hint="eastAsia"/>
        </w:rPr>
        <w:t>到</w:t>
      </w:r>
      <w:r>
        <w:t>2050年。</w:t>
      </w:r>
    </w:p>
    <w:p w14:paraId="7B526E7D">
      <w:pPr>
        <w:pStyle w:val="4"/>
        <w:bidi w:val="0"/>
        <w:rPr>
          <w:rFonts w:hint="eastAsia"/>
        </w:rPr>
      </w:pPr>
      <w:r>
        <w:rPr>
          <w:rFonts w:hint="eastAsia"/>
        </w:rPr>
        <w:t>规划原则</w:t>
      </w:r>
    </w:p>
    <w:p w14:paraId="2465A3D4">
      <w:r>
        <w:rPr>
          <w:rFonts w:hint="eastAsia"/>
        </w:rPr>
        <w:t>底线约束，绿色低碳。</w:t>
      </w:r>
      <w:r>
        <w:t>树立生态文明理念，倡导节约集约、高效绿色的国土资源开发利用方式，推广绿色生产生活模式。</w:t>
      </w:r>
    </w:p>
    <w:p w14:paraId="6A4ABD93">
      <w:r>
        <w:rPr>
          <w:rFonts w:hint="eastAsia"/>
        </w:rPr>
        <w:t>集聚提升，创新高效。集聚人、城、产、基础设施要素，优化生产力空间布局。推动发展动能转换，保障创新生产空间，强化创新动能的核心引领作用。提高自然资源利用效率，提升节约集约利用水平。</w:t>
      </w:r>
    </w:p>
    <w:p w14:paraId="5057AE22">
      <w:r>
        <w:rPr>
          <w:rFonts w:hint="eastAsia"/>
        </w:rPr>
        <w:t>彰显特色，品质宜居。彰显地方自然人文特色，提升国土空间魅力。坚持以人为本，增加高水平公共服务、高品质公共空间和高质量基础设施供给，增强城镇安全韧性，提升人民群众的获得感、幸福感、安全感。</w:t>
      </w:r>
    </w:p>
    <w:p w14:paraId="4EC0203F">
      <w:r>
        <w:rPr>
          <w:rFonts w:hint="eastAsia"/>
        </w:rPr>
        <w:t>精细管理，共建共治。坚持问题导向、目标导向、实施导向相结合，形成政府组织、专家衔接、部门合作、公众参与、科学决策的工作方式。建立国土空间规划“一张图”实施监督信息系统，推动“多规合一”和空间治理能力现代化。</w:t>
      </w:r>
    </w:p>
    <w:p w14:paraId="3BA1FF2F">
      <w:pPr>
        <w:pStyle w:val="4"/>
        <w:bidi w:val="0"/>
        <w:rPr>
          <w:rFonts w:hint="eastAsia"/>
        </w:rPr>
      </w:pPr>
      <w:r>
        <w:rPr>
          <w:rFonts w:hint="eastAsia"/>
        </w:rPr>
        <w:t>编制目的</w:t>
      </w:r>
    </w:p>
    <w:bookmarkEnd w:id="8"/>
    <w:p w14:paraId="50C76FEF">
      <w:r>
        <w:rPr>
          <w:rFonts w:hint="eastAsia"/>
        </w:rPr>
        <w:t>为了贯彻《中共中央 国务院关于建立国土空间规划体系并监督实施的若干意见》（中发［2019］18号），构建以空间治理和空间结构优化为主要内容，全国统一、相互衔接、分级管理的空间规划体系。为提高规划的科学性和可操作性，本规划是普乐堡镇国土空间可持续发展的指南，是实施各类开发建设和生态环境保护活动的重要依据，是构建科学适度有序国土空间布局体系、健全国土空间开发保护制度的基本保障。科学编制普乐堡镇国土空间规划，是整体谋划新时代普乐堡镇国土空间开发保护格局，是加快普乐堡镇形成绿色生产方式和生活方式、实现高质量发展的重要手段，更是促进国土空间治理能力现代化、推进生态文明建设的必然要求。</w:t>
      </w:r>
    </w:p>
    <w:p w14:paraId="0E1E1711">
      <w:r>
        <w:rPr>
          <w:rFonts w:hint="eastAsia"/>
        </w:rPr>
        <w:t>细化落实《桓仁满族自治县国土空间总体规划（2021-2035年）》确定的目标任务和空间指标，并分解下达至各村，进行科学规划，谋划普乐堡镇国土空间格局优化，资源要素的保护与开发利用。形成普乐堡镇国土空间规划“一张图”，优化普乐堡镇国土空间分区管控，有效推进城镇化进程，对普乐堡镇建设进行指导，走出质量更高、效益更好、结构更优、优势充分释放的发展新路</w:t>
      </w:r>
      <w:r>
        <w:t>。</w:t>
      </w:r>
    </w:p>
    <w:p w14:paraId="741C34A8">
      <w:pPr>
        <w:pStyle w:val="4"/>
        <w:bidi w:val="0"/>
        <w:rPr>
          <w:rFonts w:hint="eastAsia"/>
        </w:rPr>
      </w:pPr>
      <w:r>
        <w:rPr>
          <w:rFonts w:hint="eastAsia"/>
        </w:rPr>
        <w:t>规划层次</w:t>
      </w:r>
    </w:p>
    <w:p w14:paraId="13BF8D67">
      <w:r>
        <w:rPr>
          <w:rFonts w:hint="eastAsia"/>
        </w:rPr>
        <w:t>本次国土空间总体规划包括古城镇全域和镇中心区两个层次。</w:t>
      </w:r>
    </w:p>
    <w:p w14:paraId="36A06AF5">
      <w:bookmarkStart w:id="9" w:name="_Toc152937187"/>
      <w:bookmarkStart w:id="10" w:name="_Hlk129364386"/>
    </w:p>
    <w:p w14:paraId="4333F7DE">
      <w:pPr>
        <w:pStyle w:val="2"/>
        <w:bidi w:val="0"/>
        <w:rPr>
          <w:rFonts w:hint="eastAsia"/>
        </w:rPr>
      </w:pPr>
      <w:bookmarkStart w:id="11" w:name="_Toc6663"/>
      <w:bookmarkStart w:id="12" w:name="_Toc2852"/>
      <w:r>
        <w:t>发展定位与目标</w:t>
      </w:r>
      <w:bookmarkEnd w:id="9"/>
      <w:bookmarkEnd w:id="11"/>
      <w:bookmarkEnd w:id="12"/>
    </w:p>
    <w:p w14:paraId="3BB8E8B3">
      <w:r>
        <w:t>立足第二个百年奋斗目标，围绕2035年基本实现社会主义现代化目标，支撑区域协调发展战略，针对</w:t>
      </w:r>
      <w:r>
        <w:rPr>
          <w:rFonts w:hint="eastAsia"/>
        </w:rPr>
        <w:t>普乐堡镇</w:t>
      </w:r>
      <w:r>
        <w:t>国土空间开发保护中的问题挑战和机遇使命，明确国土空间开发保护总体定位、发展目标和国土空间开发保护战略，指导国土空间格局优化。</w:t>
      </w:r>
    </w:p>
    <w:p w14:paraId="3FC3E7D4">
      <w:pPr>
        <w:pStyle w:val="3"/>
        <w:bidi w:val="0"/>
      </w:pPr>
      <w:bookmarkStart w:id="13" w:name="_Toc23559"/>
      <w:bookmarkStart w:id="14" w:name="_Toc13588"/>
      <w:r>
        <w:rPr>
          <w:rFonts w:hint="eastAsia"/>
        </w:rPr>
        <w:t>乡镇功能定位</w:t>
      </w:r>
      <w:bookmarkEnd w:id="13"/>
      <w:bookmarkEnd w:id="14"/>
    </w:p>
    <w:p w14:paraId="59A190D2">
      <w:pPr>
        <w:pStyle w:val="4"/>
        <w:bidi w:val="0"/>
        <w:rPr>
          <w:rFonts w:hint="eastAsia"/>
        </w:rPr>
      </w:pPr>
      <w:r>
        <w:rPr>
          <w:rFonts w:hint="eastAsia"/>
        </w:rPr>
        <w:t>功能定位</w:t>
      </w:r>
    </w:p>
    <w:p w14:paraId="263DBC34">
      <w:r>
        <w:rPr>
          <w:rFonts w:hint="eastAsia"/>
        </w:rPr>
        <w:t>根据《桓仁满族自治县国土空间总体规划（2021-2035年）》对乡镇的分类职能定位指引，确定普乐堡镇为重点镇，城镇类型为特色旅游型。依托普乐堡镇特色资源，将其建设成为以特色旅游节点为重要载体、以优质山水资源为天然依托，聚力打造桓仁西部集颐养度假、文化体验、生态旅游于一体的文旅中心镇。确定其定位为辽宁省革命老区乡村振兴示范区、本溪市山水体验旅游圣地、桓仁县西部发展中心。</w:t>
      </w:r>
    </w:p>
    <w:p w14:paraId="2969F0A8">
      <w:pPr>
        <w:ind w:firstLine="643"/>
      </w:pPr>
      <w:r>
        <w:rPr>
          <w:b/>
          <w:bCs/>
        </w:rPr>
        <w:t>辽宁省革命老区乡村振兴示范区</w:t>
      </w:r>
      <w:r>
        <w:rPr>
          <w:rFonts w:hint="eastAsia"/>
          <w:b/>
          <w:bCs/>
        </w:rPr>
        <w:t>。</w:t>
      </w:r>
      <w:r>
        <w:t>以省级革命老区振兴及省级乡村振兴示范带为主要发展主要着力点，打造省级革命老区乡村振兴示范区，全面提升乡村基础设施及产业发展水平</w:t>
      </w:r>
      <w:r>
        <w:rPr>
          <w:rFonts w:hint="eastAsia"/>
        </w:rPr>
        <w:t>。</w:t>
      </w:r>
    </w:p>
    <w:p w14:paraId="604227BC">
      <w:pPr>
        <w:ind w:firstLine="643"/>
      </w:pPr>
      <w:r>
        <w:rPr>
          <w:b/>
          <w:bCs/>
        </w:rPr>
        <w:t>本溪市山水体验旅游圣地。</w:t>
      </w:r>
      <w:r>
        <w:t>依托丰富的特色旅游资源及大雅河文旅产业带重要乡镇，集聚镇域范围内特色旅游资源，打造本溪市山水体验为主要发展方向、松花石、版画、红色革命遗址等为发展特色，打造桓仁县全域旅游西部中心点。</w:t>
      </w:r>
    </w:p>
    <w:p w14:paraId="64FB34CE">
      <w:pPr>
        <w:ind w:firstLine="643"/>
      </w:pPr>
      <w:r>
        <w:rPr>
          <w:b/>
          <w:bCs/>
        </w:rPr>
        <w:t>桓仁县西部发展中心。</w:t>
      </w:r>
      <w:r>
        <w:t>以建设现代化小城镇为目标，加快中心镇建设步伐，科学规划空间布局，承接县城功能和服务，带动周边乡镇发展的能力，打造县域新增长极。</w:t>
      </w:r>
    </w:p>
    <w:p w14:paraId="1425B70D">
      <w:pPr>
        <w:pStyle w:val="3"/>
        <w:bidi w:val="0"/>
      </w:pPr>
      <w:bookmarkStart w:id="15" w:name="_Toc17006"/>
      <w:bookmarkStart w:id="16" w:name="_Toc29120"/>
      <w:r>
        <w:rPr>
          <w:rFonts w:hint="eastAsia"/>
        </w:rPr>
        <w:t>国土空间开发保护目标</w:t>
      </w:r>
      <w:bookmarkEnd w:id="15"/>
      <w:bookmarkEnd w:id="16"/>
    </w:p>
    <w:p w14:paraId="05EC3D00">
      <w:pPr>
        <w:pStyle w:val="4"/>
        <w:bidi w:val="0"/>
        <w:rPr>
          <w:rFonts w:hint="eastAsia"/>
        </w:rPr>
      </w:pPr>
      <w:r>
        <w:rPr>
          <w:rFonts w:hint="eastAsia"/>
        </w:rPr>
        <w:t>国土空间开发保护目标与愿景</w:t>
      </w:r>
    </w:p>
    <w:p w14:paraId="52ECE338">
      <w:r>
        <w:rPr>
          <w:rFonts w:hint="eastAsia"/>
        </w:rPr>
        <w:t>总体目标：以人民对美好生活的向往为目标，坚持增进人民福祉，提升国土空间魅力和国土空间治理现代化水平，建设粮食与生态安全稳固，环境质量不断提升，生态修复卓有成效，人与自然更加和谐的美丽普乐堡。</w:t>
      </w:r>
    </w:p>
    <w:p w14:paraId="64D5BA5A">
      <w:r>
        <w:rPr>
          <w:rFonts w:hint="eastAsia"/>
        </w:rPr>
        <w:t>规划至</w:t>
      </w:r>
      <w:r>
        <w:t>2025年：以绿色为底蕴，彻底摆脱传统路径依赖、告别粗放发展方式，实现经济社会发展绿色转型，初步形成生态环境美、绿色发展优、开放活力足、创新能力强、营商环境好、幸福指数高的振兴发展新局面。国土空间保护水平显著提升，以国土空间规划为基础，以统一用途管制为手段的国土空间开发保护制度基本建成。</w:t>
      </w:r>
    </w:p>
    <w:p w14:paraId="765AF4D2">
      <w:r>
        <w:rPr>
          <w:rFonts w:hint="eastAsia"/>
        </w:rPr>
        <w:t>规划至</w:t>
      </w:r>
      <w:r>
        <w:t>2035年：主体功能明显、优势互补、高质量发展的国土空间开发保护新格局基本形成。</w:t>
      </w:r>
      <w:r>
        <w:rPr>
          <w:rFonts w:hint="eastAsia"/>
        </w:rPr>
        <w:t>城镇综合承载能力不断提升，新型城镇化和乡村振兴战略全面推进，城镇布局更加紧凑，人居环境持续改善。</w:t>
      </w:r>
      <w:r>
        <w:t>国土空间开发保护格局持续优化，以</w:t>
      </w:r>
      <w:r>
        <w:rPr>
          <w:rFonts w:hint="eastAsia"/>
        </w:rPr>
        <w:t>镇中心区</w:t>
      </w:r>
      <w:r>
        <w:t>为主体，</w:t>
      </w:r>
      <w:r>
        <w:rPr>
          <w:rFonts w:hint="eastAsia"/>
        </w:rPr>
        <w:t>中心村</w:t>
      </w:r>
      <w:r>
        <w:t>为支撑的多中心、网络化、集约式、开放式、协调式的国土空间开发保护格局基本形成。资源利用更加集约高效，资源保障能力显著提升，集约、绿色、低碳、循环的资源利用体系基本建成。</w:t>
      </w:r>
    </w:p>
    <w:p w14:paraId="1A6F0C3C">
      <w:r>
        <w:rPr>
          <w:rFonts w:hint="eastAsia"/>
        </w:rPr>
        <w:t>展望至</w:t>
      </w:r>
      <w:r>
        <w:t>2050年：</w:t>
      </w:r>
      <w:r>
        <w:rPr>
          <w:rFonts w:hint="eastAsia"/>
        </w:rPr>
        <w:t>国土空间治理体系和能力实现现代化。城乡互补、区域互通、三生互动的国土空间“生命共同体”格局全面形成，生态环境进入自然良性循环。全面建成生态宜居、繁荣富裕、可持续发展的生态文明新城镇，安全、绿色、开放、智慧、富有竞争力的美丽国土，巩固普乐堡镇在桓仁满族自治县区域发展格局中的战略地位，形成对市县重大战略的强有力支撑。</w:t>
      </w:r>
      <w:bookmarkEnd w:id="10"/>
      <w:bookmarkStart w:id="17" w:name="_Toc133419320"/>
      <w:bookmarkStart w:id="18" w:name="_Toc152937190"/>
    </w:p>
    <w:p w14:paraId="31351BA9">
      <w:pPr>
        <w:pStyle w:val="4"/>
        <w:bidi w:val="0"/>
        <w:rPr>
          <w:rFonts w:hint="eastAsia"/>
        </w:rPr>
      </w:pPr>
      <w:r>
        <w:rPr>
          <w:rFonts w:hint="eastAsia"/>
        </w:rPr>
        <w:t>指标管控</w:t>
      </w:r>
    </w:p>
    <w:p w14:paraId="5D72EF45">
      <w:pPr>
        <w:jc w:val="left"/>
        <w:rPr>
          <w:rFonts w:hint="eastAsia" w:ascii="仿宋_GB2312" w:hAnsi="仿宋_GB2312"/>
          <w:szCs w:val="24"/>
        </w:rPr>
      </w:pPr>
      <w:r>
        <w:rPr>
          <w:rFonts w:hint="eastAsia" w:ascii="仿宋_GB2312" w:hAnsi="仿宋_GB2312"/>
          <w:szCs w:val="24"/>
        </w:rPr>
        <w:t>本次规划在落实上位规划传导管控要求的基础上，结合普乐堡镇发展定位和规划目标，衔接乡村振兴发展战略。构建由约束性和预期性两类指标体系构成的普乐堡镇国土空间总体规划指标体系。</w:t>
      </w:r>
    </w:p>
    <w:p w14:paraId="21BC7B97">
      <w:pPr>
        <w:keepNext w:val="0"/>
        <w:keepLines w:val="0"/>
        <w:pageBreakBefore w:val="0"/>
        <w:widowControl w:val="0"/>
        <w:kinsoku/>
        <w:wordWrap/>
        <w:overflowPunct/>
        <w:topLinePunct w:val="0"/>
        <w:autoSpaceDE/>
        <w:autoSpaceDN/>
        <w:bidi w:val="0"/>
        <w:adjustRightInd w:val="0"/>
        <w:snapToGrid w:val="0"/>
        <w:spacing w:after="157" w:afterLines="50" w:line="600" w:lineRule="atLeast"/>
        <w:ind w:firstLine="0" w:firstLineChars="0"/>
        <w:jc w:val="center"/>
        <w:textAlignment w:val="auto"/>
        <w:outlineLvl w:val="9"/>
        <w:rPr>
          <w:rFonts w:hint="default" w:ascii="仿宋_GB2312" w:hAnsi="仿宋_GB2312" w:eastAsia="仿宋_GB2312"/>
          <w:szCs w:val="24"/>
          <w:lang w:val="en-US" w:eastAsia="zh-CN"/>
        </w:rPr>
      </w:pPr>
      <w:r>
        <w:rPr>
          <w:rFonts w:hint="eastAsia" w:eastAsia="黑体" w:cs="Times New Roman"/>
          <w:sz w:val="32"/>
          <w:szCs w:val="22"/>
          <w:u w:val="none"/>
          <w:lang w:val="en-US" w:eastAsia="zh-CN"/>
        </w:rPr>
        <w:t>表3.1规划指标体系表</w:t>
      </w:r>
    </w:p>
    <w:tbl>
      <w:tblPr>
        <w:tblStyle w:val="1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Layout w:type="autofit"/>
        <w:tblCellMar>
          <w:top w:w="0" w:type="dxa"/>
          <w:left w:w="0" w:type="dxa"/>
          <w:bottom w:w="0" w:type="dxa"/>
          <w:right w:w="0" w:type="dxa"/>
        </w:tblCellMar>
      </w:tblPr>
      <w:tblGrid>
        <w:gridCol w:w="525"/>
        <w:gridCol w:w="277"/>
        <w:gridCol w:w="658"/>
        <w:gridCol w:w="1694"/>
        <w:gridCol w:w="1272"/>
        <w:gridCol w:w="1272"/>
        <w:gridCol w:w="1103"/>
        <w:gridCol w:w="887"/>
        <w:gridCol w:w="904"/>
      </w:tblGrid>
      <w:tr w14:paraId="1D27A4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280" w:hRule="atLeast"/>
        </w:trPr>
        <w:tc>
          <w:tcPr>
            <w:tcW w:w="467" w:type="pct"/>
            <w:gridSpan w:val="2"/>
            <w:shd w:val="clear" w:color="auto" w:fill="FFFFFF" w:themeFill="background1"/>
            <w:tcMar>
              <w:left w:w="1" w:type="dxa"/>
              <w:right w:w="1" w:type="dxa"/>
            </w:tcMar>
            <w:vAlign w:val="center"/>
          </w:tcPr>
          <w:p w14:paraId="11E04C5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编号</w:t>
            </w:r>
          </w:p>
        </w:tc>
        <w:tc>
          <w:tcPr>
            <w:tcW w:w="1369" w:type="pct"/>
            <w:gridSpan w:val="2"/>
            <w:shd w:val="clear" w:color="auto" w:fill="FFFFFF" w:themeFill="background1"/>
            <w:tcMar>
              <w:left w:w="1" w:type="dxa"/>
              <w:right w:w="1" w:type="dxa"/>
            </w:tcMar>
            <w:vAlign w:val="center"/>
          </w:tcPr>
          <w:p w14:paraId="19E5D73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指标名称</w:t>
            </w:r>
          </w:p>
        </w:tc>
        <w:tc>
          <w:tcPr>
            <w:tcW w:w="740" w:type="pct"/>
            <w:shd w:val="clear" w:color="auto" w:fill="FFFFFF" w:themeFill="background1"/>
            <w:tcMar>
              <w:left w:w="1" w:type="dxa"/>
              <w:right w:w="1" w:type="dxa"/>
            </w:tcMar>
            <w:vAlign w:val="center"/>
          </w:tcPr>
          <w:p w14:paraId="6D4594C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规划基期年</w:t>
            </w:r>
          </w:p>
        </w:tc>
        <w:tc>
          <w:tcPr>
            <w:tcW w:w="740" w:type="pct"/>
            <w:shd w:val="clear" w:color="auto" w:fill="FFFFFF" w:themeFill="background1"/>
            <w:tcMar>
              <w:left w:w="1" w:type="dxa"/>
              <w:right w:w="1" w:type="dxa"/>
            </w:tcMar>
            <w:vAlign w:val="center"/>
          </w:tcPr>
          <w:p w14:paraId="5C609EA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规划近期年</w:t>
            </w:r>
          </w:p>
        </w:tc>
        <w:tc>
          <w:tcPr>
            <w:tcW w:w="642" w:type="pct"/>
            <w:shd w:val="clear" w:color="auto" w:fill="FFFFFF" w:themeFill="background1"/>
            <w:tcMar>
              <w:left w:w="1" w:type="dxa"/>
              <w:right w:w="1" w:type="dxa"/>
            </w:tcMar>
            <w:vAlign w:val="center"/>
          </w:tcPr>
          <w:p w14:paraId="2957611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规划目标年</w:t>
            </w:r>
          </w:p>
        </w:tc>
        <w:tc>
          <w:tcPr>
            <w:tcW w:w="516" w:type="pct"/>
            <w:shd w:val="clear" w:color="auto" w:fill="FFFFFF" w:themeFill="background1"/>
            <w:tcMar>
              <w:left w:w="1" w:type="dxa"/>
              <w:right w:w="1" w:type="dxa"/>
            </w:tcMar>
            <w:vAlign w:val="center"/>
          </w:tcPr>
          <w:p w14:paraId="641F298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指标属性</w:t>
            </w:r>
          </w:p>
        </w:tc>
        <w:tc>
          <w:tcPr>
            <w:tcW w:w="523" w:type="pct"/>
            <w:shd w:val="clear" w:color="auto" w:fill="FFFFFF" w:themeFill="background1"/>
            <w:tcMar>
              <w:left w:w="1" w:type="dxa"/>
              <w:right w:w="1" w:type="dxa"/>
            </w:tcMar>
            <w:vAlign w:val="center"/>
          </w:tcPr>
          <w:p w14:paraId="18CC799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指标层级</w:t>
            </w:r>
          </w:p>
        </w:tc>
      </w:tr>
      <w:tr w14:paraId="41C521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00" w:type="pct"/>
            <w:gridSpan w:val="9"/>
            <w:shd w:val="clear" w:color="auto" w:fill="FFFFFF" w:themeFill="background1"/>
            <w:tcMar>
              <w:left w:w="1" w:type="dxa"/>
              <w:right w:w="1" w:type="dxa"/>
            </w:tcMar>
            <w:vAlign w:val="center"/>
          </w:tcPr>
          <w:p w14:paraId="6F638CE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一、空间底线</w:t>
            </w:r>
          </w:p>
        </w:tc>
      </w:tr>
      <w:tr w14:paraId="0502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shd w:val="clear" w:color="auto" w:fill="FFFFFF" w:themeFill="background1"/>
            <w:tcMar>
              <w:left w:w="1" w:type="dxa"/>
              <w:right w:w="1" w:type="dxa"/>
            </w:tcMar>
            <w:vAlign w:val="center"/>
          </w:tcPr>
          <w:p w14:paraId="664404A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w:t>
            </w:r>
          </w:p>
        </w:tc>
        <w:tc>
          <w:tcPr>
            <w:tcW w:w="1529" w:type="pct"/>
            <w:gridSpan w:val="3"/>
            <w:shd w:val="clear" w:color="auto" w:fill="FFFFFF" w:themeFill="background1"/>
            <w:tcMar>
              <w:left w:w="1" w:type="dxa"/>
              <w:right w:w="1" w:type="dxa"/>
            </w:tcMar>
            <w:vAlign w:val="center"/>
          </w:tcPr>
          <w:p w14:paraId="14A97F5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耕地保有量（公顷）</w:t>
            </w:r>
          </w:p>
        </w:tc>
        <w:tc>
          <w:tcPr>
            <w:tcW w:w="740" w:type="pct"/>
            <w:shd w:val="clear" w:color="auto" w:fill="FFFFFF" w:themeFill="background1"/>
            <w:tcMar>
              <w:left w:w="1" w:type="dxa"/>
              <w:right w:w="1" w:type="dxa"/>
            </w:tcMar>
            <w:vAlign w:val="center"/>
          </w:tcPr>
          <w:p w14:paraId="67FAA49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2255.59</w:t>
            </w:r>
          </w:p>
        </w:tc>
        <w:tc>
          <w:tcPr>
            <w:tcW w:w="740" w:type="pct"/>
            <w:shd w:val="clear" w:color="auto" w:fill="FFFFFF" w:themeFill="background1"/>
            <w:tcMar>
              <w:left w:w="1" w:type="dxa"/>
              <w:right w:w="1" w:type="dxa"/>
            </w:tcMar>
            <w:vAlign w:val="center"/>
          </w:tcPr>
          <w:p w14:paraId="1BAAED1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≥2255.59</w:t>
            </w:r>
          </w:p>
        </w:tc>
        <w:tc>
          <w:tcPr>
            <w:tcW w:w="642" w:type="pct"/>
            <w:shd w:val="clear" w:color="auto" w:fill="FFFFFF" w:themeFill="background1"/>
            <w:tcMar>
              <w:left w:w="1" w:type="dxa"/>
              <w:right w:w="1" w:type="dxa"/>
            </w:tcMar>
            <w:vAlign w:val="center"/>
          </w:tcPr>
          <w:p w14:paraId="3E2237A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≥2255.59</w:t>
            </w:r>
          </w:p>
        </w:tc>
        <w:tc>
          <w:tcPr>
            <w:tcW w:w="516" w:type="pct"/>
            <w:shd w:val="clear" w:color="auto" w:fill="FFFFFF" w:themeFill="background1"/>
            <w:tcMar>
              <w:left w:w="1" w:type="dxa"/>
              <w:right w:w="1" w:type="dxa"/>
            </w:tcMar>
            <w:vAlign w:val="center"/>
          </w:tcPr>
          <w:p w14:paraId="1611C78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约束性</w:t>
            </w:r>
          </w:p>
        </w:tc>
        <w:tc>
          <w:tcPr>
            <w:tcW w:w="523" w:type="pct"/>
            <w:shd w:val="clear" w:color="auto" w:fill="FFFFFF" w:themeFill="background1"/>
            <w:tcMar>
              <w:left w:w="1" w:type="dxa"/>
              <w:right w:w="1" w:type="dxa"/>
            </w:tcMar>
            <w:vAlign w:val="center"/>
          </w:tcPr>
          <w:p w14:paraId="71ED0F5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全域</w:t>
            </w:r>
          </w:p>
        </w:tc>
      </w:tr>
      <w:tr w14:paraId="1040DE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shd w:val="clear" w:color="auto" w:fill="FFFFFF" w:themeFill="background1"/>
            <w:tcMar>
              <w:left w:w="1" w:type="dxa"/>
              <w:right w:w="1" w:type="dxa"/>
            </w:tcMar>
            <w:vAlign w:val="center"/>
          </w:tcPr>
          <w:p w14:paraId="5669D69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w:t>
            </w:r>
          </w:p>
        </w:tc>
        <w:tc>
          <w:tcPr>
            <w:tcW w:w="1529" w:type="pct"/>
            <w:gridSpan w:val="3"/>
            <w:shd w:val="clear" w:color="auto" w:fill="FFFFFF" w:themeFill="background1"/>
            <w:tcMar>
              <w:left w:w="1" w:type="dxa"/>
              <w:right w:w="1" w:type="dxa"/>
            </w:tcMar>
            <w:vAlign w:val="center"/>
          </w:tcPr>
          <w:p w14:paraId="7116373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永久基本农田保护面积（公顷）</w:t>
            </w:r>
          </w:p>
        </w:tc>
        <w:tc>
          <w:tcPr>
            <w:tcW w:w="740" w:type="pct"/>
            <w:shd w:val="clear" w:color="auto" w:fill="FFFFFF" w:themeFill="background1"/>
            <w:tcMar>
              <w:left w:w="1" w:type="dxa"/>
              <w:right w:w="1" w:type="dxa"/>
            </w:tcMar>
            <w:vAlign w:val="center"/>
          </w:tcPr>
          <w:p w14:paraId="6D9E2EA1">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 xml:space="preserve">2175.70 </w:t>
            </w:r>
          </w:p>
        </w:tc>
        <w:tc>
          <w:tcPr>
            <w:tcW w:w="740" w:type="pct"/>
            <w:shd w:val="clear" w:color="auto" w:fill="FFFFFF" w:themeFill="background1"/>
            <w:tcMar>
              <w:left w:w="1" w:type="dxa"/>
              <w:right w:w="1" w:type="dxa"/>
            </w:tcMar>
            <w:vAlign w:val="center"/>
          </w:tcPr>
          <w:p w14:paraId="32AAFBE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≥2175.70 </w:t>
            </w:r>
          </w:p>
        </w:tc>
        <w:tc>
          <w:tcPr>
            <w:tcW w:w="642" w:type="pct"/>
            <w:shd w:val="clear" w:color="auto" w:fill="FFFFFF" w:themeFill="background1"/>
            <w:tcMar>
              <w:left w:w="1" w:type="dxa"/>
              <w:right w:w="1" w:type="dxa"/>
            </w:tcMar>
            <w:vAlign w:val="center"/>
          </w:tcPr>
          <w:p w14:paraId="4E9010A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xml:space="preserve">≥2175.70 </w:t>
            </w:r>
          </w:p>
        </w:tc>
        <w:tc>
          <w:tcPr>
            <w:tcW w:w="516" w:type="pct"/>
            <w:shd w:val="clear" w:color="auto" w:fill="FFFFFF" w:themeFill="background1"/>
            <w:tcMar>
              <w:left w:w="1" w:type="dxa"/>
              <w:right w:w="1" w:type="dxa"/>
            </w:tcMar>
            <w:vAlign w:val="center"/>
          </w:tcPr>
          <w:p w14:paraId="0B296EE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约束性</w:t>
            </w:r>
          </w:p>
        </w:tc>
        <w:tc>
          <w:tcPr>
            <w:tcW w:w="523" w:type="pct"/>
            <w:shd w:val="clear" w:color="auto" w:fill="FFFFFF" w:themeFill="background1"/>
            <w:tcMar>
              <w:left w:w="1" w:type="dxa"/>
              <w:right w:w="1" w:type="dxa"/>
            </w:tcMar>
            <w:vAlign w:val="center"/>
          </w:tcPr>
          <w:p w14:paraId="1CA73BF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全域</w:t>
            </w:r>
          </w:p>
        </w:tc>
      </w:tr>
      <w:tr w14:paraId="7AC880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rPr>
          <w:trHeight w:val="280" w:hRule="atLeast"/>
        </w:trPr>
        <w:tc>
          <w:tcPr>
            <w:tcW w:w="306" w:type="pct"/>
            <w:shd w:val="clear" w:color="auto" w:fill="FFFFFF" w:themeFill="background1"/>
            <w:tcMar>
              <w:left w:w="1" w:type="dxa"/>
              <w:right w:w="1" w:type="dxa"/>
            </w:tcMar>
            <w:vAlign w:val="center"/>
          </w:tcPr>
          <w:p w14:paraId="3FF1300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3</w:t>
            </w:r>
          </w:p>
        </w:tc>
        <w:tc>
          <w:tcPr>
            <w:tcW w:w="1529" w:type="pct"/>
            <w:gridSpan w:val="3"/>
            <w:shd w:val="clear" w:color="auto" w:fill="FFFFFF" w:themeFill="background1"/>
            <w:tcMar>
              <w:left w:w="1" w:type="dxa"/>
              <w:right w:w="1" w:type="dxa"/>
            </w:tcMar>
            <w:vAlign w:val="center"/>
          </w:tcPr>
          <w:p w14:paraId="2E80F15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生态保护红线面积（公顷）</w:t>
            </w:r>
          </w:p>
        </w:tc>
        <w:tc>
          <w:tcPr>
            <w:tcW w:w="740" w:type="pct"/>
            <w:shd w:val="clear" w:color="auto" w:fill="FFFFFF" w:themeFill="background1"/>
            <w:tcMar>
              <w:left w:w="1" w:type="dxa"/>
              <w:right w:w="1" w:type="dxa"/>
            </w:tcMar>
            <w:vAlign w:val="center"/>
          </w:tcPr>
          <w:p w14:paraId="52A5D963">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rPr>
              <w:t>18696.71</w:t>
            </w:r>
          </w:p>
        </w:tc>
        <w:tc>
          <w:tcPr>
            <w:tcW w:w="740" w:type="pct"/>
            <w:shd w:val="clear" w:color="auto" w:fill="FFFFFF" w:themeFill="background1"/>
            <w:tcMar>
              <w:left w:w="1" w:type="dxa"/>
              <w:right w:w="1" w:type="dxa"/>
            </w:tcMar>
            <w:vAlign w:val="center"/>
          </w:tcPr>
          <w:p w14:paraId="6B8EE86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≥18696.71</w:t>
            </w:r>
          </w:p>
        </w:tc>
        <w:tc>
          <w:tcPr>
            <w:tcW w:w="642" w:type="pct"/>
            <w:shd w:val="clear" w:color="auto" w:fill="FFFFFF" w:themeFill="background1"/>
            <w:tcMar>
              <w:left w:w="1" w:type="dxa"/>
              <w:right w:w="1" w:type="dxa"/>
            </w:tcMar>
            <w:vAlign w:val="center"/>
          </w:tcPr>
          <w:p w14:paraId="1FC3048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≥18696.71</w:t>
            </w:r>
          </w:p>
        </w:tc>
        <w:tc>
          <w:tcPr>
            <w:tcW w:w="516" w:type="pct"/>
            <w:shd w:val="clear" w:color="auto" w:fill="FFFFFF" w:themeFill="background1"/>
            <w:tcMar>
              <w:left w:w="1" w:type="dxa"/>
              <w:right w:w="1" w:type="dxa"/>
            </w:tcMar>
            <w:vAlign w:val="center"/>
          </w:tcPr>
          <w:p w14:paraId="2591DA1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约束性</w:t>
            </w:r>
          </w:p>
        </w:tc>
        <w:tc>
          <w:tcPr>
            <w:tcW w:w="523" w:type="pct"/>
            <w:shd w:val="clear" w:color="auto" w:fill="FFFFFF" w:themeFill="background1"/>
            <w:tcMar>
              <w:left w:w="1" w:type="dxa"/>
              <w:right w:w="1" w:type="dxa"/>
            </w:tcMar>
            <w:vAlign w:val="center"/>
          </w:tcPr>
          <w:p w14:paraId="174EC41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全域</w:t>
            </w:r>
          </w:p>
        </w:tc>
      </w:tr>
      <w:tr w14:paraId="27FE7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shd w:val="clear" w:color="auto" w:fill="FFFFFF" w:themeFill="background1"/>
            <w:tcMar>
              <w:left w:w="1" w:type="dxa"/>
              <w:right w:w="1" w:type="dxa"/>
            </w:tcMar>
            <w:vAlign w:val="center"/>
          </w:tcPr>
          <w:p w14:paraId="42CF21C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5</w:t>
            </w:r>
          </w:p>
        </w:tc>
        <w:tc>
          <w:tcPr>
            <w:tcW w:w="1529" w:type="pct"/>
            <w:gridSpan w:val="3"/>
            <w:shd w:val="clear" w:color="auto" w:fill="FFFFFF" w:themeFill="background1"/>
            <w:tcMar>
              <w:left w:w="1" w:type="dxa"/>
              <w:right w:w="1" w:type="dxa"/>
            </w:tcMar>
            <w:vAlign w:val="center"/>
          </w:tcPr>
          <w:p w14:paraId="0AE8D45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自然保护地陆域面积占陆域国土面积比例（%）</w:t>
            </w:r>
          </w:p>
        </w:tc>
        <w:tc>
          <w:tcPr>
            <w:tcW w:w="740" w:type="pct"/>
            <w:shd w:val="clear" w:color="auto" w:fill="FFFFFF" w:themeFill="background1"/>
            <w:tcMar>
              <w:left w:w="1" w:type="dxa"/>
              <w:right w:w="1" w:type="dxa"/>
            </w:tcMar>
            <w:vAlign w:val="center"/>
          </w:tcPr>
          <w:p w14:paraId="07C4607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10.08%</w:t>
            </w:r>
          </w:p>
        </w:tc>
        <w:tc>
          <w:tcPr>
            <w:tcW w:w="740" w:type="pct"/>
            <w:shd w:val="clear" w:color="auto" w:fill="FFFFFF" w:themeFill="background1"/>
            <w:tcMar>
              <w:left w:w="1" w:type="dxa"/>
              <w:right w:w="1" w:type="dxa"/>
            </w:tcMar>
            <w:vAlign w:val="center"/>
          </w:tcPr>
          <w:p w14:paraId="3D93DAB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10.08%</w:t>
            </w:r>
          </w:p>
        </w:tc>
        <w:tc>
          <w:tcPr>
            <w:tcW w:w="642" w:type="pct"/>
            <w:shd w:val="clear" w:color="auto" w:fill="FFFFFF" w:themeFill="background1"/>
            <w:tcMar>
              <w:left w:w="1" w:type="dxa"/>
              <w:right w:w="1" w:type="dxa"/>
            </w:tcMar>
            <w:vAlign w:val="center"/>
          </w:tcPr>
          <w:p w14:paraId="56DD903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10.08%</w:t>
            </w:r>
          </w:p>
        </w:tc>
        <w:tc>
          <w:tcPr>
            <w:tcW w:w="516" w:type="pct"/>
            <w:shd w:val="clear" w:color="auto" w:fill="FFFFFF" w:themeFill="background1"/>
            <w:tcMar>
              <w:left w:w="1" w:type="dxa"/>
              <w:right w:w="1" w:type="dxa"/>
            </w:tcMar>
            <w:vAlign w:val="center"/>
          </w:tcPr>
          <w:p w14:paraId="6250F40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预期性</w:t>
            </w:r>
          </w:p>
        </w:tc>
        <w:tc>
          <w:tcPr>
            <w:tcW w:w="523" w:type="pct"/>
            <w:shd w:val="clear" w:color="auto" w:fill="FFFFFF" w:themeFill="background1"/>
            <w:tcMar>
              <w:left w:w="1" w:type="dxa"/>
              <w:right w:w="1" w:type="dxa"/>
            </w:tcMar>
            <w:vAlign w:val="center"/>
          </w:tcPr>
          <w:p w14:paraId="18F034F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全域</w:t>
            </w:r>
          </w:p>
        </w:tc>
      </w:tr>
      <w:tr w14:paraId="691082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shd w:val="clear" w:color="auto" w:fill="FFFFFF" w:themeFill="background1"/>
            <w:tcMar>
              <w:left w:w="1" w:type="dxa"/>
              <w:right w:w="1" w:type="dxa"/>
            </w:tcMar>
            <w:vAlign w:val="center"/>
          </w:tcPr>
          <w:p w14:paraId="044F594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6</w:t>
            </w:r>
          </w:p>
        </w:tc>
        <w:tc>
          <w:tcPr>
            <w:tcW w:w="1529" w:type="pct"/>
            <w:gridSpan w:val="3"/>
            <w:shd w:val="clear" w:color="auto" w:fill="FFFFFF" w:themeFill="background1"/>
            <w:tcMar>
              <w:left w:w="1" w:type="dxa"/>
              <w:right w:w="1" w:type="dxa"/>
            </w:tcMar>
            <w:vAlign w:val="center"/>
          </w:tcPr>
          <w:p w14:paraId="2D77B9B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森林覆盖率（%）</w:t>
            </w:r>
          </w:p>
        </w:tc>
        <w:tc>
          <w:tcPr>
            <w:tcW w:w="740" w:type="pct"/>
            <w:shd w:val="clear" w:color="auto" w:fill="FFFFFF" w:themeFill="background1"/>
            <w:tcMar>
              <w:left w:w="1" w:type="dxa"/>
              <w:right w:w="1" w:type="dxa"/>
            </w:tcMar>
            <w:vAlign w:val="center"/>
          </w:tcPr>
          <w:p w14:paraId="147A89B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w:t>
            </w:r>
          </w:p>
        </w:tc>
        <w:tc>
          <w:tcPr>
            <w:tcW w:w="740" w:type="pct"/>
            <w:shd w:val="clear" w:color="auto" w:fill="FFFFFF" w:themeFill="background1"/>
            <w:tcMar>
              <w:left w:w="1" w:type="dxa"/>
              <w:right w:w="1" w:type="dxa"/>
            </w:tcMar>
            <w:vAlign w:val="center"/>
          </w:tcPr>
          <w:p w14:paraId="27910AF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依据上级下达任务确定</w:t>
            </w:r>
          </w:p>
        </w:tc>
        <w:tc>
          <w:tcPr>
            <w:tcW w:w="642" w:type="pct"/>
            <w:shd w:val="clear" w:color="auto" w:fill="FFFFFF" w:themeFill="background1"/>
            <w:tcMar>
              <w:left w:w="1" w:type="dxa"/>
              <w:right w:w="1" w:type="dxa"/>
            </w:tcMar>
            <w:vAlign w:val="center"/>
          </w:tcPr>
          <w:p w14:paraId="6217D71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依据上级下达任务确定</w:t>
            </w:r>
          </w:p>
        </w:tc>
        <w:tc>
          <w:tcPr>
            <w:tcW w:w="516" w:type="pct"/>
            <w:shd w:val="clear" w:color="auto" w:fill="FFFFFF" w:themeFill="background1"/>
            <w:tcMar>
              <w:left w:w="1" w:type="dxa"/>
              <w:right w:w="1" w:type="dxa"/>
            </w:tcMar>
            <w:vAlign w:val="center"/>
          </w:tcPr>
          <w:p w14:paraId="5B90F01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预期性</w:t>
            </w:r>
          </w:p>
        </w:tc>
        <w:tc>
          <w:tcPr>
            <w:tcW w:w="523" w:type="pct"/>
            <w:shd w:val="clear" w:color="auto" w:fill="FFFFFF" w:themeFill="background1"/>
            <w:tcMar>
              <w:left w:w="1" w:type="dxa"/>
              <w:right w:w="1" w:type="dxa"/>
            </w:tcMar>
            <w:vAlign w:val="center"/>
          </w:tcPr>
          <w:p w14:paraId="59D89EE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全域</w:t>
            </w:r>
          </w:p>
        </w:tc>
      </w:tr>
      <w:tr w14:paraId="6D50F8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shd w:val="clear" w:color="auto" w:fill="FFFFFF" w:themeFill="background1"/>
            <w:tcMar>
              <w:left w:w="1" w:type="dxa"/>
              <w:right w:w="1" w:type="dxa"/>
            </w:tcMar>
            <w:vAlign w:val="center"/>
          </w:tcPr>
          <w:p w14:paraId="7C4B83C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7</w:t>
            </w:r>
          </w:p>
        </w:tc>
        <w:tc>
          <w:tcPr>
            <w:tcW w:w="1529" w:type="pct"/>
            <w:gridSpan w:val="3"/>
            <w:shd w:val="clear" w:color="auto" w:fill="FFFFFF" w:themeFill="background1"/>
            <w:tcMar>
              <w:left w:w="1" w:type="dxa"/>
              <w:right w:w="1" w:type="dxa"/>
            </w:tcMar>
            <w:vAlign w:val="center"/>
          </w:tcPr>
          <w:p w14:paraId="514CC40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草原综合植被盖度（%）</w:t>
            </w:r>
          </w:p>
        </w:tc>
        <w:tc>
          <w:tcPr>
            <w:tcW w:w="740" w:type="pct"/>
            <w:shd w:val="clear" w:color="auto" w:fill="FFFFFF" w:themeFill="background1"/>
            <w:tcMar>
              <w:left w:w="1" w:type="dxa"/>
              <w:right w:w="1" w:type="dxa"/>
            </w:tcMar>
            <w:vAlign w:val="center"/>
          </w:tcPr>
          <w:p w14:paraId="72C6603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w:t>
            </w:r>
          </w:p>
        </w:tc>
        <w:tc>
          <w:tcPr>
            <w:tcW w:w="740" w:type="pct"/>
            <w:shd w:val="clear" w:color="auto" w:fill="FFFFFF" w:themeFill="background1"/>
            <w:tcMar>
              <w:left w:w="1" w:type="dxa"/>
              <w:right w:w="1" w:type="dxa"/>
            </w:tcMar>
            <w:vAlign w:val="center"/>
          </w:tcPr>
          <w:p w14:paraId="211AA7C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依据上级下达任务确定</w:t>
            </w:r>
          </w:p>
        </w:tc>
        <w:tc>
          <w:tcPr>
            <w:tcW w:w="642" w:type="pct"/>
            <w:shd w:val="clear" w:color="auto" w:fill="FFFFFF" w:themeFill="background1"/>
            <w:tcMar>
              <w:left w:w="1" w:type="dxa"/>
              <w:right w:w="1" w:type="dxa"/>
            </w:tcMar>
            <w:vAlign w:val="center"/>
          </w:tcPr>
          <w:p w14:paraId="0D32A46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依据上级下达任务确定</w:t>
            </w:r>
          </w:p>
        </w:tc>
        <w:tc>
          <w:tcPr>
            <w:tcW w:w="516" w:type="pct"/>
            <w:shd w:val="clear" w:color="auto" w:fill="FFFFFF" w:themeFill="background1"/>
            <w:tcMar>
              <w:left w:w="1" w:type="dxa"/>
              <w:right w:w="1" w:type="dxa"/>
            </w:tcMar>
            <w:vAlign w:val="center"/>
          </w:tcPr>
          <w:p w14:paraId="6A800B8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预期性</w:t>
            </w:r>
          </w:p>
        </w:tc>
        <w:tc>
          <w:tcPr>
            <w:tcW w:w="523" w:type="pct"/>
            <w:shd w:val="clear" w:color="auto" w:fill="FFFFFF" w:themeFill="background1"/>
            <w:tcMar>
              <w:left w:w="1" w:type="dxa"/>
              <w:right w:w="1" w:type="dxa"/>
            </w:tcMar>
            <w:vAlign w:val="center"/>
          </w:tcPr>
          <w:p w14:paraId="7419F57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全域</w:t>
            </w:r>
          </w:p>
        </w:tc>
      </w:tr>
      <w:tr w14:paraId="334E8C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shd w:val="clear" w:color="auto" w:fill="FFFFFF" w:themeFill="background1"/>
            <w:tcMar>
              <w:left w:w="1" w:type="dxa"/>
              <w:right w:w="1" w:type="dxa"/>
            </w:tcMar>
            <w:vAlign w:val="center"/>
          </w:tcPr>
          <w:p w14:paraId="3370F9E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8</w:t>
            </w:r>
          </w:p>
        </w:tc>
        <w:tc>
          <w:tcPr>
            <w:tcW w:w="1529" w:type="pct"/>
            <w:gridSpan w:val="3"/>
            <w:shd w:val="clear" w:color="auto" w:fill="FFFFFF" w:themeFill="background1"/>
            <w:tcMar>
              <w:left w:w="1" w:type="dxa"/>
              <w:right w:w="1" w:type="dxa"/>
            </w:tcMar>
            <w:vAlign w:val="center"/>
          </w:tcPr>
          <w:p w14:paraId="455EE38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湿地保护率（%）</w:t>
            </w:r>
          </w:p>
        </w:tc>
        <w:tc>
          <w:tcPr>
            <w:tcW w:w="740" w:type="pct"/>
            <w:shd w:val="clear" w:color="auto" w:fill="FFFFFF" w:themeFill="background1"/>
            <w:tcMar>
              <w:left w:w="1" w:type="dxa"/>
              <w:right w:w="1" w:type="dxa"/>
            </w:tcMar>
            <w:vAlign w:val="center"/>
          </w:tcPr>
          <w:p w14:paraId="5A15045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w:t>
            </w:r>
          </w:p>
        </w:tc>
        <w:tc>
          <w:tcPr>
            <w:tcW w:w="740" w:type="pct"/>
            <w:shd w:val="clear" w:color="auto" w:fill="FFFFFF" w:themeFill="background1"/>
            <w:tcMar>
              <w:left w:w="1" w:type="dxa"/>
              <w:right w:w="1" w:type="dxa"/>
            </w:tcMar>
            <w:vAlign w:val="center"/>
          </w:tcPr>
          <w:p w14:paraId="23E1B8C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依据上级下达任务确定</w:t>
            </w:r>
          </w:p>
        </w:tc>
        <w:tc>
          <w:tcPr>
            <w:tcW w:w="642" w:type="pct"/>
            <w:shd w:val="clear" w:color="auto" w:fill="FFFFFF" w:themeFill="background1"/>
            <w:tcMar>
              <w:left w:w="1" w:type="dxa"/>
              <w:right w:w="1" w:type="dxa"/>
            </w:tcMar>
            <w:vAlign w:val="center"/>
          </w:tcPr>
          <w:p w14:paraId="6A8B0A5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依据上级下达任务确定</w:t>
            </w:r>
          </w:p>
        </w:tc>
        <w:tc>
          <w:tcPr>
            <w:tcW w:w="516" w:type="pct"/>
            <w:shd w:val="clear" w:color="auto" w:fill="FFFFFF" w:themeFill="background1"/>
            <w:tcMar>
              <w:left w:w="1" w:type="dxa"/>
              <w:right w:w="1" w:type="dxa"/>
            </w:tcMar>
            <w:vAlign w:val="center"/>
          </w:tcPr>
          <w:p w14:paraId="48FA014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预期性</w:t>
            </w:r>
          </w:p>
        </w:tc>
        <w:tc>
          <w:tcPr>
            <w:tcW w:w="523" w:type="pct"/>
            <w:shd w:val="clear" w:color="auto" w:fill="FFFFFF" w:themeFill="background1"/>
            <w:tcMar>
              <w:left w:w="1" w:type="dxa"/>
              <w:right w:w="1" w:type="dxa"/>
            </w:tcMar>
            <w:vAlign w:val="center"/>
          </w:tcPr>
          <w:p w14:paraId="10B96C9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全域</w:t>
            </w:r>
          </w:p>
        </w:tc>
      </w:tr>
      <w:tr w14:paraId="3D4F54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shd w:val="clear" w:color="auto" w:fill="FFFFFF" w:themeFill="background1"/>
            <w:tcMar>
              <w:left w:w="1" w:type="dxa"/>
              <w:right w:w="1" w:type="dxa"/>
            </w:tcMar>
            <w:vAlign w:val="center"/>
          </w:tcPr>
          <w:p w14:paraId="44A9752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9</w:t>
            </w:r>
          </w:p>
        </w:tc>
        <w:tc>
          <w:tcPr>
            <w:tcW w:w="1529" w:type="pct"/>
            <w:gridSpan w:val="3"/>
            <w:shd w:val="clear" w:color="auto" w:fill="FFFFFF" w:themeFill="background1"/>
            <w:tcMar>
              <w:left w:w="1" w:type="dxa"/>
              <w:right w:w="1" w:type="dxa"/>
            </w:tcMar>
            <w:vAlign w:val="center"/>
          </w:tcPr>
          <w:p w14:paraId="11CA08A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水域空间保有量（公顷）</w:t>
            </w:r>
          </w:p>
        </w:tc>
        <w:tc>
          <w:tcPr>
            <w:tcW w:w="740" w:type="pct"/>
            <w:shd w:val="clear" w:color="auto" w:fill="FFFFFF" w:themeFill="background1"/>
            <w:tcMar>
              <w:left w:w="1" w:type="dxa"/>
              <w:right w:w="1" w:type="dxa"/>
            </w:tcMar>
            <w:vAlign w:val="center"/>
          </w:tcPr>
          <w:p w14:paraId="6AB7251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w:t>
            </w:r>
          </w:p>
        </w:tc>
        <w:tc>
          <w:tcPr>
            <w:tcW w:w="740" w:type="pct"/>
            <w:shd w:val="clear" w:color="auto" w:fill="FFFFFF" w:themeFill="background1"/>
            <w:tcMar>
              <w:left w:w="1" w:type="dxa"/>
              <w:right w:w="1" w:type="dxa"/>
            </w:tcMar>
            <w:vAlign w:val="center"/>
          </w:tcPr>
          <w:p w14:paraId="13E5B3F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w:t>
            </w:r>
          </w:p>
        </w:tc>
        <w:tc>
          <w:tcPr>
            <w:tcW w:w="642" w:type="pct"/>
            <w:shd w:val="clear" w:color="auto" w:fill="FFFFFF" w:themeFill="background1"/>
            <w:tcMar>
              <w:left w:w="1" w:type="dxa"/>
              <w:right w:w="1" w:type="dxa"/>
            </w:tcMar>
            <w:vAlign w:val="center"/>
          </w:tcPr>
          <w:p w14:paraId="05FF3C3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w:t>
            </w:r>
          </w:p>
        </w:tc>
        <w:tc>
          <w:tcPr>
            <w:tcW w:w="516" w:type="pct"/>
            <w:shd w:val="clear" w:color="auto" w:fill="FFFFFF" w:themeFill="background1"/>
            <w:tcMar>
              <w:left w:w="1" w:type="dxa"/>
              <w:right w:w="1" w:type="dxa"/>
            </w:tcMar>
            <w:vAlign w:val="center"/>
          </w:tcPr>
          <w:p w14:paraId="343D692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预期性</w:t>
            </w:r>
          </w:p>
        </w:tc>
        <w:tc>
          <w:tcPr>
            <w:tcW w:w="523" w:type="pct"/>
            <w:shd w:val="clear" w:color="auto" w:fill="FFFFFF" w:themeFill="background1"/>
            <w:tcMar>
              <w:left w:w="1" w:type="dxa"/>
              <w:right w:w="1" w:type="dxa"/>
            </w:tcMar>
            <w:vAlign w:val="center"/>
          </w:tcPr>
          <w:p w14:paraId="1D7A23F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全域</w:t>
            </w:r>
          </w:p>
        </w:tc>
      </w:tr>
      <w:tr w14:paraId="7A8A716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shd w:val="clear" w:color="auto" w:fill="FFFFFF" w:themeFill="background1"/>
            <w:tcMar>
              <w:left w:w="1" w:type="dxa"/>
              <w:right w:w="1" w:type="dxa"/>
            </w:tcMar>
            <w:vAlign w:val="center"/>
          </w:tcPr>
          <w:p w14:paraId="0CBE695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10</w:t>
            </w:r>
          </w:p>
        </w:tc>
        <w:tc>
          <w:tcPr>
            <w:tcW w:w="1529" w:type="pct"/>
            <w:gridSpan w:val="3"/>
            <w:shd w:val="clear" w:color="auto" w:fill="FFFFFF" w:themeFill="background1"/>
            <w:tcMar>
              <w:left w:w="1" w:type="dxa"/>
              <w:right w:w="1" w:type="dxa"/>
            </w:tcMar>
            <w:vAlign w:val="center"/>
          </w:tcPr>
          <w:p w14:paraId="51743E4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用水总量（亿立方米）</w:t>
            </w:r>
          </w:p>
        </w:tc>
        <w:tc>
          <w:tcPr>
            <w:tcW w:w="740" w:type="pct"/>
            <w:shd w:val="clear" w:color="auto" w:fill="FFFFFF" w:themeFill="background1"/>
            <w:tcMar>
              <w:left w:w="1" w:type="dxa"/>
              <w:right w:w="1" w:type="dxa"/>
            </w:tcMar>
            <w:vAlign w:val="center"/>
          </w:tcPr>
          <w:p w14:paraId="02AD9BD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w:t>
            </w:r>
          </w:p>
        </w:tc>
        <w:tc>
          <w:tcPr>
            <w:tcW w:w="740" w:type="pct"/>
            <w:shd w:val="clear" w:color="auto" w:fill="FFFFFF" w:themeFill="background1"/>
            <w:tcMar>
              <w:left w:w="1" w:type="dxa"/>
              <w:right w:w="1" w:type="dxa"/>
            </w:tcMar>
            <w:vAlign w:val="center"/>
          </w:tcPr>
          <w:p w14:paraId="166569F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依据上级下达任务确定</w:t>
            </w:r>
          </w:p>
        </w:tc>
        <w:tc>
          <w:tcPr>
            <w:tcW w:w="642" w:type="pct"/>
            <w:shd w:val="clear" w:color="auto" w:fill="FFFFFF" w:themeFill="background1"/>
            <w:tcMar>
              <w:left w:w="1" w:type="dxa"/>
              <w:right w:w="1" w:type="dxa"/>
            </w:tcMar>
            <w:vAlign w:val="center"/>
          </w:tcPr>
          <w:p w14:paraId="262FCC8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依据上级下达任务确定</w:t>
            </w:r>
          </w:p>
        </w:tc>
        <w:tc>
          <w:tcPr>
            <w:tcW w:w="516" w:type="pct"/>
            <w:shd w:val="clear" w:color="auto" w:fill="FFFFFF" w:themeFill="background1"/>
            <w:tcMar>
              <w:left w:w="1" w:type="dxa"/>
              <w:right w:w="1" w:type="dxa"/>
            </w:tcMar>
            <w:vAlign w:val="center"/>
          </w:tcPr>
          <w:p w14:paraId="6C8724B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约束性</w:t>
            </w:r>
          </w:p>
        </w:tc>
        <w:tc>
          <w:tcPr>
            <w:tcW w:w="523" w:type="pct"/>
            <w:shd w:val="clear" w:color="auto" w:fill="FFFFFF" w:themeFill="background1"/>
            <w:tcMar>
              <w:left w:w="1" w:type="dxa"/>
              <w:right w:w="1" w:type="dxa"/>
            </w:tcMar>
            <w:vAlign w:val="center"/>
          </w:tcPr>
          <w:p w14:paraId="7A49A0C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全域</w:t>
            </w:r>
          </w:p>
        </w:tc>
      </w:tr>
      <w:tr w14:paraId="4CFB6E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shd w:val="clear" w:color="auto" w:fill="FFFFFF" w:themeFill="background1"/>
            <w:tcMar>
              <w:left w:w="1" w:type="dxa"/>
              <w:right w:w="1" w:type="dxa"/>
            </w:tcMar>
            <w:vAlign w:val="center"/>
          </w:tcPr>
          <w:p w14:paraId="1CFC05F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11</w:t>
            </w:r>
          </w:p>
        </w:tc>
        <w:tc>
          <w:tcPr>
            <w:tcW w:w="1529" w:type="pct"/>
            <w:gridSpan w:val="3"/>
            <w:shd w:val="clear" w:color="auto" w:fill="FFFFFF" w:themeFill="background1"/>
            <w:tcMar>
              <w:left w:w="1" w:type="dxa"/>
              <w:right w:w="1" w:type="dxa"/>
            </w:tcMar>
            <w:vAlign w:val="center"/>
          </w:tcPr>
          <w:p w14:paraId="7830D78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城镇开发边界扩展倍数</w:t>
            </w:r>
          </w:p>
        </w:tc>
        <w:tc>
          <w:tcPr>
            <w:tcW w:w="740" w:type="pct"/>
            <w:shd w:val="clear" w:color="auto" w:fill="FFFFFF" w:themeFill="background1"/>
            <w:tcMar>
              <w:left w:w="1" w:type="dxa"/>
              <w:right w:w="1" w:type="dxa"/>
            </w:tcMar>
            <w:vAlign w:val="center"/>
          </w:tcPr>
          <w:p w14:paraId="00DD211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1.0</w:t>
            </w:r>
          </w:p>
        </w:tc>
        <w:tc>
          <w:tcPr>
            <w:tcW w:w="740" w:type="pct"/>
            <w:shd w:val="clear" w:color="auto" w:fill="FFFFFF" w:themeFill="background1"/>
            <w:tcMar>
              <w:left w:w="1" w:type="dxa"/>
              <w:right w:w="1" w:type="dxa"/>
            </w:tcMar>
            <w:vAlign w:val="center"/>
          </w:tcPr>
          <w:p w14:paraId="2955911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1.0</w:t>
            </w:r>
          </w:p>
        </w:tc>
        <w:tc>
          <w:tcPr>
            <w:tcW w:w="642" w:type="pct"/>
            <w:shd w:val="clear" w:color="auto" w:fill="FFFFFF" w:themeFill="background1"/>
            <w:tcMar>
              <w:left w:w="1" w:type="dxa"/>
              <w:right w:w="1" w:type="dxa"/>
            </w:tcMar>
            <w:vAlign w:val="center"/>
          </w:tcPr>
          <w:p w14:paraId="6E95255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1.0</w:t>
            </w:r>
          </w:p>
        </w:tc>
        <w:tc>
          <w:tcPr>
            <w:tcW w:w="516" w:type="pct"/>
            <w:shd w:val="clear" w:color="auto" w:fill="FFFFFF" w:themeFill="background1"/>
            <w:tcMar>
              <w:left w:w="1" w:type="dxa"/>
              <w:right w:w="1" w:type="dxa"/>
            </w:tcMar>
            <w:vAlign w:val="center"/>
          </w:tcPr>
          <w:p w14:paraId="42AD9DA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约束性</w:t>
            </w:r>
          </w:p>
        </w:tc>
        <w:tc>
          <w:tcPr>
            <w:tcW w:w="523" w:type="pct"/>
            <w:shd w:val="clear" w:color="auto" w:fill="FFFFFF" w:themeFill="background1"/>
            <w:tcMar>
              <w:left w:w="1" w:type="dxa"/>
              <w:right w:w="1" w:type="dxa"/>
            </w:tcMar>
            <w:vAlign w:val="center"/>
          </w:tcPr>
          <w:p w14:paraId="40814B3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全域</w:t>
            </w:r>
          </w:p>
        </w:tc>
      </w:tr>
      <w:tr w14:paraId="13334F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shd w:val="clear" w:color="auto" w:fill="FFFFFF" w:themeFill="background1"/>
            <w:tcMar>
              <w:left w:w="1" w:type="dxa"/>
              <w:right w:w="1" w:type="dxa"/>
            </w:tcMar>
            <w:vAlign w:val="center"/>
          </w:tcPr>
          <w:p w14:paraId="6D764B8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12</w:t>
            </w:r>
          </w:p>
        </w:tc>
        <w:tc>
          <w:tcPr>
            <w:tcW w:w="1529" w:type="pct"/>
            <w:gridSpan w:val="3"/>
            <w:shd w:val="clear" w:color="auto" w:fill="FFFFFF" w:themeFill="background1"/>
            <w:tcMar>
              <w:left w:w="1" w:type="dxa"/>
              <w:right w:w="1" w:type="dxa"/>
            </w:tcMar>
            <w:vAlign w:val="center"/>
          </w:tcPr>
          <w:p w14:paraId="3518C09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城镇开发边界规模（公顷）</w:t>
            </w:r>
          </w:p>
        </w:tc>
        <w:tc>
          <w:tcPr>
            <w:tcW w:w="740" w:type="pct"/>
            <w:shd w:val="clear" w:color="auto" w:fill="FFFFFF" w:themeFill="background1"/>
            <w:tcMar>
              <w:left w:w="1" w:type="dxa"/>
              <w:right w:w="1" w:type="dxa"/>
            </w:tcMar>
            <w:vAlign w:val="center"/>
          </w:tcPr>
          <w:p w14:paraId="070B506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86.67</w:t>
            </w:r>
          </w:p>
        </w:tc>
        <w:tc>
          <w:tcPr>
            <w:tcW w:w="740" w:type="pct"/>
            <w:shd w:val="clear" w:color="auto" w:fill="FFFFFF" w:themeFill="background1"/>
            <w:tcMar>
              <w:left w:w="1" w:type="dxa"/>
              <w:right w:w="1" w:type="dxa"/>
            </w:tcMar>
            <w:vAlign w:val="center"/>
          </w:tcPr>
          <w:p w14:paraId="764EC02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86.67</w:t>
            </w:r>
          </w:p>
        </w:tc>
        <w:tc>
          <w:tcPr>
            <w:tcW w:w="642" w:type="pct"/>
            <w:shd w:val="clear" w:color="auto" w:fill="FFFFFF" w:themeFill="background1"/>
            <w:tcMar>
              <w:left w:w="1" w:type="dxa"/>
              <w:right w:w="1" w:type="dxa"/>
            </w:tcMar>
            <w:vAlign w:val="center"/>
          </w:tcPr>
          <w:p w14:paraId="10FA2B9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86.67</w:t>
            </w:r>
          </w:p>
        </w:tc>
        <w:tc>
          <w:tcPr>
            <w:tcW w:w="516" w:type="pct"/>
            <w:shd w:val="clear" w:color="auto" w:fill="FFFFFF" w:themeFill="background1"/>
            <w:tcMar>
              <w:left w:w="1" w:type="dxa"/>
              <w:right w:w="1" w:type="dxa"/>
            </w:tcMar>
            <w:vAlign w:val="center"/>
          </w:tcPr>
          <w:p w14:paraId="05C15AE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约束性</w:t>
            </w:r>
          </w:p>
        </w:tc>
        <w:tc>
          <w:tcPr>
            <w:tcW w:w="523" w:type="pct"/>
            <w:shd w:val="clear" w:color="auto" w:fill="FFFFFF" w:themeFill="background1"/>
            <w:tcMar>
              <w:left w:w="1" w:type="dxa"/>
              <w:right w:w="1" w:type="dxa"/>
            </w:tcMar>
            <w:vAlign w:val="center"/>
          </w:tcPr>
          <w:p w14:paraId="0E4B7FE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全域</w:t>
            </w:r>
          </w:p>
        </w:tc>
      </w:tr>
      <w:tr w14:paraId="1CEFE6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shd w:val="clear" w:color="auto" w:fill="FFFFFF" w:themeFill="background1"/>
            <w:tcMar>
              <w:left w:w="1" w:type="dxa"/>
              <w:right w:w="1" w:type="dxa"/>
            </w:tcMar>
            <w:vAlign w:val="center"/>
          </w:tcPr>
          <w:p w14:paraId="14AAB1A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13</w:t>
            </w:r>
          </w:p>
        </w:tc>
        <w:tc>
          <w:tcPr>
            <w:tcW w:w="1529" w:type="pct"/>
            <w:gridSpan w:val="3"/>
            <w:shd w:val="clear" w:color="auto" w:fill="FFFFFF" w:themeFill="background1"/>
            <w:tcMar>
              <w:left w:w="1" w:type="dxa"/>
              <w:right w:w="1" w:type="dxa"/>
            </w:tcMar>
            <w:vAlign w:val="center"/>
          </w:tcPr>
          <w:p w14:paraId="25114A4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自然和文化遗产（处）</w:t>
            </w:r>
          </w:p>
        </w:tc>
        <w:tc>
          <w:tcPr>
            <w:tcW w:w="740" w:type="pct"/>
            <w:shd w:val="clear" w:color="auto" w:fill="FFFFFF" w:themeFill="background1"/>
            <w:tcMar>
              <w:left w:w="1" w:type="dxa"/>
              <w:right w:w="1" w:type="dxa"/>
            </w:tcMar>
            <w:vAlign w:val="center"/>
          </w:tcPr>
          <w:p w14:paraId="252F243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12</w:t>
            </w:r>
          </w:p>
        </w:tc>
        <w:tc>
          <w:tcPr>
            <w:tcW w:w="740" w:type="pct"/>
            <w:shd w:val="clear" w:color="auto" w:fill="FFFFFF" w:themeFill="background1"/>
            <w:tcMar>
              <w:left w:w="1" w:type="dxa"/>
              <w:right w:w="1" w:type="dxa"/>
            </w:tcMar>
            <w:vAlign w:val="center"/>
          </w:tcPr>
          <w:p w14:paraId="32A2021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≥12</w:t>
            </w:r>
          </w:p>
        </w:tc>
        <w:tc>
          <w:tcPr>
            <w:tcW w:w="642" w:type="pct"/>
            <w:shd w:val="clear" w:color="auto" w:fill="FFFFFF" w:themeFill="background1"/>
            <w:tcMar>
              <w:left w:w="1" w:type="dxa"/>
              <w:right w:w="1" w:type="dxa"/>
            </w:tcMar>
            <w:vAlign w:val="center"/>
          </w:tcPr>
          <w:p w14:paraId="7D6DA1A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≥12</w:t>
            </w:r>
          </w:p>
        </w:tc>
        <w:tc>
          <w:tcPr>
            <w:tcW w:w="516" w:type="pct"/>
            <w:shd w:val="clear" w:color="auto" w:fill="FFFFFF" w:themeFill="background1"/>
            <w:tcMar>
              <w:left w:w="1" w:type="dxa"/>
              <w:right w:w="1" w:type="dxa"/>
            </w:tcMar>
            <w:vAlign w:val="center"/>
          </w:tcPr>
          <w:p w14:paraId="1EDCB28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预期性</w:t>
            </w:r>
          </w:p>
        </w:tc>
        <w:tc>
          <w:tcPr>
            <w:tcW w:w="523" w:type="pct"/>
            <w:shd w:val="clear" w:color="auto" w:fill="FFFFFF" w:themeFill="background1"/>
            <w:tcMar>
              <w:left w:w="1" w:type="dxa"/>
              <w:right w:w="1" w:type="dxa"/>
            </w:tcMar>
            <w:vAlign w:val="center"/>
          </w:tcPr>
          <w:p w14:paraId="5B805BA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全域</w:t>
            </w:r>
          </w:p>
        </w:tc>
      </w:tr>
      <w:tr w14:paraId="174615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00" w:type="pct"/>
            <w:gridSpan w:val="9"/>
            <w:shd w:val="clear" w:color="auto" w:fill="FFFFFF" w:themeFill="background1"/>
            <w:tcMar>
              <w:left w:w="1" w:type="dxa"/>
              <w:right w:w="1" w:type="dxa"/>
            </w:tcMar>
            <w:vAlign w:val="center"/>
          </w:tcPr>
          <w:p w14:paraId="134657E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二、结构效率</w:t>
            </w:r>
          </w:p>
        </w:tc>
      </w:tr>
      <w:tr w14:paraId="5523C8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shd w:val="clear" w:color="auto" w:fill="FFFFFF" w:themeFill="background1"/>
            <w:tcMar>
              <w:left w:w="1" w:type="dxa"/>
              <w:right w:w="1" w:type="dxa"/>
            </w:tcMar>
            <w:vAlign w:val="center"/>
          </w:tcPr>
          <w:p w14:paraId="1950AAD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16</w:t>
            </w:r>
          </w:p>
        </w:tc>
        <w:tc>
          <w:tcPr>
            <w:tcW w:w="1529" w:type="pct"/>
            <w:gridSpan w:val="3"/>
            <w:shd w:val="clear" w:color="auto" w:fill="FFFFFF" w:themeFill="background1"/>
            <w:tcMar>
              <w:left w:w="1" w:type="dxa"/>
              <w:right w:w="1" w:type="dxa"/>
            </w:tcMar>
            <w:vAlign w:val="center"/>
          </w:tcPr>
          <w:p w14:paraId="1577124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常住人口规模（万人）</w:t>
            </w:r>
          </w:p>
        </w:tc>
        <w:tc>
          <w:tcPr>
            <w:tcW w:w="740" w:type="pct"/>
            <w:shd w:val="clear" w:color="auto" w:fill="FFFFFF" w:themeFill="background1"/>
            <w:tcMar>
              <w:left w:w="1" w:type="dxa"/>
              <w:right w:w="1" w:type="dxa"/>
            </w:tcMar>
            <w:vAlign w:val="center"/>
          </w:tcPr>
          <w:p w14:paraId="2D701CE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1.29</w:t>
            </w:r>
          </w:p>
        </w:tc>
        <w:tc>
          <w:tcPr>
            <w:tcW w:w="740" w:type="pct"/>
            <w:shd w:val="clear" w:color="auto" w:fill="FFFFFF" w:themeFill="background1"/>
            <w:tcMar>
              <w:left w:w="1" w:type="dxa"/>
              <w:right w:w="1" w:type="dxa"/>
            </w:tcMar>
            <w:vAlign w:val="center"/>
          </w:tcPr>
          <w:p w14:paraId="3D61B0F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1.15</w:t>
            </w:r>
          </w:p>
        </w:tc>
        <w:tc>
          <w:tcPr>
            <w:tcW w:w="642" w:type="pct"/>
            <w:shd w:val="clear" w:color="auto" w:fill="FFFFFF" w:themeFill="background1"/>
            <w:tcMar>
              <w:left w:w="1" w:type="dxa"/>
              <w:right w:w="1" w:type="dxa"/>
            </w:tcMar>
            <w:vAlign w:val="center"/>
          </w:tcPr>
          <w:p w14:paraId="4689893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1.20</w:t>
            </w:r>
          </w:p>
        </w:tc>
        <w:tc>
          <w:tcPr>
            <w:tcW w:w="516" w:type="pct"/>
            <w:shd w:val="clear" w:color="auto" w:fill="FFFFFF" w:themeFill="background1"/>
            <w:tcMar>
              <w:left w:w="1" w:type="dxa"/>
              <w:right w:w="1" w:type="dxa"/>
            </w:tcMar>
            <w:vAlign w:val="center"/>
          </w:tcPr>
          <w:p w14:paraId="6DDDB1F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预期性</w:t>
            </w:r>
          </w:p>
        </w:tc>
        <w:tc>
          <w:tcPr>
            <w:tcW w:w="523" w:type="pct"/>
            <w:shd w:val="clear" w:color="auto" w:fill="FFFFFF" w:themeFill="background1"/>
            <w:tcMar>
              <w:left w:w="1" w:type="dxa"/>
              <w:right w:w="1" w:type="dxa"/>
            </w:tcMar>
            <w:vAlign w:val="center"/>
          </w:tcPr>
          <w:p w14:paraId="138FCEC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全域</w:t>
            </w:r>
          </w:p>
        </w:tc>
      </w:tr>
      <w:tr w14:paraId="07D8C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100" w:hRule="atLeast"/>
        </w:trPr>
        <w:tc>
          <w:tcPr>
            <w:tcW w:w="306" w:type="pct"/>
            <w:shd w:val="clear" w:color="auto" w:fill="FFFFFF" w:themeFill="background1"/>
            <w:tcMar>
              <w:left w:w="1" w:type="dxa"/>
              <w:right w:w="1" w:type="dxa"/>
            </w:tcMar>
            <w:vAlign w:val="center"/>
          </w:tcPr>
          <w:p w14:paraId="5E8D9C6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17</w:t>
            </w:r>
          </w:p>
        </w:tc>
        <w:tc>
          <w:tcPr>
            <w:tcW w:w="1529" w:type="pct"/>
            <w:gridSpan w:val="3"/>
            <w:shd w:val="clear" w:color="auto" w:fill="FFFFFF" w:themeFill="background1"/>
            <w:tcMar>
              <w:left w:w="1" w:type="dxa"/>
              <w:right w:w="1" w:type="dxa"/>
            </w:tcMar>
            <w:vAlign w:val="center"/>
          </w:tcPr>
          <w:p w14:paraId="3B53435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常住人口城镇化率（%）</w:t>
            </w:r>
          </w:p>
        </w:tc>
        <w:tc>
          <w:tcPr>
            <w:tcW w:w="740" w:type="pct"/>
            <w:shd w:val="clear" w:color="auto" w:fill="FFFFFF" w:themeFill="background1"/>
            <w:tcMar>
              <w:left w:w="2" w:type="dxa"/>
              <w:right w:w="2" w:type="dxa"/>
            </w:tcMar>
            <w:vAlign w:val="center"/>
          </w:tcPr>
          <w:p w14:paraId="194669D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26</w:t>
            </w:r>
          </w:p>
        </w:tc>
        <w:tc>
          <w:tcPr>
            <w:tcW w:w="740" w:type="pct"/>
            <w:shd w:val="clear" w:color="auto" w:fill="FFFFFF" w:themeFill="background1"/>
            <w:tcMar>
              <w:left w:w="2" w:type="dxa"/>
              <w:right w:w="2" w:type="dxa"/>
            </w:tcMar>
            <w:vAlign w:val="center"/>
          </w:tcPr>
          <w:p w14:paraId="7C662D3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48</w:t>
            </w:r>
          </w:p>
        </w:tc>
        <w:tc>
          <w:tcPr>
            <w:tcW w:w="642" w:type="pct"/>
            <w:shd w:val="clear" w:color="auto" w:fill="FFFFFF" w:themeFill="background1"/>
            <w:tcMar>
              <w:left w:w="2" w:type="dxa"/>
              <w:right w:w="2" w:type="dxa"/>
            </w:tcMar>
            <w:vAlign w:val="center"/>
          </w:tcPr>
          <w:p w14:paraId="380E8C2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57</w:t>
            </w:r>
          </w:p>
        </w:tc>
        <w:tc>
          <w:tcPr>
            <w:tcW w:w="516" w:type="pct"/>
            <w:shd w:val="clear" w:color="auto" w:fill="FFFFFF" w:themeFill="background1"/>
            <w:tcMar>
              <w:left w:w="1" w:type="dxa"/>
              <w:right w:w="1" w:type="dxa"/>
            </w:tcMar>
            <w:vAlign w:val="center"/>
          </w:tcPr>
          <w:p w14:paraId="1C6CC42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预期性</w:t>
            </w:r>
          </w:p>
        </w:tc>
        <w:tc>
          <w:tcPr>
            <w:tcW w:w="523" w:type="pct"/>
            <w:shd w:val="clear" w:color="auto" w:fill="FFFFFF" w:themeFill="background1"/>
            <w:tcMar>
              <w:left w:w="1" w:type="dxa"/>
              <w:right w:w="1" w:type="dxa"/>
            </w:tcMar>
            <w:vAlign w:val="center"/>
          </w:tcPr>
          <w:p w14:paraId="0BCB489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全域</w:t>
            </w:r>
          </w:p>
        </w:tc>
      </w:tr>
      <w:tr w14:paraId="1C5352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90" w:hRule="atLeast"/>
        </w:trPr>
        <w:tc>
          <w:tcPr>
            <w:tcW w:w="306" w:type="pct"/>
            <w:shd w:val="clear" w:color="auto" w:fill="FFFFFF" w:themeFill="background1"/>
            <w:tcMar>
              <w:left w:w="1" w:type="dxa"/>
              <w:right w:w="1" w:type="dxa"/>
            </w:tcMar>
            <w:vAlign w:val="center"/>
          </w:tcPr>
          <w:p w14:paraId="4F64F00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18</w:t>
            </w:r>
          </w:p>
        </w:tc>
        <w:tc>
          <w:tcPr>
            <w:tcW w:w="1529" w:type="pct"/>
            <w:gridSpan w:val="3"/>
            <w:shd w:val="clear" w:color="auto" w:fill="FFFFFF" w:themeFill="background1"/>
            <w:tcMar>
              <w:left w:w="1" w:type="dxa"/>
              <w:right w:w="1" w:type="dxa"/>
            </w:tcMar>
            <w:vAlign w:val="center"/>
          </w:tcPr>
          <w:p w14:paraId="22A761B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人均城镇建设用地面积（平方米）</w:t>
            </w:r>
          </w:p>
        </w:tc>
        <w:tc>
          <w:tcPr>
            <w:tcW w:w="740" w:type="pct"/>
            <w:shd w:val="clear" w:color="auto" w:fill="FFFFFF" w:themeFill="background1"/>
            <w:tcMar>
              <w:left w:w="2" w:type="dxa"/>
              <w:right w:w="2" w:type="dxa"/>
            </w:tcMar>
            <w:vAlign w:val="center"/>
          </w:tcPr>
          <w:p w14:paraId="712C4AD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53</w:t>
            </w:r>
          </w:p>
        </w:tc>
        <w:tc>
          <w:tcPr>
            <w:tcW w:w="740" w:type="pct"/>
            <w:shd w:val="clear" w:color="auto" w:fill="FFFFFF" w:themeFill="background1"/>
            <w:tcMar>
              <w:left w:w="2" w:type="dxa"/>
              <w:right w:w="2" w:type="dxa"/>
            </w:tcMar>
            <w:vAlign w:val="center"/>
          </w:tcPr>
          <w:p w14:paraId="6DD0D88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≤66</w:t>
            </w:r>
          </w:p>
        </w:tc>
        <w:tc>
          <w:tcPr>
            <w:tcW w:w="642" w:type="pct"/>
            <w:shd w:val="clear" w:color="auto" w:fill="FFFFFF" w:themeFill="background1"/>
            <w:tcMar>
              <w:left w:w="2" w:type="dxa"/>
              <w:right w:w="2" w:type="dxa"/>
            </w:tcMar>
            <w:vAlign w:val="center"/>
          </w:tcPr>
          <w:p w14:paraId="38F992E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≤74.99</w:t>
            </w:r>
          </w:p>
        </w:tc>
        <w:tc>
          <w:tcPr>
            <w:tcW w:w="516" w:type="pct"/>
            <w:shd w:val="clear" w:color="auto" w:fill="FFFFFF" w:themeFill="background1"/>
            <w:tcMar>
              <w:left w:w="1" w:type="dxa"/>
              <w:right w:w="1" w:type="dxa"/>
            </w:tcMar>
            <w:vAlign w:val="center"/>
          </w:tcPr>
          <w:p w14:paraId="77C99E1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约束性</w:t>
            </w:r>
          </w:p>
        </w:tc>
        <w:tc>
          <w:tcPr>
            <w:tcW w:w="523" w:type="pct"/>
            <w:shd w:val="clear" w:color="auto" w:fill="FFFFFF" w:themeFill="background1"/>
            <w:tcMar>
              <w:left w:w="1" w:type="dxa"/>
              <w:right w:w="1" w:type="dxa"/>
            </w:tcMar>
            <w:vAlign w:val="center"/>
          </w:tcPr>
          <w:p w14:paraId="6029164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全域</w:t>
            </w:r>
          </w:p>
        </w:tc>
      </w:tr>
      <w:tr w14:paraId="4ECBDD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shd w:val="clear" w:color="auto" w:fill="FFFFFF" w:themeFill="background1"/>
            <w:tcMar>
              <w:left w:w="1" w:type="dxa"/>
              <w:right w:w="1" w:type="dxa"/>
            </w:tcMar>
            <w:vAlign w:val="center"/>
          </w:tcPr>
          <w:p w14:paraId="0668732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19</w:t>
            </w:r>
          </w:p>
        </w:tc>
        <w:tc>
          <w:tcPr>
            <w:tcW w:w="1529" w:type="pct"/>
            <w:gridSpan w:val="3"/>
            <w:shd w:val="clear" w:color="auto" w:fill="FFFFFF" w:themeFill="background1"/>
            <w:tcMar>
              <w:left w:w="1" w:type="dxa"/>
              <w:right w:w="1" w:type="dxa"/>
            </w:tcMar>
            <w:vAlign w:val="center"/>
          </w:tcPr>
          <w:p w14:paraId="3DE4578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人均应急避难场所面积（平方米）</w:t>
            </w:r>
          </w:p>
        </w:tc>
        <w:tc>
          <w:tcPr>
            <w:tcW w:w="740" w:type="pct"/>
            <w:shd w:val="clear" w:color="auto" w:fill="FFFFFF" w:themeFill="background1"/>
            <w:tcMar>
              <w:left w:w="2" w:type="dxa"/>
              <w:right w:w="2" w:type="dxa"/>
            </w:tcMar>
            <w:vAlign w:val="center"/>
          </w:tcPr>
          <w:p w14:paraId="04B4BA1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0.45</w:t>
            </w:r>
          </w:p>
        </w:tc>
        <w:tc>
          <w:tcPr>
            <w:tcW w:w="740" w:type="pct"/>
            <w:shd w:val="clear" w:color="auto" w:fill="FFFFFF" w:themeFill="background1"/>
            <w:tcMar>
              <w:left w:w="2" w:type="dxa"/>
              <w:right w:w="2" w:type="dxa"/>
            </w:tcMar>
            <w:vAlign w:val="center"/>
          </w:tcPr>
          <w:p w14:paraId="2A464E6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≥1.5</w:t>
            </w:r>
          </w:p>
        </w:tc>
        <w:tc>
          <w:tcPr>
            <w:tcW w:w="642" w:type="pct"/>
            <w:shd w:val="clear" w:color="auto" w:fill="FFFFFF" w:themeFill="background1"/>
            <w:tcMar>
              <w:left w:w="2" w:type="dxa"/>
              <w:right w:w="2" w:type="dxa"/>
            </w:tcMar>
            <w:vAlign w:val="center"/>
          </w:tcPr>
          <w:p w14:paraId="128B3AE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≥1.5</w:t>
            </w:r>
          </w:p>
        </w:tc>
        <w:tc>
          <w:tcPr>
            <w:tcW w:w="516" w:type="pct"/>
            <w:shd w:val="clear" w:color="auto" w:fill="FFFFFF" w:themeFill="background1"/>
            <w:tcMar>
              <w:left w:w="1" w:type="dxa"/>
              <w:right w:w="1" w:type="dxa"/>
            </w:tcMar>
            <w:vAlign w:val="center"/>
          </w:tcPr>
          <w:p w14:paraId="2DDAE7D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预期性</w:t>
            </w:r>
          </w:p>
        </w:tc>
        <w:tc>
          <w:tcPr>
            <w:tcW w:w="523" w:type="pct"/>
            <w:shd w:val="clear" w:color="auto" w:fill="FFFFFF" w:themeFill="background1"/>
            <w:tcMar>
              <w:left w:w="1" w:type="dxa"/>
              <w:right w:w="1" w:type="dxa"/>
            </w:tcMar>
            <w:vAlign w:val="center"/>
          </w:tcPr>
          <w:p w14:paraId="32C2C85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镇中心</w:t>
            </w:r>
          </w:p>
        </w:tc>
      </w:tr>
      <w:tr w14:paraId="6E07E1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shd w:val="clear" w:color="auto" w:fill="FFFFFF" w:themeFill="background1"/>
            <w:tcMar>
              <w:left w:w="1" w:type="dxa"/>
              <w:right w:w="1" w:type="dxa"/>
            </w:tcMar>
            <w:vAlign w:val="center"/>
          </w:tcPr>
          <w:p w14:paraId="3498166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20</w:t>
            </w:r>
          </w:p>
        </w:tc>
        <w:tc>
          <w:tcPr>
            <w:tcW w:w="1529" w:type="pct"/>
            <w:gridSpan w:val="3"/>
            <w:shd w:val="clear" w:color="auto" w:fill="FFFFFF" w:themeFill="background1"/>
            <w:tcMar>
              <w:left w:w="1" w:type="dxa"/>
              <w:right w:w="1" w:type="dxa"/>
            </w:tcMar>
            <w:vAlign w:val="center"/>
          </w:tcPr>
          <w:p w14:paraId="0477C01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道路网密度（公里/平方公里）</w:t>
            </w:r>
          </w:p>
        </w:tc>
        <w:tc>
          <w:tcPr>
            <w:tcW w:w="740" w:type="pct"/>
            <w:shd w:val="clear" w:color="auto" w:fill="FFFFFF" w:themeFill="background1"/>
            <w:tcMar>
              <w:left w:w="2" w:type="dxa"/>
              <w:right w:w="2" w:type="dxa"/>
            </w:tcMar>
            <w:vAlign w:val="center"/>
          </w:tcPr>
          <w:p w14:paraId="1C41D2B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3.56</w:t>
            </w:r>
          </w:p>
        </w:tc>
        <w:tc>
          <w:tcPr>
            <w:tcW w:w="740" w:type="pct"/>
            <w:shd w:val="clear" w:color="auto" w:fill="FFFFFF" w:themeFill="background1"/>
            <w:tcMar>
              <w:left w:w="2" w:type="dxa"/>
              <w:right w:w="2" w:type="dxa"/>
            </w:tcMar>
            <w:vAlign w:val="center"/>
          </w:tcPr>
          <w:p w14:paraId="2CA77B8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≥5</w:t>
            </w:r>
          </w:p>
        </w:tc>
        <w:tc>
          <w:tcPr>
            <w:tcW w:w="642" w:type="pct"/>
            <w:shd w:val="clear" w:color="auto" w:fill="FFFFFF" w:themeFill="background1"/>
            <w:tcMar>
              <w:left w:w="2" w:type="dxa"/>
              <w:right w:w="2" w:type="dxa"/>
            </w:tcMar>
            <w:vAlign w:val="center"/>
          </w:tcPr>
          <w:p w14:paraId="6D3729B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≥6</w:t>
            </w:r>
          </w:p>
        </w:tc>
        <w:tc>
          <w:tcPr>
            <w:tcW w:w="516" w:type="pct"/>
            <w:shd w:val="clear" w:color="auto" w:fill="FFFFFF" w:themeFill="background1"/>
            <w:tcMar>
              <w:left w:w="1" w:type="dxa"/>
              <w:right w:w="1" w:type="dxa"/>
            </w:tcMar>
            <w:vAlign w:val="center"/>
          </w:tcPr>
          <w:p w14:paraId="03E02E1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约束性</w:t>
            </w:r>
          </w:p>
        </w:tc>
        <w:tc>
          <w:tcPr>
            <w:tcW w:w="523" w:type="pct"/>
            <w:shd w:val="clear" w:color="auto" w:fill="FFFFFF" w:themeFill="background1"/>
            <w:tcMar>
              <w:left w:w="1" w:type="dxa"/>
              <w:right w:w="1" w:type="dxa"/>
            </w:tcMar>
            <w:vAlign w:val="center"/>
          </w:tcPr>
          <w:p w14:paraId="01B22D1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镇中心</w:t>
            </w:r>
          </w:p>
        </w:tc>
      </w:tr>
      <w:tr w14:paraId="14111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shd w:val="clear" w:color="auto" w:fill="FFFFFF" w:themeFill="background1"/>
            <w:tcMar>
              <w:left w:w="1" w:type="dxa"/>
              <w:right w:w="1" w:type="dxa"/>
            </w:tcMar>
            <w:vAlign w:val="center"/>
          </w:tcPr>
          <w:p w14:paraId="774A9D7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21</w:t>
            </w:r>
          </w:p>
        </w:tc>
        <w:tc>
          <w:tcPr>
            <w:tcW w:w="1529" w:type="pct"/>
            <w:gridSpan w:val="3"/>
            <w:shd w:val="clear" w:color="auto" w:fill="FFFFFF" w:themeFill="background1"/>
            <w:tcMar>
              <w:left w:w="1" w:type="dxa"/>
              <w:right w:w="1" w:type="dxa"/>
            </w:tcMar>
            <w:vAlign w:val="center"/>
          </w:tcPr>
          <w:p w14:paraId="5CB9B3C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每万元地区生产总值用水下降（%）</w:t>
            </w:r>
          </w:p>
        </w:tc>
        <w:tc>
          <w:tcPr>
            <w:tcW w:w="740" w:type="pct"/>
            <w:shd w:val="clear" w:color="auto" w:fill="FFFFFF" w:themeFill="background1"/>
            <w:tcMar>
              <w:left w:w="1" w:type="dxa"/>
              <w:right w:w="1" w:type="dxa"/>
            </w:tcMar>
            <w:vAlign w:val="center"/>
          </w:tcPr>
          <w:p w14:paraId="71456F8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w:t>
            </w:r>
          </w:p>
        </w:tc>
        <w:tc>
          <w:tcPr>
            <w:tcW w:w="740" w:type="pct"/>
            <w:shd w:val="clear" w:color="auto" w:fill="FFFFFF" w:themeFill="background1"/>
            <w:tcMar>
              <w:left w:w="1" w:type="dxa"/>
              <w:right w:w="1" w:type="dxa"/>
            </w:tcMar>
            <w:vAlign w:val="center"/>
          </w:tcPr>
          <w:p w14:paraId="58CD897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w:t>
            </w:r>
          </w:p>
        </w:tc>
        <w:tc>
          <w:tcPr>
            <w:tcW w:w="642" w:type="pct"/>
            <w:shd w:val="clear" w:color="auto" w:fill="FFFFFF" w:themeFill="background1"/>
            <w:tcMar>
              <w:left w:w="1" w:type="dxa"/>
              <w:right w:w="1" w:type="dxa"/>
            </w:tcMar>
            <w:vAlign w:val="center"/>
          </w:tcPr>
          <w:p w14:paraId="342C75F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依据上级下达任务确定</w:t>
            </w:r>
          </w:p>
        </w:tc>
        <w:tc>
          <w:tcPr>
            <w:tcW w:w="516" w:type="pct"/>
            <w:shd w:val="clear" w:color="auto" w:fill="FFFFFF" w:themeFill="background1"/>
            <w:tcMar>
              <w:left w:w="1" w:type="dxa"/>
              <w:right w:w="1" w:type="dxa"/>
            </w:tcMar>
            <w:vAlign w:val="center"/>
          </w:tcPr>
          <w:p w14:paraId="7B2B393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预期性</w:t>
            </w:r>
          </w:p>
        </w:tc>
        <w:tc>
          <w:tcPr>
            <w:tcW w:w="523" w:type="pct"/>
            <w:shd w:val="clear" w:color="auto" w:fill="FFFFFF" w:themeFill="background1"/>
            <w:tcMar>
              <w:left w:w="1" w:type="dxa"/>
              <w:right w:w="1" w:type="dxa"/>
            </w:tcMar>
            <w:vAlign w:val="center"/>
          </w:tcPr>
          <w:p w14:paraId="6641451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全域</w:t>
            </w:r>
          </w:p>
        </w:tc>
      </w:tr>
      <w:tr w14:paraId="513CC7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hemeFill="background1"/>
          <w:tblCellMar>
            <w:top w:w="0" w:type="dxa"/>
            <w:left w:w="0" w:type="dxa"/>
            <w:bottom w:w="0" w:type="dxa"/>
            <w:right w:w="0" w:type="dxa"/>
          </w:tblCellMar>
        </w:tblPrEx>
        <w:tc>
          <w:tcPr>
            <w:tcW w:w="306" w:type="pct"/>
            <w:shd w:val="clear" w:color="auto" w:fill="FFFFFF" w:themeFill="background1"/>
            <w:tcMar>
              <w:left w:w="1" w:type="dxa"/>
              <w:right w:w="1" w:type="dxa"/>
            </w:tcMar>
            <w:vAlign w:val="center"/>
          </w:tcPr>
          <w:p w14:paraId="400A464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22</w:t>
            </w:r>
          </w:p>
        </w:tc>
        <w:tc>
          <w:tcPr>
            <w:tcW w:w="1529" w:type="pct"/>
            <w:gridSpan w:val="3"/>
            <w:shd w:val="clear" w:color="auto" w:fill="FFFFFF" w:themeFill="background1"/>
            <w:tcMar>
              <w:left w:w="1" w:type="dxa"/>
              <w:right w:w="1" w:type="dxa"/>
            </w:tcMar>
            <w:vAlign w:val="center"/>
          </w:tcPr>
          <w:p w14:paraId="6EA9EC2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单位地区生产总值建设用地使用面积下降（%）</w:t>
            </w:r>
          </w:p>
        </w:tc>
        <w:tc>
          <w:tcPr>
            <w:tcW w:w="740" w:type="pct"/>
            <w:shd w:val="clear" w:color="auto" w:fill="FFFFFF" w:themeFill="background1"/>
            <w:tcMar>
              <w:left w:w="1" w:type="dxa"/>
              <w:right w:w="1" w:type="dxa"/>
            </w:tcMar>
            <w:vAlign w:val="center"/>
          </w:tcPr>
          <w:p w14:paraId="0E4B21D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w:t>
            </w:r>
          </w:p>
        </w:tc>
        <w:tc>
          <w:tcPr>
            <w:tcW w:w="740" w:type="pct"/>
            <w:shd w:val="clear" w:color="auto" w:fill="FFFFFF" w:themeFill="background1"/>
            <w:tcMar>
              <w:left w:w="1" w:type="dxa"/>
              <w:right w:w="1" w:type="dxa"/>
            </w:tcMar>
            <w:vAlign w:val="center"/>
          </w:tcPr>
          <w:p w14:paraId="11A1FE4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依据上级下达任务确定</w:t>
            </w:r>
          </w:p>
        </w:tc>
        <w:tc>
          <w:tcPr>
            <w:tcW w:w="642" w:type="pct"/>
            <w:shd w:val="clear" w:color="auto" w:fill="FFFFFF" w:themeFill="background1"/>
            <w:tcMar>
              <w:left w:w="1" w:type="dxa"/>
              <w:right w:w="1" w:type="dxa"/>
            </w:tcMar>
            <w:vAlign w:val="center"/>
          </w:tcPr>
          <w:p w14:paraId="7BD19D8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依据上级下达任务确定</w:t>
            </w:r>
          </w:p>
        </w:tc>
        <w:tc>
          <w:tcPr>
            <w:tcW w:w="516" w:type="pct"/>
            <w:shd w:val="clear" w:color="auto" w:fill="FFFFFF" w:themeFill="background1"/>
            <w:tcMar>
              <w:left w:w="1" w:type="dxa"/>
              <w:right w:w="1" w:type="dxa"/>
            </w:tcMar>
            <w:vAlign w:val="center"/>
          </w:tcPr>
          <w:p w14:paraId="5D15BE0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预期性</w:t>
            </w:r>
          </w:p>
        </w:tc>
        <w:tc>
          <w:tcPr>
            <w:tcW w:w="523" w:type="pct"/>
            <w:shd w:val="clear" w:color="auto" w:fill="FFFFFF" w:themeFill="background1"/>
            <w:tcMar>
              <w:left w:w="1" w:type="dxa"/>
              <w:right w:w="1" w:type="dxa"/>
            </w:tcMar>
            <w:vAlign w:val="center"/>
          </w:tcPr>
          <w:p w14:paraId="340A472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全域</w:t>
            </w:r>
          </w:p>
        </w:tc>
      </w:tr>
      <w:tr w14:paraId="53350E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5000" w:type="pct"/>
            <w:gridSpan w:val="9"/>
            <w:shd w:val="clear" w:color="auto" w:fill="FFFFFF" w:themeFill="background1"/>
            <w:tcMar>
              <w:left w:w="1" w:type="dxa"/>
              <w:right w:w="1" w:type="dxa"/>
            </w:tcMar>
            <w:vAlign w:val="center"/>
          </w:tcPr>
          <w:p w14:paraId="4596E09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三、空间品质</w:t>
            </w:r>
          </w:p>
        </w:tc>
      </w:tr>
      <w:tr w14:paraId="527154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shd w:val="clear" w:color="auto" w:fill="FFFFFF" w:themeFill="background1"/>
            <w:tcMar>
              <w:left w:w="1" w:type="dxa"/>
              <w:right w:w="1" w:type="dxa"/>
            </w:tcMar>
            <w:vAlign w:val="center"/>
          </w:tcPr>
          <w:p w14:paraId="50C808E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23</w:t>
            </w:r>
          </w:p>
        </w:tc>
        <w:tc>
          <w:tcPr>
            <w:tcW w:w="1529" w:type="pct"/>
            <w:gridSpan w:val="3"/>
            <w:shd w:val="clear" w:color="auto" w:fill="FFFFFF" w:themeFill="background1"/>
            <w:tcMar>
              <w:left w:w="1" w:type="dxa"/>
              <w:right w:w="1" w:type="dxa"/>
            </w:tcMar>
            <w:vAlign w:val="center"/>
          </w:tcPr>
          <w:p w14:paraId="6507876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公园绿地、广场步行5分钟覆盖率（%）</w:t>
            </w:r>
          </w:p>
        </w:tc>
        <w:tc>
          <w:tcPr>
            <w:tcW w:w="740" w:type="pct"/>
            <w:shd w:val="clear" w:color="auto" w:fill="FFFFFF" w:themeFill="background1"/>
            <w:tcMar>
              <w:left w:w="2" w:type="dxa"/>
              <w:right w:w="2" w:type="dxa"/>
            </w:tcMar>
            <w:vAlign w:val="center"/>
          </w:tcPr>
          <w:p w14:paraId="70DC121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32.64</w:t>
            </w:r>
          </w:p>
        </w:tc>
        <w:tc>
          <w:tcPr>
            <w:tcW w:w="740" w:type="pct"/>
            <w:shd w:val="clear" w:color="auto" w:fill="FFFFFF" w:themeFill="background1"/>
            <w:tcMar>
              <w:left w:w="2" w:type="dxa"/>
              <w:right w:w="2" w:type="dxa"/>
            </w:tcMar>
            <w:vAlign w:val="center"/>
          </w:tcPr>
          <w:p w14:paraId="5089116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≥45</w:t>
            </w:r>
          </w:p>
        </w:tc>
        <w:tc>
          <w:tcPr>
            <w:tcW w:w="642" w:type="pct"/>
            <w:shd w:val="clear" w:color="auto" w:fill="FFFFFF" w:themeFill="background1"/>
            <w:tcMar>
              <w:left w:w="2" w:type="dxa"/>
              <w:right w:w="2" w:type="dxa"/>
            </w:tcMar>
            <w:vAlign w:val="center"/>
          </w:tcPr>
          <w:p w14:paraId="1351535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≥75</w:t>
            </w:r>
          </w:p>
        </w:tc>
        <w:tc>
          <w:tcPr>
            <w:tcW w:w="516" w:type="pct"/>
            <w:shd w:val="clear" w:color="auto" w:fill="FFFFFF" w:themeFill="background1"/>
            <w:tcMar>
              <w:left w:w="1" w:type="dxa"/>
              <w:right w:w="1" w:type="dxa"/>
            </w:tcMar>
            <w:vAlign w:val="center"/>
          </w:tcPr>
          <w:p w14:paraId="3456356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约束性</w:t>
            </w:r>
          </w:p>
        </w:tc>
        <w:tc>
          <w:tcPr>
            <w:tcW w:w="523" w:type="pct"/>
            <w:shd w:val="clear" w:color="auto" w:fill="FFFFFF" w:themeFill="background1"/>
            <w:tcMar>
              <w:left w:w="1" w:type="dxa"/>
              <w:right w:w="1" w:type="dxa"/>
            </w:tcMar>
            <w:vAlign w:val="center"/>
          </w:tcPr>
          <w:p w14:paraId="3F6EB53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镇中心</w:t>
            </w:r>
          </w:p>
        </w:tc>
      </w:tr>
      <w:tr w14:paraId="1D1DCA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vMerge w:val="restart"/>
            <w:shd w:val="clear" w:color="auto" w:fill="FFFFFF" w:themeFill="background1"/>
            <w:tcMar>
              <w:left w:w="1" w:type="dxa"/>
              <w:right w:w="1" w:type="dxa"/>
            </w:tcMar>
            <w:vAlign w:val="center"/>
          </w:tcPr>
          <w:p w14:paraId="6B2EEB2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24</w:t>
            </w:r>
          </w:p>
          <w:p w14:paraId="3ACAB03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 </w:t>
            </w:r>
          </w:p>
        </w:tc>
        <w:tc>
          <w:tcPr>
            <w:tcW w:w="544" w:type="pct"/>
            <w:gridSpan w:val="2"/>
            <w:vMerge w:val="restart"/>
            <w:shd w:val="clear" w:color="auto" w:fill="FFFFFF" w:themeFill="background1"/>
            <w:tcMar>
              <w:left w:w="1" w:type="dxa"/>
              <w:right w:w="1" w:type="dxa"/>
            </w:tcMar>
            <w:vAlign w:val="center"/>
          </w:tcPr>
          <w:p w14:paraId="0D615E4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卫生、养老、教育、文化、体育等社区公共服务设施步行15分钟覆盖率（%）</w:t>
            </w:r>
          </w:p>
        </w:tc>
        <w:tc>
          <w:tcPr>
            <w:tcW w:w="985" w:type="pct"/>
            <w:shd w:val="clear" w:color="auto" w:fill="FFFFFF" w:themeFill="background1"/>
            <w:tcMar>
              <w:left w:w="1" w:type="dxa"/>
              <w:right w:w="1" w:type="dxa"/>
            </w:tcMar>
            <w:vAlign w:val="center"/>
          </w:tcPr>
          <w:p w14:paraId="7B29B4F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社区卫生服务设施步行15分钟覆盖率（%）</w:t>
            </w:r>
          </w:p>
        </w:tc>
        <w:tc>
          <w:tcPr>
            <w:tcW w:w="740" w:type="pct"/>
            <w:shd w:val="clear" w:color="auto" w:fill="FFFFFF" w:themeFill="background1"/>
            <w:tcMar>
              <w:left w:w="2" w:type="dxa"/>
              <w:right w:w="2" w:type="dxa"/>
            </w:tcMar>
            <w:vAlign w:val="center"/>
          </w:tcPr>
          <w:p w14:paraId="55D2391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46.53</w:t>
            </w:r>
          </w:p>
        </w:tc>
        <w:tc>
          <w:tcPr>
            <w:tcW w:w="740" w:type="pct"/>
            <w:shd w:val="clear" w:color="auto" w:fill="FFFFFF" w:themeFill="background1"/>
            <w:tcMar>
              <w:left w:w="2" w:type="dxa"/>
              <w:right w:w="2" w:type="dxa"/>
            </w:tcMar>
            <w:vAlign w:val="center"/>
          </w:tcPr>
          <w:p w14:paraId="3F4623F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≥55</w:t>
            </w:r>
          </w:p>
        </w:tc>
        <w:tc>
          <w:tcPr>
            <w:tcW w:w="642" w:type="pct"/>
            <w:shd w:val="clear" w:color="auto" w:fill="FFFFFF" w:themeFill="background1"/>
            <w:tcMar>
              <w:left w:w="2" w:type="dxa"/>
              <w:right w:w="2" w:type="dxa"/>
            </w:tcMar>
            <w:vAlign w:val="center"/>
          </w:tcPr>
          <w:p w14:paraId="6514604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≥70</w:t>
            </w:r>
          </w:p>
        </w:tc>
        <w:tc>
          <w:tcPr>
            <w:tcW w:w="516" w:type="pct"/>
            <w:shd w:val="clear" w:color="auto" w:fill="FFFFFF" w:themeFill="background1"/>
            <w:tcMar>
              <w:left w:w="1" w:type="dxa"/>
              <w:right w:w="1" w:type="dxa"/>
            </w:tcMar>
            <w:vAlign w:val="center"/>
          </w:tcPr>
          <w:p w14:paraId="2897132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预期性</w:t>
            </w:r>
          </w:p>
        </w:tc>
        <w:tc>
          <w:tcPr>
            <w:tcW w:w="523" w:type="pct"/>
            <w:shd w:val="clear" w:color="auto" w:fill="FFFFFF" w:themeFill="background1"/>
            <w:tcMar>
              <w:left w:w="1" w:type="dxa"/>
              <w:right w:w="1" w:type="dxa"/>
            </w:tcMar>
            <w:vAlign w:val="center"/>
          </w:tcPr>
          <w:p w14:paraId="0AA5D42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镇中心</w:t>
            </w:r>
          </w:p>
        </w:tc>
      </w:tr>
      <w:tr w14:paraId="03B171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vMerge w:val="continue"/>
            <w:shd w:val="clear" w:color="auto" w:fill="FFFFFF" w:themeFill="background1"/>
            <w:tcMar>
              <w:left w:w="1" w:type="dxa"/>
              <w:right w:w="1" w:type="dxa"/>
            </w:tcMar>
            <w:vAlign w:val="center"/>
          </w:tcPr>
          <w:p w14:paraId="1DA5EFD0">
            <w:pPr>
              <w:widowControl w:val="0"/>
              <w:adjustRightInd/>
              <w:snapToGrid/>
              <w:spacing w:line="240" w:lineRule="auto"/>
              <w:ind w:firstLine="0" w:firstLineChars="0"/>
              <w:jc w:val="center"/>
              <w:rPr>
                <w:rFonts w:ascii="仿宋" w:eastAsia="仿宋"/>
                <w:sz w:val="21"/>
                <w:szCs w:val="21"/>
              </w:rPr>
            </w:pPr>
          </w:p>
        </w:tc>
        <w:tc>
          <w:tcPr>
            <w:tcW w:w="544" w:type="pct"/>
            <w:gridSpan w:val="2"/>
            <w:vMerge w:val="continue"/>
            <w:shd w:val="clear" w:color="auto" w:fill="FFFFFF" w:themeFill="background1"/>
            <w:tcMar>
              <w:left w:w="1" w:type="dxa"/>
              <w:right w:w="1" w:type="dxa"/>
            </w:tcMar>
            <w:vAlign w:val="center"/>
          </w:tcPr>
          <w:p w14:paraId="4522A31A">
            <w:pPr>
              <w:widowControl w:val="0"/>
              <w:adjustRightInd/>
              <w:snapToGrid/>
              <w:spacing w:line="240" w:lineRule="auto"/>
              <w:ind w:firstLine="0" w:firstLineChars="0"/>
              <w:jc w:val="center"/>
              <w:rPr>
                <w:rFonts w:ascii="仿宋" w:eastAsia="仿宋"/>
                <w:sz w:val="21"/>
                <w:szCs w:val="21"/>
              </w:rPr>
            </w:pPr>
          </w:p>
        </w:tc>
        <w:tc>
          <w:tcPr>
            <w:tcW w:w="985" w:type="pct"/>
            <w:shd w:val="clear" w:color="auto" w:fill="FFFFFF" w:themeFill="background1"/>
            <w:tcMar>
              <w:left w:w="1" w:type="dxa"/>
              <w:right w:w="1" w:type="dxa"/>
            </w:tcMar>
            <w:vAlign w:val="center"/>
          </w:tcPr>
          <w:p w14:paraId="2FE758A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社区养老设施步行15分钟覆盖率（%）</w:t>
            </w:r>
          </w:p>
        </w:tc>
        <w:tc>
          <w:tcPr>
            <w:tcW w:w="740" w:type="pct"/>
            <w:shd w:val="clear" w:color="auto" w:fill="FFFFFF" w:themeFill="background1"/>
            <w:tcMar>
              <w:left w:w="2" w:type="dxa"/>
              <w:right w:w="2" w:type="dxa"/>
            </w:tcMar>
            <w:vAlign w:val="center"/>
          </w:tcPr>
          <w:p w14:paraId="5458CEB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39</w:t>
            </w:r>
          </w:p>
        </w:tc>
        <w:tc>
          <w:tcPr>
            <w:tcW w:w="740" w:type="pct"/>
            <w:shd w:val="clear" w:color="auto" w:fill="FFFFFF" w:themeFill="background1"/>
            <w:tcMar>
              <w:left w:w="2" w:type="dxa"/>
              <w:right w:w="2" w:type="dxa"/>
            </w:tcMar>
            <w:vAlign w:val="center"/>
          </w:tcPr>
          <w:p w14:paraId="40CB9D8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≥38</w:t>
            </w:r>
          </w:p>
        </w:tc>
        <w:tc>
          <w:tcPr>
            <w:tcW w:w="642" w:type="pct"/>
            <w:shd w:val="clear" w:color="auto" w:fill="FFFFFF" w:themeFill="background1"/>
            <w:tcMar>
              <w:left w:w="2" w:type="dxa"/>
              <w:right w:w="2" w:type="dxa"/>
            </w:tcMar>
            <w:vAlign w:val="center"/>
          </w:tcPr>
          <w:p w14:paraId="068C006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≥80</w:t>
            </w:r>
          </w:p>
        </w:tc>
        <w:tc>
          <w:tcPr>
            <w:tcW w:w="516" w:type="pct"/>
            <w:shd w:val="clear" w:color="auto" w:fill="FFFFFF" w:themeFill="background1"/>
            <w:tcMar>
              <w:left w:w="1" w:type="dxa"/>
              <w:right w:w="1" w:type="dxa"/>
            </w:tcMar>
            <w:vAlign w:val="center"/>
          </w:tcPr>
          <w:p w14:paraId="7A4A65F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预期性</w:t>
            </w:r>
          </w:p>
        </w:tc>
        <w:tc>
          <w:tcPr>
            <w:tcW w:w="523" w:type="pct"/>
            <w:shd w:val="clear" w:color="auto" w:fill="FFFFFF" w:themeFill="background1"/>
            <w:tcMar>
              <w:left w:w="1" w:type="dxa"/>
              <w:right w:w="1" w:type="dxa"/>
            </w:tcMar>
            <w:vAlign w:val="center"/>
          </w:tcPr>
          <w:p w14:paraId="287BC39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镇中心</w:t>
            </w:r>
          </w:p>
        </w:tc>
      </w:tr>
      <w:tr w14:paraId="7FD0C2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vMerge w:val="continue"/>
            <w:shd w:val="clear" w:color="auto" w:fill="FFFFFF" w:themeFill="background1"/>
            <w:tcMar>
              <w:left w:w="1" w:type="dxa"/>
              <w:right w:w="1" w:type="dxa"/>
            </w:tcMar>
            <w:vAlign w:val="center"/>
          </w:tcPr>
          <w:p w14:paraId="53B1A95F">
            <w:pPr>
              <w:widowControl w:val="0"/>
              <w:adjustRightInd/>
              <w:snapToGrid/>
              <w:spacing w:line="240" w:lineRule="auto"/>
              <w:ind w:firstLine="0" w:firstLineChars="0"/>
              <w:jc w:val="center"/>
              <w:rPr>
                <w:rFonts w:ascii="仿宋" w:eastAsia="仿宋"/>
                <w:sz w:val="21"/>
                <w:szCs w:val="21"/>
              </w:rPr>
            </w:pPr>
          </w:p>
        </w:tc>
        <w:tc>
          <w:tcPr>
            <w:tcW w:w="544" w:type="pct"/>
            <w:gridSpan w:val="2"/>
            <w:vMerge w:val="continue"/>
            <w:shd w:val="clear" w:color="auto" w:fill="FFFFFF" w:themeFill="background1"/>
            <w:tcMar>
              <w:left w:w="1" w:type="dxa"/>
              <w:right w:w="1" w:type="dxa"/>
            </w:tcMar>
            <w:vAlign w:val="center"/>
          </w:tcPr>
          <w:p w14:paraId="17DDE5E8">
            <w:pPr>
              <w:widowControl w:val="0"/>
              <w:adjustRightInd/>
              <w:snapToGrid/>
              <w:spacing w:line="240" w:lineRule="auto"/>
              <w:ind w:firstLine="0" w:firstLineChars="0"/>
              <w:jc w:val="center"/>
              <w:rPr>
                <w:rFonts w:ascii="仿宋" w:eastAsia="仿宋"/>
                <w:sz w:val="21"/>
                <w:szCs w:val="21"/>
              </w:rPr>
            </w:pPr>
          </w:p>
        </w:tc>
        <w:tc>
          <w:tcPr>
            <w:tcW w:w="985" w:type="pct"/>
            <w:shd w:val="clear" w:color="auto" w:fill="FFFFFF" w:themeFill="background1"/>
            <w:tcMar>
              <w:left w:w="1" w:type="dxa"/>
              <w:right w:w="1" w:type="dxa"/>
            </w:tcMar>
            <w:vAlign w:val="center"/>
          </w:tcPr>
          <w:p w14:paraId="1EB0073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社区教育设施步行15分钟覆盖率（%）</w:t>
            </w:r>
          </w:p>
        </w:tc>
        <w:tc>
          <w:tcPr>
            <w:tcW w:w="740" w:type="pct"/>
            <w:shd w:val="clear" w:color="auto" w:fill="FFFFFF" w:themeFill="background1"/>
            <w:tcMar>
              <w:left w:w="2" w:type="dxa"/>
              <w:right w:w="2" w:type="dxa"/>
            </w:tcMar>
            <w:vAlign w:val="center"/>
          </w:tcPr>
          <w:p w14:paraId="03998C2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81</w:t>
            </w:r>
          </w:p>
        </w:tc>
        <w:tc>
          <w:tcPr>
            <w:tcW w:w="740" w:type="pct"/>
            <w:shd w:val="clear" w:color="auto" w:fill="FFFFFF" w:themeFill="background1"/>
            <w:tcMar>
              <w:left w:w="2" w:type="dxa"/>
              <w:right w:w="2" w:type="dxa"/>
            </w:tcMar>
            <w:vAlign w:val="center"/>
          </w:tcPr>
          <w:p w14:paraId="2C69E38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≥85</w:t>
            </w:r>
          </w:p>
        </w:tc>
        <w:tc>
          <w:tcPr>
            <w:tcW w:w="642" w:type="pct"/>
            <w:shd w:val="clear" w:color="auto" w:fill="FFFFFF" w:themeFill="background1"/>
            <w:tcMar>
              <w:left w:w="2" w:type="dxa"/>
              <w:right w:w="2" w:type="dxa"/>
            </w:tcMar>
            <w:vAlign w:val="center"/>
          </w:tcPr>
          <w:p w14:paraId="2FAC9B4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≥85</w:t>
            </w:r>
          </w:p>
        </w:tc>
        <w:tc>
          <w:tcPr>
            <w:tcW w:w="516" w:type="pct"/>
            <w:shd w:val="clear" w:color="auto" w:fill="FFFFFF" w:themeFill="background1"/>
            <w:tcMar>
              <w:left w:w="1" w:type="dxa"/>
              <w:right w:w="1" w:type="dxa"/>
            </w:tcMar>
            <w:vAlign w:val="center"/>
          </w:tcPr>
          <w:p w14:paraId="6A3F8C0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预期性</w:t>
            </w:r>
          </w:p>
        </w:tc>
        <w:tc>
          <w:tcPr>
            <w:tcW w:w="523" w:type="pct"/>
            <w:shd w:val="clear" w:color="auto" w:fill="FFFFFF" w:themeFill="background1"/>
            <w:tcMar>
              <w:left w:w="1" w:type="dxa"/>
              <w:right w:w="1" w:type="dxa"/>
            </w:tcMar>
            <w:vAlign w:val="center"/>
          </w:tcPr>
          <w:p w14:paraId="3536053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镇中心</w:t>
            </w:r>
          </w:p>
        </w:tc>
      </w:tr>
      <w:tr w14:paraId="742535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vMerge w:val="continue"/>
            <w:shd w:val="clear" w:color="auto" w:fill="FFFFFF" w:themeFill="background1"/>
            <w:tcMar>
              <w:left w:w="1" w:type="dxa"/>
              <w:right w:w="1" w:type="dxa"/>
            </w:tcMar>
            <w:vAlign w:val="center"/>
          </w:tcPr>
          <w:p w14:paraId="1713EDD9">
            <w:pPr>
              <w:widowControl w:val="0"/>
              <w:adjustRightInd/>
              <w:snapToGrid/>
              <w:spacing w:line="240" w:lineRule="auto"/>
              <w:ind w:firstLine="0" w:firstLineChars="0"/>
              <w:jc w:val="center"/>
              <w:rPr>
                <w:rFonts w:ascii="仿宋" w:eastAsia="仿宋"/>
                <w:sz w:val="21"/>
                <w:szCs w:val="21"/>
              </w:rPr>
            </w:pPr>
          </w:p>
        </w:tc>
        <w:tc>
          <w:tcPr>
            <w:tcW w:w="544" w:type="pct"/>
            <w:gridSpan w:val="2"/>
            <w:vMerge w:val="continue"/>
            <w:shd w:val="clear" w:color="auto" w:fill="FFFFFF" w:themeFill="background1"/>
            <w:tcMar>
              <w:left w:w="1" w:type="dxa"/>
              <w:right w:w="1" w:type="dxa"/>
            </w:tcMar>
            <w:vAlign w:val="center"/>
          </w:tcPr>
          <w:p w14:paraId="04B05F78">
            <w:pPr>
              <w:widowControl w:val="0"/>
              <w:adjustRightInd/>
              <w:snapToGrid/>
              <w:spacing w:line="240" w:lineRule="auto"/>
              <w:ind w:firstLine="0" w:firstLineChars="0"/>
              <w:jc w:val="center"/>
              <w:rPr>
                <w:rFonts w:ascii="仿宋" w:eastAsia="仿宋"/>
                <w:sz w:val="21"/>
                <w:szCs w:val="21"/>
              </w:rPr>
            </w:pPr>
          </w:p>
        </w:tc>
        <w:tc>
          <w:tcPr>
            <w:tcW w:w="985" w:type="pct"/>
            <w:shd w:val="clear" w:color="auto" w:fill="FFFFFF" w:themeFill="background1"/>
            <w:tcMar>
              <w:left w:w="1" w:type="dxa"/>
              <w:right w:w="1" w:type="dxa"/>
            </w:tcMar>
            <w:vAlign w:val="center"/>
          </w:tcPr>
          <w:p w14:paraId="3EFA771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社区文化活动设施步行15分钟覆盖率（%）</w:t>
            </w:r>
          </w:p>
        </w:tc>
        <w:tc>
          <w:tcPr>
            <w:tcW w:w="740" w:type="pct"/>
            <w:shd w:val="clear" w:color="auto" w:fill="FFFFFF" w:themeFill="background1"/>
            <w:tcMar>
              <w:left w:w="2" w:type="dxa"/>
              <w:right w:w="2" w:type="dxa"/>
            </w:tcMar>
            <w:vAlign w:val="center"/>
          </w:tcPr>
          <w:p w14:paraId="5080200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50.21</w:t>
            </w:r>
          </w:p>
        </w:tc>
        <w:tc>
          <w:tcPr>
            <w:tcW w:w="740" w:type="pct"/>
            <w:shd w:val="clear" w:color="auto" w:fill="FFFFFF" w:themeFill="background1"/>
            <w:tcMar>
              <w:left w:w="2" w:type="dxa"/>
              <w:right w:w="2" w:type="dxa"/>
            </w:tcMar>
            <w:vAlign w:val="center"/>
          </w:tcPr>
          <w:p w14:paraId="6F93315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≥55</w:t>
            </w:r>
          </w:p>
        </w:tc>
        <w:tc>
          <w:tcPr>
            <w:tcW w:w="642" w:type="pct"/>
            <w:shd w:val="clear" w:color="auto" w:fill="FFFFFF" w:themeFill="background1"/>
            <w:tcMar>
              <w:left w:w="2" w:type="dxa"/>
              <w:right w:w="2" w:type="dxa"/>
            </w:tcMar>
            <w:vAlign w:val="center"/>
          </w:tcPr>
          <w:p w14:paraId="618DFC3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≥70</w:t>
            </w:r>
          </w:p>
        </w:tc>
        <w:tc>
          <w:tcPr>
            <w:tcW w:w="516" w:type="pct"/>
            <w:shd w:val="clear" w:color="auto" w:fill="FFFFFF" w:themeFill="background1"/>
            <w:tcMar>
              <w:left w:w="1" w:type="dxa"/>
              <w:right w:w="1" w:type="dxa"/>
            </w:tcMar>
            <w:vAlign w:val="center"/>
          </w:tcPr>
          <w:p w14:paraId="392B4E2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预期性</w:t>
            </w:r>
          </w:p>
        </w:tc>
        <w:tc>
          <w:tcPr>
            <w:tcW w:w="523" w:type="pct"/>
            <w:shd w:val="clear" w:color="auto" w:fill="FFFFFF" w:themeFill="background1"/>
            <w:tcMar>
              <w:left w:w="1" w:type="dxa"/>
              <w:right w:w="1" w:type="dxa"/>
            </w:tcMar>
            <w:vAlign w:val="center"/>
          </w:tcPr>
          <w:p w14:paraId="4F77DDE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镇中心</w:t>
            </w:r>
          </w:p>
        </w:tc>
      </w:tr>
      <w:tr w14:paraId="5379CB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vMerge w:val="continue"/>
            <w:shd w:val="clear" w:color="auto" w:fill="FFFFFF" w:themeFill="background1"/>
            <w:tcMar>
              <w:left w:w="1" w:type="dxa"/>
              <w:right w:w="1" w:type="dxa"/>
            </w:tcMar>
            <w:vAlign w:val="center"/>
          </w:tcPr>
          <w:p w14:paraId="5B70C74E">
            <w:pPr>
              <w:widowControl w:val="0"/>
              <w:adjustRightInd/>
              <w:snapToGrid/>
              <w:spacing w:line="240" w:lineRule="auto"/>
              <w:ind w:firstLine="0" w:firstLineChars="0"/>
              <w:jc w:val="center"/>
              <w:rPr>
                <w:rFonts w:ascii="仿宋" w:eastAsia="仿宋"/>
                <w:sz w:val="21"/>
                <w:szCs w:val="21"/>
              </w:rPr>
            </w:pPr>
          </w:p>
        </w:tc>
        <w:tc>
          <w:tcPr>
            <w:tcW w:w="544" w:type="pct"/>
            <w:gridSpan w:val="2"/>
            <w:vMerge w:val="continue"/>
            <w:shd w:val="clear" w:color="auto" w:fill="FFFFFF" w:themeFill="background1"/>
            <w:tcMar>
              <w:left w:w="1" w:type="dxa"/>
              <w:right w:w="1" w:type="dxa"/>
            </w:tcMar>
            <w:vAlign w:val="center"/>
          </w:tcPr>
          <w:p w14:paraId="7A20A5EE">
            <w:pPr>
              <w:widowControl w:val="0"/>
              <w:adjustRightInd/>
              <w:snapToGrid/>
              <w:spacing w:line="240" w:lineRule="auto"/>
              <w:ind w:firstLine="0" w:firstLineChars="0"/>
              <w:jc w:val="center"/>
              <w:rPr>
                <w:rFonts w:ascii="仿宋" w:eastAsia="仿宋"/>
                <w:sz w:val="21"/>
                <w:szCs w:val="21"/>
              </w:rPr>
            </w:pPr>
          </w:p>
        </w:tc>
        <w:tc>
          <w:tcPr>
            <w:tcW w:w="985" w:type="pct"/>
            <w:shd w:val="clear" w:color="auto" w:fill="FFFFFF" w:themeFill="background1"/>
            <w:tcMar>
              <w:left w:w="1" w:type="dxa"/>
              <w:right w:w="1" w:type="dxa"/>
            </w:tcMar>
            <w:vAlign w:val="center"/>
          </w:tcPr>
          <w:p w14:paraId="1273DE8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社区体育设施步行15分钟覆盖率（%）</w:t>
            </w:r>
          </w:p>
        </w:tc>
        <w:tc>
          <w:tcPr>
            <w:tcW w:w="740" w:type="pct"/>
            <w:shd w:val="clear" w:color="auto" w:fill="FFFFFF" w:themeFill="background1"/>
            <w:tcMar>
              <w:left w:w="2" w:type="dxa"/>
              <w:right w:w="2" w:type="dxa"/>
            </w:tcMar>
            <w:vAlign w:val="center"/>
          </w:tcPr>
          <w:p w14:paraId="791DD21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56.51</w:t>
            </w:r>
          </w:p>
        </w:tc>
        <w:tc>
          <w:tcPr>
            <w:tcW w:w="740" w:type="pct"/>
            <w:shd w:val="clear" w:color="auto" w:fill="FFFFFF" w:themeFill="background1"/>
            <w:tcMar>
              <w:left w:w="2" w:type="dxa"/>
              <w:right w:w="2" w:type="dxa"/>
            </w:tcMar>
            <w:vAlign w:val="center"/>
          </w:tcPr>
          <w:p w14:paraId="5F1A7AB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≥48</w:t>
            </w:r>
          </w:p>
        </w:tc>
        <w:tc>
          <w:tcPr>
            <w:tcW w:w="642" w:type="pct"/>
            <w:shd w:val="clear" w:color="auto" w:fill="FFFFFF" w:themeFill="background1"/>
            <w:tcMar>
              <w:left w:w="2" w:type="dxa"/>
              <w:right w:w="2" w:type="dxa"/>
            </w:tcMar>
            <w:vAlign w:val="center"/>
          </w:tcPr>
          <w:p w14:paraId="22A4702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≥70</w:t>
            </w:r>
          </w:p>
        </w:tc>
        <w:tc>
          <w:tcPr>
            <w:tcW w:w="516" w:type="pct"/>
            <w:shd w:val="clear" w:color="auto" w:fill="FFFFFF" w:themeFill="background1"/>
            <w:tcMar>
              <w:left w:w="1" w:type="dxa"/>
              <w:right w:w="1" w:type="dxa"/>
            </w:tcMar>
            <w:vAlign w:val="center"/>
          </w:tcPr>
          <w:p w14:paraId="1D4CF84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预期性</w:t>
            </w:r>
          </w:p>
        </w:tc>
        <w:tc>
          <w:tcPr>
            <w:tcW w:w="523" w:type="pct"/>
            <w:shd w:val="clear" w:color="auto" w:fill="FFFFFF" w:themeFill="background1"/>
            <w:tcMar>
              <w:left w:w="1" w:type="dxa"/>
              <w:right w:w="1" w:type="dxa"/>
            </w:tcMar>
            <w:vAlign w:val="center"/>
          </w:tcPr>
          <w:p w14:paraId="07604BB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镇中心</w:t>
            </w:r>
          </w:p>
        </w:tc>
      </w:tr>
      <w:tr w14:paraId="5B4BF4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shd w:val="clear" w:color="auto" w:fill="FFFFFF" w:themeFill="background1"/>
            <w:tcMar>
              <w:left w:w="1" w:type="dxa"/>
              <w:right w:w="1" w:type="dxa"/>
            </w:tcMar>
            <w:vAlign w:val="center"/>
          </w:tcPr>
          <w:p w14:paraId="27DEFEC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25</w:t>
            </w:r>
          </w:p>
        </w:tc>
        <w:tc>
          <w:tcPr>
            <w:tcW w:w="1529" w:type="pct"/>
            <w:gridSpan w:val="3"/>
            <w:shd w:val="clear" w:color="auto" w:fill="FFFFFF" w:themeFill="background1"/>
            <w:tcMar>
              <w:left w:w="1" w:type="dxa"/>
              <w:right w:w="1" w:type="dxa"/>
            </w:tcMar>
            <w:vAlign w:val="center"/>
          </w:tcPr>
          <w:p w14:paraId="0357BD6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每千名老年人拥有养老床位数（张）</w:t>
            </w:r>
          </w:p>
        </w:tc>
        <w:tc>
          <w:tcPr>
            <w:tcW w:w="740" w:type="pct"/>
            <w:shd w:val="clear" w:color="auto" w:fill="FFFFFF" w:themeFill="background1"/>
            <w:tcMar>
              <w:left w:w="2" w:type="dxa"/>
              <w:right w:w="2" w:type="dxa"/>
            </w:tcMar>
            <w:vAlign w:val="center"/>
          </w:tcPr>
          <w:p w14:paraId="0B4EF09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10.08</w:t>
            </w:r>
          </w:p>
        </w:tc>
        <w:tc>
          <w:tcPr>
            <w:tcW w:w="740" w:type="pct"/>
            <w:shd w:val="clear" w:color="auto" w:fill="FFFFFF" w:themeFill="background1"/>
            <w:tcMar>
              <w:left w:w="2" w:type="dxa"/>
              <w:right w:w="2" w:type="dxa"/>
            </w:tcMar>
            <w:vAlign w:val="center"/>
          </w:tcPr>
          <w:p w14:paraId="4E9D915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≥15</w:t>
            </w:r>
          </w:p>
        </w:tc>
        <w:tc>
          <w:tcPr>
            <w:tcW w:w="642" w:type="pct"/>
            <w:shd w:val="clear" w:color="auto" w:fill="FFFFFF" w:themeFill="background1"/>
            <w:tcMar>
              <w:left w:w="2" w:type="dxa"/>
              <w:right w:w="2" w:type="dxa"/>
            </w:tcMar>
            <w:vAlign w:val="center"/>
          </w:tcPr>
          <w:p w14:paraId="3F265D2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≥30</w:t>
            </w:r>
          </w:p>
        </w:tc>
        <w:tc>
          <w:tcPr>
            <w:tcW w:w="516" w:type="pct"/>
            <w:shd w:val="clear" w:color="auto" w:fill="FFFFFF" w:themeFill="background1"/>
            <w:tcMar>
              <w:left w:w="1" w:type="dxa"/>
              <w:right w:w="1" w:type="dxa"/>
            </w:tcMar>
            <w:vAlign w:val="center"/>
          </w:tcPr>
          <w:p w14:paraId="3A92007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预期性</w:t>
            </w:r>
          </w:p>
        </w:tc>
        <w:tc>
          <w:tcPr>
            <w:tcW w:w="523" w:type="pct"/>
            <w:shd w:val="clear" w:color="auto" w:fill="FFFFFF" w:themeFill="background1"/>
            <w:tcMar>
              <w:left w:w="1" w:type="dxa"/>
              <w:right w:w="1" w:type="dxa"/>
            </w:tcMar>
            <w:vAlign w:val="center"/>
          </w:tcPr>
          <w:p w14:paraId="4BB758D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全域</w:t>
            </w:r>
          </w:p>
        </w:tc>
      </w:tr>
      <w:tr w14:paraId="1C22C8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shd w:val="clear" w:color="auto" w:fill="FFFFFF" w:themeFill="background1"/>
            <w:tcMar>
              <w:left w:w="1" w:type="dxa"/>
              <w:right w:w="1" w:type="dxa"/>
            </w:tcMar>
            <w:vAlign w:val="center"/>
          </w:tcPr>
          <w:p w14:paraId="6A3FE7C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26</w:t>
            </w:r>
          </w:p>
        </w:tc>
        <w:tc>
          <w:tcPr>
            <w:tcW w:w="1529" w:type="pct"/>
            <w:gridSpan w:val="3"/>
            <w:shd w:val="clear" w:color="auto" w:fill="FFFFFF" w:themeFill="background1"/>
            <w:tcMar>
              <w:left w:w="1" w:type="dxa"/>
              <w:right w:w="1" w:type="dxa"/>
            </w:tcMar>
            <w:vAlign w:val="center"/>
          </w:tcPr>
          <w:p w14:paraId="4EDC7D9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每千人口医疗卫生机构床位数（张）</w:t>
            </w:r>
          </w:p>
        </w:tc>
        <w:tc>
          <w:tcPr>
            <w:tcW w:w="740" w:type="pct"/>
            <w:shd w:val="clear" w:color="auto" w:fill="FFFFFF" w:themeFill="background1"/>
            <w:tcMar>
              <w:left w:w="2" w:type="dxa"/>
              <w:right w:w="2" w:type="dxa"/>
            </w:tcMar>
            <w:vAlign w:val="center"/>
          </w:tcPr>
          <w:p w14:paraId="5F45973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6.72</w:t>
            </w:r>
          </w:p>
        </w:tc>
        <w:tc>
          <w:tcPr>
            <w:tcW w:w="740" w:type="pct"/>
            <w:shd w:val="clear" w:color="auto" w:fill="FFFFFF" w:themeFill="background1"/>
            <w:tcMar>
              <w:left w:w="2" w:type="dxa"/>
              <w:right w:w="2" w:type="dxa"/>
            </w:tcMar>
            <w:vAlign w:val="center"/>
          </w:tcPr>
          <w:p w14:paraId="799290E7">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≥8</w:t>
            </w:r>
          </w:p>
        </w:tc>
        <w:tc>
          <w:tcPr>
            <w:tcW w:w="642" w:type="pct"/>
            <w:shd w:val="clear" w:color="auto" w:fill="FFFFFF" w:themeFill="background1"/>
            <w:tcMar>
              <w:left w:w="2" w:type="dxa"/>
              <w:right w:w="2" w:type="dxa"/>
            </w:tcMar>
            <w:vAlign w:val="center"/>
          </w:tcPr>
          <w:p w14:paraId="42B778E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≥8</w:t>
            </w:r>
          </w:p>
        </w:tc>
        <w:tc>
          <w:tcPr>
            <w:tcW w:w="516" w:type="pct"/>
            <w:shd w:val="clear" w:color="auto" w:fill="FFFFFF" w:themeFill="background1"/>
            <w:tcMar>
              <w:left w:w="1" w:type="dxa"/>
              <w:right w:w="1" w:type="dxa"/>
            </w:tcMar>
            <w:vAlign w:val="center"/>
          </w:tcPr>
          <w:p w14:paraId="5F3EAF7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预期性</w:t>
            </w:r>
          </w:p>
        </w:tc>
        <w:tc>
          <w:tcPr>
            <w:tcW w:w="523" w:type="pct"/>
            <w:shd w:val="clear" w:color="auto" w:fill="FFFFFF" w:themeFill="background1"/>
            <w:tcMar>
              <w:left w:w="1" w:type="dxa"/>
              <w:right w:w="1" w:type="dxa"/>
            </w:tcMar>
            <w:vAlign w:val="center"/>
          </w:tcPr>
          <w:p w14:paraId="5C04907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全域</w:t>
            </w:r>
          </w:p>
        </w:tc>
      </w:tr>
      <w:tr w14:paraId="2E254A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shd w:val="clear" w:color="auto" w:fill="FFFFFF" w:themeFill="background1"/>
            <w:tcMar>
              <w:left w:w="1" w:type="dxa"/>
              <w:right w:w="1" w:type="dxa"/>
            </w:tcMar>
            <w:vAlign w:val="center"/>
          </w:tcPr>
          <w:p w14:paraId="098F975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27</w:t>
            </w:r>
          </w:p>
        </w:tc>
        <w:tc>
          <w:tcPr>
            <w:tcW w:w="1529" w:type="pct"/>
            <w:gridSpan w:val="3"/>
            <w:shd w:val="clear" w:color="auto" w:fill="FFFFFF" w:themeFill="background1"/>
            <w:tcMar>
              <w:left w:w="1" w:type="dxa"/>
              <w:right w:w="1" w:type="dxa"/>
            </w:tcMar>
            <w:vAlign w:val="center"/>
          </w:tcPr>
          <w:p w14:paraId="0226CA5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人均体育用地面积（平方米）</w:t>
            </w:r>
          </w:p>
        </w:tc>
        <w:tc>
          <w:tcPr>
            <w:tcW w:w="740" w:type="pct"/>
            <w:shd w:val="clear" w:color="auto" w:fill="FFFFFF" w:themeFill="background1"/>
            <w:tcMar>
              <w:left w:w="2" w:type="dxa"/>
              <w:right w:w="2" w:type="dxa"/>
            </w:tcMar>
            <w:vAlign w:val="center"/>
          </w:tcPr>
          <w:p w14:paraId="227623F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0.08</w:t>
            </w:r>
          </w:p>
        </w:tc>
        <w:tc>
          <w:tcPr>
            <w:tcW w:w="740" w:type="pct"/>
            <w:shd w:val="clear" w:color="auto" w:fill="FFFFFF" w:themeFill="background1"/>
            <w:tcMar>
              <w:left w:w="2" w:type="dxa"/>
              <w:right w:w="2" w:type="dxa"/>
            </w:tcMar>
            <w:vAlign w:val="center"/>
          </w:tcPr>
          <w:p w14:paraId="33731FC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≥0.1</w:t>
            </w:r>
          </w:p>
        </w:tc>
        <w:tc>
          <w:tcPr>
            <w:tcW w:w="642" w:type="pct"/>
            <w:shd w:val="clear" w:color="auto" w:fill="FFFFFF" w:themeFill="background1"/>
            <w:tcMar>
              <w:left w:w="2" w:type="dxa"/>
              <w:right w:w="2" w:type="dxa"/>
            </w:tcMar>
            <w:vAlign w:val="center"/>
          </w:tcPr>
          <w:p w14:paraId="4E14280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≥0.6</w:t>
            </w:r>
          </w:p>
        </w:tc>
        <w:tc>
          <w:tcPr>
            <w:tcW w:w="516" w:type="pct"/>
            <w:shd w:val="clear" w:color="auto" w:fill="FFFFFF" w:themeFill="background1"/>
            <w:tcMar>
              <w:left w:w="1" w:type="dxa"/>
              <w:right w:w="1" w:type="dxa"/>
            </w:tcMar>
            <w:vAlign w:val="center"/>
          </w:tcPr>
          <w:p w14:paraId="34708A0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预期性</w:t>
            </w:r>
          </w:p>
        </w:tc>
        <w:tc>
          <w:tcPr>
            <w:tcW w:w="523" w:type="pct"/>
            <w:shd w:val="clear" w:color="auto" w:fill="FFFFFF" w:themeFill="background1"/>
            <w:tcMar>
              <w:left w:w="1" w:type="dxa"/>
              <w:right w:w="1" w:type="dxa"/>
            </w:tcMar>
            <w:vAlign w:val="center"/>
          </w:tcPr>
          <w:p w14:paraId="05E0816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镇中心</w:t>
            </w:r>
          </w:p>
        </w:tc>
      </w:tr>
      <w:tr w14:paraId="42CA85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shd w:val="clear" w:color="auto" w:fill="FFFFFF" w:themeFill="background1"/>
            <w:tcMar>
              <w:left w:w="1" w:type="dxa"/>
              <w:right w:w="1" w:type="dxa"/>
            </w:tcMar>
            <w:vAlign w:val="center"/>
          </w:tcPr>
          <w:p w14:paraId="165A440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28</w:t>
            </w:r>
          </w:p>
        </w:tc>
        <w:tc>
          <w:tcPr>
            <w:tcW w:w="1529" w:type="pct"/>
            <w:gridSpan w:val="3"/>
            <w:shd w:val="clear" w:color="auto" w:fill="FFFFFF" w:themeFill="background1"/>
            <w:tcMar>
              <w:left w:w="1" w:type="dxa"/>
              <w:right w:w="1" w:type="dxa"/>
            </w:tcMar>
            <w:vAlign w:val="center"/>
          </w:tcPr>
          <w:p w14:paraId="777D8F5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人均公园绿地面积（平方米）</w:t>
            </w:r>
          </w:p>
        </w:tc>
        <w:tc>
          <w:tcPr>
            <w:tcW w:w="740" w:type="pct"/>
            <w:shd w:val="clear" w:color="auto" w:fill="FFFFFF" w:themeFill="background1"/>
            <w:tcMar>
              <w:left w:w="2" w:type="dxa"/>
              <w:right w:w="2" w:type="dxa"/>
            </w:tcMar>
            <w:vAlign w:val="center"/>
          </w:tcPr>
          <w:p w14:paraId="63CDA15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1.56</w:t>
            </w:r>
          </w:p>
        </w:tc>
        <w:tc>
          <w:tcPr>
            <w:tcW w:w="740" w:type="pct"/>
            <w:shd w:val="clear" w:color="auto" w:fill="FFFFFF" w:themeFill="background1"/>
            <w:tcMar>
              <w:left w:w="2" w:type="dxa"/>
              <w:right w:w="2" w:type="dxa"/>
            </w:tcMar>
            <w:vAlign w:val="center"/>
          </w:tcPr>
          <w:p w14:paraId="176D3D2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w:t>
            </w:r>
          </w:p>
        </w:tc>
        <w:tc>
          <w:tcPr>
            <w:tcW w:w="642" w:type="pct"/>
            <w:shd w:val="clear" w:color="auto" w:fill="FFFFFF" w:themeFill="background1"/>
            <w:tcMar>
              <w:left w:w="2" w:type="dxa"/>
              <w:right w:w="2" w:type="dxa"/>
            </w:tcMar>
            <w:vAlign w:val="center"/>
          </w:tcPr>
          <w:p w14:paraId="5534C04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≥8</w:t>
            </w:r>
          </w:p>
        </w:tc>
        <w:tc>
          <w:tcPr>
            <w:tcW w:w="516" w:type="pct"/>
            <w:shd w:val="clear" w:color="auto" w:fill="FFFFFF" w:themeFill="background1"/>
            <w:tcMar>
              <w:left w:w="1" w:type="dxa"/>
              <w:right w:w="1" w:type="dxa"/>
            </w:tcMar>
            <w:vAlign w:val="center"/>
          </w:tcPr>
          <w:p w14:paraId="22C4F9A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预期性</w:t>
            </w:r>
          </w:p>
        </w:tc>
        <w:tc>
          <w:tcPr>
            <w:tcW w:w="523" w:type="pct"/>
            <w:shd w:val="clear" w:color="auto" w:fill="FFFFFF" w:themeFill="background1"/>
            <w:tcMar>
              <w:left w:w="1" w:type="dxa"/>
              <w:right w:w="1" w:type="dxa"/>
            </w:tcMar>
            <w:vAlign w:val="center"/>
          </w:tcPr>
          <w:p w14:paraId="7DC3BF6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镇中心</w:t>
            </w:r>
          </w:p>
        </w:tc>
      </w:tr>
      <w:tr w14:paraId="3240C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c>
          <w:tcPr>
            <w:tcW w:w="306" w:type="pct"/>
            <w:shd w:val="clear" w:color="auto" w:fill="FFFFFF" w:themeFill="background1"/>
            <w:tcMar>
              <w:left w:w="1" w:type="dxa"/>
              <w:right w:w="1" w:type="dxa"/>
            </w:tcMar>
            <w:vAlign w:val="center"/>
          </w:tcPr>
          <w:p w14:paraId="72ADCF9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29</w:t>
            </w:r>
          </w:p>
        </w:tc>
        <w:tc>
          <w:tcPr>
            <w:tcW w:w="1529" w:type="pct"/>
            <w:gridSpan w:val="3"/>
            <w:shd w:val="clear" w:color="auto" w:fill="FFFFFF" w:themeFill="background1"/>
            <w:tcMar>
              <w:left w:w="1" w:type="dxa"/>
              <w:right w:w="1" w:type="dxa"/>
            </w:tcMar>
            <w:vAlign w:val="center"/>
          </w:tcPr>
          <w:p w14:paraId="51CBF07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绿色交通出行比例（%）</w:t>
            </w:r>
          </w:p>
        </w:tc>
        <w:tc>
          <w:tcPr>
            <w:tcW w:w="740" w:type="pct"/>
            <w:shd w:val="clear" w:color="auto" w:fill="FFFFFF" w:themeFill="background1"/>
            <w:tcMar>
              <w:left w:w="2" w:type="dxa"/>
              <w:right w:w="2" w:type="dxa"/>
            </w:tcMar>
            <w:vAlign w:val="center"/>
          </w:tcPr>
          <w:p w14:paraId="161B774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52</w:t>
            </w:r>
          </w:p>
        </w:tc>
        <w:tc>
          <w:tcPr>
            <w:tcW w:w="740" w:type="pct"/>
            <w:shd w:val="clear" w:color="auto" w:fill="FFFFFF" w:themeFill="background1"/>
            <w:tcMar>
              <w:left w:w="2" w:type="dxa"/>
              <w:right w:w="2" w:type="dxa"/>
            </w:tcMar>
            <w:vAlign w:val="center"/>
          </w:tcPr>
          <w:p w14:paraId="7BCF0B5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60</w:t>
            </w:r>
          </w:p>
        </w:tc>
        <w:tc>
          <w:tcPr>
            <w:tcW w:w="642" w:type="pct"/>
            <w:shd w:val="clear" w:color="auto" w:fill="FFFFFF" w:themeFill="background1"/>
            <w:tcMar>
              <w:left w:w="2" w:type="dxa"/>
              <w:right w:w="2" w:type="dxa"/>
            </w:tcMar>
            <w:vAlign w:val="center"/>
          </w:tcPr>
          <w:p w14:paraId="083664E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75</w:t>
            </w:r>
          </w:p>
        </w:tc>
        <w:tc>
          <w:tcPr>
            <w:tcW w:w="516" w:type="pct"/>
            <w:shd w:val="clear" w:color="auto" w:fill="FFFFFF" w:themeFill="background1"/>
            <w:tcMar>
              <w:left w:w="1" w:type="dxa"/>
              <w:right w:w="1" w:type="dxa"/>
            </w:tcMar>
            <w:vAlign w:val="center"/>
          </w:tcPr>
          <w:p w14:paraId="3D374C6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预期性</w:t>
            </w:r>
          </w:p>
        </w:tc>
        <w:tc>
          <w:tcPr>
            <w:tcW w:w="523" w:type="pct"/>
            <w:shd w:val="clear" w:color="auto" w:fill="FFFFFF" w:themeFill="background1"/>
            <w:tcMar>
              <w:left w:w="1" w:type="dxa"/>
              <w:right w:w="1" w:type="dxa"/>
            </w:tcMar>
            <w:vAlign w:val="center"/>
          </w:tcPr>
          <w:p w14:paraId="1393273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镇中心</w:t>
            </w:r>
          </w:p>
        </w:tc>
      </w:tr>
    </w:tbl>
    <w:p w14:paraId="7378C77A">
      <w:pPr>
        <w:jc w:val="left"/>
      </w:pPr>
    </w:p>
    <w:p w14:paraId="708354E5">
      <w:pPr>
        <w:pStyle w:val="4"/>
        <w:bidi w:val="0"/>
        <w:rPr>
          <w:rFonts w:hint="eastAsia"/>
        </w:rPr>
      </w:pPr>
      <w:r>
        <w:rPr>
          <w:rFonts w:hint="eastAsia"/>
        </w:rPr>
        <w:t>发展战略</w:t>
      </w:r>
    </w:p>
    <w:p w14:paraId="795CD5B1">
      <w:r>
        <w:t>农业</w:t>
      </w:r>
      <w:r>
        <w:rPr>
          <w:rFonts w:hint="eastAsia"/>
        </w:rPr>
        <w:t>兴</w:t>
      </w:r>
      <w:r>
        <w:t>镇战略</w:t>
      </w:r>
      <w:r>
        <w:rPr>
          <w:rFonts w:hint="eastAsia"/>
        </w:rPr>
        <w:t>。调整农产品结构，加快发展经济作物种植业和畜牧养殖业，促进农业内部结构合理化和产业良性循环，做大做强农业项目，使普乐堡镇农业稳步发展。</w:t>
      </w:r>
    </w:p>
    <w:p w14:paraId="797ED4EB">
      <w:r>
        <w:t>工业强镇战略</w:t>
      </w:r>
      <w:r>
        <w:rPr>
          <w:rFonts w:hint="eastAsia"/>
        </w:rPr>
        <w:t>。推动产业高质量发展，做强支柱产业，大力发展特色农产品加工业，集聚建设产业片区，实现工业产业高质量发展。</w:t>
      </w:r>
    </w:p>
    <w:p w14:paraId="11BB31B0">
      <w:r>
        <w:t>文化立镇战略</w:t>
      </w:r>
      <w:r>
        <w:rPr>
          <w:rFonts w:hint="eastAsia"/>
        </w:rPr>
        <w:t>。依托普乐堡镇悠久历史和厚重文化，加强挖掘展示，做好文旅产业，依托丰富的特色旅游资源及大雅河文旅产业带重要乡镇，集聚镇域范围内特色旅游资源，打造本溪市山水体验为主要发展方向、松花石、版画、红色革命遗址等为发展特色，打造桓仁县全域旅游西部中心镇。</w:t>
      </w:r>
    </w:p>
    <w:p w14:paraId="556DD938">
      <w:r>
        <w:t>生态美镇战略</w:t>
      </w:r>
      <w:r>
        <w:rPr>
          <w:rFonts w:hint="eastAsia"/>
        </w:rPr>
        <w:t>。依托资源发展现代农业，探索田园综合体项目，发展乡村农业和生态农业，提升产业水平，树立品牌意识，构建人与自然协调共生的生态环境，优先保证生态环境保护与建设，打造“生态美镇”。</w:t>
      </w:r>
    </w:p>
    <w:p w14:paraId="72332098">
      <w:pPr>
        <w:pStyle w:val="2"/>
        <w:bidi w:val="0"/>
        <w:rPr>
          <w:rFonts w:hint="eastAsia"/>
        </w:rPr>
      </w:pPr>
      <w:bookmarkStart w:id="19" w:name="_Toc29465"/>
      <w:bookmarkStart w:id="20" w:name="_Toc19093"/>
      <w:r>
        <w:t>国土空间开发保护格局</w:t>
      </w:r>
      <w:bookmarkEnd w:id="17"/>
      <w:bookmarkEnd w:id="18"/>
      <w:bookmarkEnd w:id="19"/>
      <w:bookmarkEnd w:id="20"/>
    </w:p>
    <w:p w14:paraId="2E764C99">
      <w:r>
        <w:rPr>
          <w:rFonts w:hint="eastAsia"/>
        </w:rPr>
        <w:t>立足资源环境承载力与国土空间开发适宜性，统筹发展和安全，把耕地和永久基本农田、生态保护红线、城镇开发边界三条控制线作为国土空间开发保护的空间底线。落实主体功能区战略，优化农业、生态、城镇等各类空间布局，构建优势互补、高质量发展的国土空间开发保护格局。</w:t>
      </w:r>
    </w:p>
    <w:p w14:paraId="0B655A49">
      <w:pPr>
        <w:pStyle w:val="3"/>
        <w:bidi w:val="0"/>
      </w:pPr>
      <w:bookmarkStart w:id="21" w:name="_Toc27757"/>
      <w:bookmarkStart w:id="22" w:name="_Toc26227"/>
      <w:r>
        <w:rPr>
          <w:rFonts w:hint="eastAsia"/>
        </w:rPr>
        <w:t>国土空间总体格局</w:t>
      </w:r>
      <w:bookmarkEnd w:id="21"/>
      <w:bookmarkEnd w:id="22"/>
    </w:p>
    <w:p w14:paraId="4A4547AF">
      <w:pPr>
        <w:pStyle w:val="4"/>
        <w:bidi w:val="0"/>
        <w:rPr>
          <w:rFonts w:hint="eastAsia"/>
        </w:rPr>
      </w:pPr>
      <w:r>
        <w:t>彰显美丽</w:t>
      </w:r>
      <w:r>
        <w:rPr>
          <w:rFonts w:hint="eastAsia"/>
        </w:rPr>
        <w:t>普乐堡</w:t>
      </w:r>
      <w:r>
        <w:t>国土空间格局</w:t>
      </w:r>
    </w:p>
    <w:p w14:paraId="5EDBE202">
      <w:r>
        <w:rPr>
          <w:rFonts w:hint="eastAsia"/>
        </w:rPr>
        <w:t>以辽宁省“一圈一带两区”区域发展布局为引领，以桓仁满族自治县“一核、一心、四副、两轴、三区”的国土空间格局为依托，构建分区合理、中心明确、结构清晰、网络完善、设施健全、魅力彰显、安全韧性的国土空间开发保护总体格局。规划普乐堡镇总体空间格局为“一心、两核、两轴、一带”。详见附图全域国土空间总体格局规划图。</w:t>
      </w:r>
    </w:p>
    <w:p w14:paraId="347A53F9">
      <w:r>
        <w:rPr>
          <w:rFonts w:hint="eastAsia"/>
        </w:rPr>
        <w:t>一心：镇域集中发展中心。社会、经济、文化发展的核心，集中进行建设和发展，通过优化资源配置和提升基础设施建设水平，带动整个镇域的社会经济协调发展。</w:t>
      </w:r>
    </w:p>
    <w:p w14:paraId="53F44ADA">
      <w:r>
        <w:rPr>
          <w:rFonts w:hint="eastAsia"/>
        </w:rPr>
        <w:t>两核：以重点发展核心村（大清沟、老漫子）为主要发展点，辐射带动周边乡村一二三产融合发展。</w:t>
      </w:r>
    </w:p>
    <w:p w14:paraId="5DE86D67">
      <w:r>
        <w:rPr>
          <w:rFonts w:hint="eastAsia"/>
        </w:rPr>
        <w:t>一带：依托大雅河打造特色旅游观光带。</w:t>
      </w:r>
    </w:p>
    <w:p w14:paraId="38B9EAF3">
      <w:pPr>
        <w:rPr>
          <w:rFonts w:hint="eastAsia"/>
        </w:rPr>
      </w:pPr>
      <w:r>
        <w:rPr>
          <w:rFonts w:hint="eastAsia"/>
        </w:rPr>
        <w:t>两轴：依托镇域主要道路，串联重点旅游项目，即是普乐堡镇重要的旅游发展轴，也是对外联系的主要通道。</w:t>
      </w:r>
    </w:p>
    <w:p w14:paraId="7C62A398">
      <w:pPr>
        <w:spacing w:line="240" w:lineRule="auto"/>
        <w:ind w:left="0" w:leftChars="0" w:firstLine="0" w:firstLineChars="0"/>
        <w:rPr>
          <w:rFonts w:hint="eastAsia" w:eastAsia="仿宋_GB2312"/>
          <w:lang w:eastAsia="zh-CN"/>
        </w:rPr>
      </w:pPr>
      <w:r>
        <w:rPr>
          <w:rFonts w:hint="eastAsia" w:eastAsia="仿宋_GB2312"/>
          <w:lang w:eastAsia="zh-CN"/>
        </w:rPr>
        <w:drawing>
          <wp:inline distT="0" distB="0" distL="114300" distR="114300">
            <wp:extent cx="5367655" cy="3489960"/>
            <wp:effectExtent l="0" t="0" r="0" b="0"/>
            <wp:docPr id="1" name="图片 1" descr="210522104普乐堡镇02国土空间总体格局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210522104普乐堡镇02国土空间总体格局规划图"/>
                    <pic:cNvPicPr>
                      <a:picLocks noChangeAspect="1"/>
                    </pic:cNvPicPr>
                  </pic:nvPicPr>
                  <pic:blipFill>
                    <a:blip r:embed="rId24"/>
                    <a:srcRect l="1013" t="5274" r="524" b="4153"/>
                    <a:stretch>
                      <a:fillRect/>
                    </a:stretch>
                  </pic:blipFill>
                  <pic:spPr>
                    <a:xfrm>
                      <a:off x="0" y="0"/>
                      <a:ext cx="5367655" cy="3489960"/>
                    </a:xfrm>
                    <a:prstGeom prst="rect">
                      <a:avLst/>
                    </a:prstGeom>
                  </pic:spPr>
                </pic:pic>
              </a:graphicData>
            </a:graphic>
          </wp:inline>
        </w:drawing>
      </w:r>
    </w:p>
    <w:p w14:paraId="2B1D38B4">
      <w:pPr>
        <w:spacing w:line="240" w:lineRule="auto"/>
        <w:ind w:left="0" w:leftChars="0" w:firstLine="0" w:firstLineChars="0"/>
        <w:jc w:val="center"/>
        <w:rPr>
          <w:rFonts w:hint="eastAsia" w:eastAsia="仿宋_GB2312"/>
          <w:lang w:eastAsia="zh-CN"/>
        </w:rPr>
      </w:pPr>
      <w:r>
        <w:rPr>
          <w:rFonts w:hint="eastAsia" w:eastAsia="黑体" w:cs="Times New Roman"/>
          <w:sz w:val="32"/>
          <w:szCs w:val="22"/>
          <w:u w:val="none"/>
          <w:lang w:val="en-US" w:eastAsia="zh-CN"/>
        </w:rPr>
        <w:t>图3.1 镇域国土空间总体格局规划图</w:t>
      </w:r>
    </w:p>
    <w:p w14:paraId="4F7740A5">
      <w:pPr>
        <w:pStyle w:val="3"/>
        <w:bidi w:val="0"/>
      </w:pPr>
      <w:bookmarkStart w:id="23" w:name="_Toc152937192"/>
      <w:bookmarkStart w:id="24" w:name="_Toc10592"/>
      <w:bookmarkStart w:id="25" w:name="_Toc14122"/>
      <w:r>
        <w:rPr>
          <w:rFonts w:hint="eastAsia"/>
        </w:rPr>
        <w:t>重要</w:t>
      </w:r>
      <w:bookmarkEnd w:id="23"/>
      <w:r>
        <w:rPr>
          <w:rFonts w:hint="eastAsia"/>
        </w:rPr>
        <w:t>控制线划定</w:t>
      </w:r>
      <w:bookmarkEnd w:id="24"/>
      <w:bookmarkEnd w:id="25"/>
    </w:p>
    <w:p w14:paraId="2CF7E803">
      <w:pPr>
        <w:pStyle w:val="4"/>
        <w:bidi w:val="0"/>
        <w:rPr>
          <w:rFonts w:hint="eastAsia"/>
        </w:rPr>
      </w:pPr>
      <w:bookmarkStart w:id="26" w:name="_Toc381627"/>
      <w:bookmarkStart w:id="27" w:name="_Toc381628"/>
      <w:r>
        <w:rPr>
          <w:rFonts w:hint="eastAsia"/>
        </w:rPr>
        <w:t>耕地和</w:t>
      </w:r>
      <w:r>
        <w:t>永久基本农田</w:t>
      </w:r>
      <w:r>
        <w:rPr>
          <w:rFonts w:hint="eastAsia"/>
        </w:rPr>
        <w:t>保护红线</w:t>
      </w:r>
    </w:p>
    <w:p w14:paraId="3D8C8E69">
      <w:pPr>
        <w:rPr>
          <w:rFonts w:hint="eastAsia"/>
        </w:rPr>
      </w:pPr>
      <w:r>
        <w:rPr>
          <w:rFonts w:hint="eastAsia"/>
        </w:rPr>
        <w:t>落实最严格的耕地保护制度，现状耕地应划尽划、应保尽保，优先确定耕地保护目标</w:t>
      </w:r>
      <w:r>
        <w:t>，</w:t>
      </w:r>
      <w:r>
        <w:rPr>
          <w:rFonts w:hint="eastAsia"/>
          <w:u w:val="single"/>
        </w:rPr>
        <w:t>划定</w:t>
      </w:r>
      <w:r>
        <w:rPr>
          <w:u w:val="single"/>
        </w:rPr>
        <w:t>耕地保护目标</w:t>
      </w:r>
      <w:r>
        <w:rPr>
          <w:rFonts w:hint="eastAsia"/>
          <w:u w:val="single"/>
        </w:rPr>
        <w:t>3.38万亩</w:t>
      </w:r>
      <w:r>
        <w:rPr>
          <w:rFonts w:hint="eastAsia"/>
          <w:lang w:bidi="ar"/>
        </w:rPr>
        <w:t>，</w:t>
      </w:r>
      <w:r>
        <w:rPr>
          <w:rFonts w:hint="eastAsia"/>
        </w:rPr>
        <w:t>将可长期稳定利用的耕地优先划入永久基本农田实施特殊保护，将高标准农田优先划为永久基本农田，</w:t>
      </w:r>
      <w:r>
        <w:rPr>
          <w:u w:val="single"/>
        </w:rPr>
        <w:t>划定永久基本农田面积</w:t>
      </w:r>
      <w:r>
        <w:rPr>
          <w:rFonts w:hint="eastAsia"/>
          <w:u w:val="single"/>
        </w:rPr>
        <w:t>3.26万亩</w:t>
      </w:r>
      <w:r>
        <w:rPr>
          <w:rFonts w:hint="eastAsia"/>
          <w:lang w:bidi="ar"/>
        </w:rPr>
        <w:t>。</w:t>
      </w:r>
      <w:r>
        <w:rPr>
          <w:rFonts w:hint="eastAsia"/>
        </w:rPr>
        <w:t>严格落实法律法规与规范性文件对耕地和永久基本农田保护红线的管控要求。</w:t>
      </w:r>
    </w:p>
    <w:p w14:paraId="18A3C089">
      <w:pPr>
        <w:spacing w:line="240" w:lineRule="auto"/>
        <w:ind w:left="0" w:leftChars="0" w:firstLine="0" w:firstLineChars="0"/>
        <w:rPr>
          <w:rFonts w:hint="eastAsia" w:eastAsia="仿宋_GB2312"/>
          <w:lang w:eastAsia="zh-CN"/>
        </w:rPr>
      </w:pPr>
      <w:r>
        <w:rPr>
          <w:rFonts w:hint="eastAsia" w:eastAsia="仿宋_GB2312"/>
          <w:lang w:eastAsia="zh-CN"/>
        </w:rPr>
        <w:drawing>
          <wp:inline distT="0" distB="0" distL="114300" distR="114300">
            <wp:extent cx="5341620" cy="3476625"/>
            <wp:effectExtent l="0" t="0" r="0" b="0"/>
            <wp:docPr id="2" name="图片 2" descr="210522104普乐堡镇04耕地和永久基本农田保护红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10522104普乐堡镇04耕地和永久基本农田保护红线图"/>
                    <pic:cNvPicPr>
                      <a:picLocks noChangeAspect="1"/>
                    </pic:cNvPicPr>
                  </pic:nvPicPr>
                  <pic:blipFill>
                    <a:blip r:embed="rId25"/>
                    <a:srcRect l="1270" t="5620" r="745" b="4153"/>
                    <a:stretch>
                      <a:fillRect/>
                    </a:stretch>
                  </pic:blipFill>
                  <pic:spPr>
                    <a:xfrm>
                      <a:off x="0" y="0"/>
                      <a:ext cx="5341620" cy="3476625"/>
                    </a:xfrm>
                    <a:prstGeom prst="rect">
                      <a:avLst/>
                    </a:prstGeom>
                  </pic:spPr>
                </pic:pic>
              </a:graphicData>
            </a:graphic>
          </wp:inline>
        </w:drawing>
      </w:r>
    </w:p>
    <w:p w14:paraId="75E2FC9D">
      <w:pPr>
        <w:spacing w:line="240" w:lineRule="auto"/>
        <w:ind w:left="0" w:leftChars="0" w:firstLine="0" w:firstLineChars="0"/>
        <w:jc w:val="center"/>
        <w:rPr>
          <w:rFonts w:hint="eastAsia" w:eastAsia="仿宋_GB2312"/>
          <w:lang w:eastAsia="zh-CN"/>
        </w:rPr>
      </w:pPr>
      <w:r>
        <w:rPr>
          <w:rFonts w:hint="eastAsia" w:eastAsia="黑体" w:cs="Times New Roman"/>
          <w:sz w:val="32"/>
          <w:szCs w:val="22"/>
          <w:u w:val="none"/>
          <w:lang w:val="en-US" w:eastAsia="zh-CN"/>
        </w:rPr>
        <w:t>图3.2 耕地和永久基本农田保护红线图</w:t>
      </w:r>
    </w:p>
    <w:p w14:paraId="11E14067">
      <w:pPr>
        <w:spacing w:line="240" w:lineRule="auto"/>
        <w:ind w:left="0" w:leftChars="0" w:firstLine="0" w:firstLineChars="0"/>
        <w:rPr>
          <w:rFonts w:hint="eastAsia" w:eastAsia="仿宋_GB2312"/>
          <w:lang w:eastAsia="zh-CN"/>
        </w:rPr>
      </w:pPr>
    </w:p>
    <w:p w14:paraId="54402B62">
      <w:pPr>
        <w:pStyle w:val="4"/>
        <w:bidi w:val="0"/>
        <w:rPr>
          <w:rFonts w:hint="eastAsia"/>
        </w:rPr>
      </w:pPr>
      <w:r>
        <w:t>生态保护红线</w:t>
      </w:r>
    </w:p>
    <w:p w14:paraId="3CCD3541">
      <w:pPr>
        <w:rPr>
          <w:rFonts w:hint="eastAsia"/>
        </w:rPr>
      </w:pPr>
      <w:r>
        <w:rPr>
          <w:rFonts w:hint="eastAsia"/>
        </w:rPr>
        <w:t>将整合优化后的自然保护地，生态服务功能极重要、生态极脆弱区域，以及目前基本没有人类活动、具有潜在重要生态价值的生态空间划入生态保护红线。</w:t>
      </w:r>
      <w:r>
        <w:rPr>
          <w:u w:val="single"/>
        </w:rPr>
        <w:t xml:space="preserve">划定生态保护红线面积186.97 </w:t>
      </w:r>
      <w:r>
        <w:rPr>
          <w:rFonts w:hint="eastAsia"/>
          <w:u w:val="single"/>
        </w:rPr>
        <w:t>平方千米</w:t>
      </w:r>
      <w:r>
        <w:rPr>
          <w:u w:val="single"/>
        </w:rPr>
        <w:t>，</w:t>
      </w:r>
      <w:r>
        <w:rPr>
          <w:rFonts w:hint="eastAsia"/>
          <w:lang w:bidi="ar"/>
        </w:rPr>
        <w:t>,</w:t>
      </w:r>
      <w:r>
        <w:t>主要为</w:t>
      </w:r>
      <w:r>
        <w:rPr>
          <w:rFonts w:hint="eastAsia"/>
        </w:rPr>
        <w:t>镇域内林地</w:t>
      </w:r>
      <w:r>
        <w:t>。</w:t>
      </w:r>
      <w:r>
        <w:rPr>
          <w:rFonts w:hint="eastAsia"/>
        </w:rPr>
        <w:t>严格落实法律法规与规范性文件对生态保护红线的管控要求。</w:t>
      </w:r>
    </w:p>
    <w:p w14:paraId="3B01D771">
      <w:pPr>
        <w:spacing w:line="240" w:lineRule="auto"/>
        <w:ind w:left="0" w:leftChars="0" w:firstLine="0" w:firstLineChars="0"/>
        <w:rPr>
          <w:rFonts w:hint="eastAsia" w:eastAsia="仿宋_GB2312"/>
          <w:lang w:eastAsia="zh-CN"/>
        </w:rPr>
      </w:pPr>
      <w:r>
        <w:rPr>
          <w:rFonts w:hint="eastAsia" w:eastAsia="仿宋_GB2312"/>
          <w:lang w:eastAsia="zh-CN"/>
        </w:rPr>
        <w:drawing>
          <wp:inline distT="0" distB="0" distL="114300" distR="114300">
            <wp:extent cx="5379720" cy="3632835"/>
            <wp:effectExtent l="0" t="0" r="0" b="0"/>
            <wp:docPr id="3" name="图片 3" descr="210522104普乐堡镇05生态保护红线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10522104普乐堡镇05生态保护红线图"/>
                    <pic:cNvPicPr>
                      <a:picLocks noChangeAspect="1"/>
                    </pic:cNvPicPr>
                  </pic:nvPicPr>
                  <pic:blipFill>
                    <a:blip r:embed="rId26"/>
                    <a:srcRect l="547" t="5142" r="769" b="577"/>
                    <a:stretch>
                      <a:fillRect/>
                    </a:stretch>
                  </pic:blipFill>
                  <pic:spPr>
                    <a:xfrm>
                      <a:off x="0" y="0"/>
                      <a:ext cx="5379720" cy="3632835"/>
                    </a:xfrm>
                    <a:prstGeom prst="rect">
                      <a:avLst/>
                    </a:prstGeom>
                  </pic:spPr>
                </pic:pic>
              </a:graphicData>
            </a:graphic>
          </wp:inline>
        </w:drawing>
      </w:r>
    </w:p>
    <w:p w14:paraId="20F9C609">
      <w:pPr>
        <w:spacing w:line="240" w:lineRule="auto"/>
        <w:ind w:left="0" w:leftChars="0" w:firstLine="0" w:firstLineChars="0"/>
        <w:jc w:val="center"/>
        <w:rPr>
          <w:rFonts w:hint="eastAsia" w:eastAsia="仿宋_GB2312"/>
          <w:lang w:eastAsia="zh-CN"/>
        </w:rPr>
      </w:pPr>
      <w:r>
        <w:rPr>
          <w:rFonts w:hint="eastAsia" w:eastAsia="黑体" w:cs="Times New Roman"/>
          <w:sz w:val="32"/>
          <w:szCs w:val="22"/>
          <w:u w:val="none"/>
          <w:lang w:val="en-US" w:eastAsia="zh-CN"/>
        </w:rPr>
        <w:t>图3.3 生态保护红线图</w:t>
      </w:r>
    </w:p>
    <w:p w14:paraId="787B16B5">
      <w:pPr>
        <w:spacing w:line="240" w:lineRule="auto"/>
        <w:ind w:left="0" w:leftChars="0" w:firstLine="0" w:firstLineChars="0"/>
        <w:rPr>
          <w:rFonts w:hint="eastAsia" w:eastAsia="仿宋_GB2312"/>
          <w:lang w:eastAsia="zh-CN"/>
        </w:rPr>
      </w:pPr>
    </w:p>
    <w:bookmarkEnd w:id="26"/>
    <w:bookmarkEnd w:id="27"/>
    <w:p w14:paraId="2780D29C">
      <w:pPr>
        <w:pStyle w:val="4"/>
        <w:bidi w:val="0"/>
        <w:rPr>
          <w:rFonts w:hint="eastAsia"/>
        </w:rPr>
      </w:pPr>
      <w:bookmarkStart w:id="28" w:name="_Toc381629"/>
      <w:r>
        <w:t>城镇开发边界</w:t>
      </w:r>
      <w:bookmarkEnd w:id="28"/>
    </w:p>
    <w:p w14:paraId="141C75E7">
      <w:r>
        <w:rPr>
          <w:rFonts w:hint="eastAsia"/>
        </w:rPr>
        <w:t>在优先划定耕地和永久基本农田、生态保护红线的基础上，顺应自然地理格局，避让自然灾害高风险等区域，根据常住人口变化趋势合理划定城镇开发边界，引导形成集约紧凑的城镇空间格局。落实上级下达的城镇开发边界扩展系数，</w:t>
      </w:r>
      <w:r>
        <w:rPr>
          <w:u w:val="single"/>
        </w:rPr>
        <w:t>划定城镇开发边界面积</w:t>
      </w:r>
      <w:r>
        <w:rPr>
          <w:rFonts w:hint="eastAsia"/>
          <w:u w:val="single"/>
        </w:rPr>
        <w:t>86.67</w:t>
      </w:r>
      <w:r>
        <w:rPr>
          <w:u w:val="single"/>
        </w:rPr>
        <w:t>公顷，</w:t>
      </w:r>
      <w:r>
        <w:rPr>
          <w:rFonts w:hint="eastAsia"/>
          <w:u w:val="single"/>
        </w:rPr>
        <w:t>城镇开发边界扩展系数为1.0</w:t>
      </w:r>
      <w:r>
        <w:rPr>
          <w:rFonts w:hint="eastAsia"/>
          <w:lang w:bidi="ar"/>
        </w:rPr>
        <w:t>。</w:t>
      </w:r>
      <w:r>
        <w:rPr>
          <w:rFonts w:hint="eastAsia"/>
        </w:rPr>
        <w:t>主要集中于镇中心区，严格落实法律法规与规范性文件对城镇开发边界的管控要求</w:t>
      </w:r>
      <w:r>
        <w:t>。</w:t>
      </w:r>
    </w:p>
    <w:p w14:paraId="61DCB8FE">
      <w:pPr>
        <w:spacing w:line="240" w:lineRule="auto"/>
        <w:ind w:left="0" w:leftChars="0" w:firstLine="0" w:firstLineChars="0"/>
        <w:rPr>
          <w:rFonts w:hint="eastAsia" w:eastAsia="仿宋_GB2312"/>
          <w:lang w:eastAsia="zh-CN"/>
        </w:rPr>
      </w:pPr>
      <w:r>
        <w:rPr>
          <w:rFonts w:hint="eastAsia" w:eastAsia="仿宋_GB2312"/>
          <w:lang w:eastAsia="zh-CN"/>
        </w:rPr>
        <w:drawing>
          <wp:inline distT="0" distB="0" distL="114300" distR="114300">
            <wp:extent cx="5381625" cy="3636645"/>
            <wp:effectExtent l="0" t="0" r="0" b="0"/>
            <wp:docPr id="4" name="图片 4" descr="210522104普乐堡镇06城镇开发边界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210522104普乐堡镇06城镇开发边界图"/>
                    <pic:cNvPicPr>
                      <a:picLocks noChangeAspect="1"/>
                    </pic:cNvPicPr>
                  </pic:nvPicPr>
                  <pic:blipFill>
                    <a:blip r:embed="rId27"/>
                    <a:srcRect l="780" t="5587" r="501" b="33"/>
                    <a:stretch>
                      <a:fillRect/>
                    </a:stretch>
                  </pic:blipFill>
                  <pic:spPr>
                    <a:xfrm>
                      <a:off x="0" y="0"/>
                      <a:ext cx="5381625" cy="3636645"/>
                    </a:xfrm>
                    <a:prstGeom prst="rect">
                      <a:avLst/>
                    </a:prstGeom>
                  </pic:spPr>
                </pic:pic>
              </a:graphicData>
            </a:graphic>
          </wp:inline>
        </w:drawing>
      </w:r>
    </w:p>
    <w:p w14:paraId="2B77A75F">
      <w:pPr>
        <w:spacing w:line="240" w:lineRule="auto"/>
        <w:ind w:left="0" w:leftChars="0" w:firstLine="0" w:firstLineChars="0"/>
        <w:jc w:val="center"/>
        <w:rPr>
          <w:rFonts w:hint="eastAsia" w:eastAsia="仿宋_GB2312"/>
          <w:lang w:eastAsia="zh-CN"/>
        </w:rPr>
      </w:pPr>
      <w:r>
        <w:rPr>
          <w:rFonts w:hint="eastAsia" w:eastAsia="黑体" w:cs="Times New Roman"/>
          <w:sz w:val="32"/>
          <w:szCs w:val="22"/>
          <w:u w:val="none"/>
          <w:lang w:val="en-US" w:eastAsia="zh-CN"/>
        </w:rPr>
        <w:t>图3.4 城镇开发边界图</w:t>
      </w:r>
    </w:p>
    <w:p w14:paraId="553B65CD">
      <w:pPr>
        <w:spacing w:line="240" w:lineRule="auto"/>
        <w:ind w:left="0" w:leftChars="0" w:firstLine="0" w:firstLineChars="0"/>
        <w:rPr>
          <w:rFonts w:hint="eastAsia" w:eastAsia="仿宋_GB2312"/>
          <w:lang w:eastAsia="zh-CN"/>
        </w:rPr>
      </w:pPr>
    </w:p>
    <w:p w14:paraId="22E3E07B">
      <w:pPr>
        <w:pStyle w:val="4"/>
        <w:bidi w:val="0"/>
        <w:rPr>
          <w:rFonts w:hint="eastAsia"/>
        </w:rPr>
      </w:pPr>
      <w:r>
        <w:rPr>
          <w:rFonts w:hint="eastAsia"/>
        </w:rPr>
        <w:t>其它空间控制线</w:t>
      </w:r>
    </w:p>
    <w:p w14:paraId="1B27A60D">
      <w:pPr>
        <w:rPr>
          <w:rFonts w:cs="仿宋_GB2312"/>
          <w:szCs w:val="32"/>
          <w:lang w:bidi="ar"/>
        </w:rPr>
      </w:pPr>
      <w:r>
        <w:rPr>
          <w:rFonts w:hint="eastAsia" w:cs="仿宋_GB2312"/>
          <w:szCs w:val="32"/>
          <w:lang w:bidi="ar"/>
        </w:rPr>
        <w:t>洪涝风险控制线。落实上位洪涝风险控制线，以桓仁满族自治县河湖划界成果为基础，结合河流防洪排涝标准，对镇域内河流划定洪涝风险控制线，面积为469.54公顷，具体洪涝风险控制线在详细规划中落实。洪涝风险控制线内严格限制影响防洪排涝系统完整性和通达性的行为，禁止修建阻碍行洪的各类建筑物。结合灾害防治工程建设进度实时调整风险管控范围，引导各项建设避开灾害风险区。</w:t>
      </w:r>
    </w:p>
    <w:p w14:paraId="5B1A129E">
      <w:r>
        <w:rPr>
          <w:rFonts w:hint="eastAsia" w:cs="仿宋_GB2312"/>
          <w:szCs w:val="32"/>
          <w:lang w:bidi="ar"/>
        </w:rPr>
        <w:t>历史文化保护线。与上位规划确定的历史文化保护线相衔接，明确全域各类历史文化遗产的保护范围和必要的建设控制地带，科学合理划定历史文化保护线。规划期内按照《中华人民共和国文物保护法》《中华人民共和国文物保护条例》对历史文化保护线进行严格保护，控制线范围内不得进行与之不相关的其他建设。严格控制保护线周边建设控制地带内的开发强度，新建、扩建、改建各类建（构）筑物和其他设施时，应与保护区的传统风貌或地方特色相协调。重点保护普乐堡镇1处国家级文物保护单位、1处省级文物保护单位、9处市级文物保护单位、1处县级文物保护单位。</w:t>
      </w:r>
    </w:p>
    <w:p w14:paraId="124925B2">
      <w:pPr>
        <w:pStyle w:val="4"/>
        <w:bidi w:val="0"/>
        <w:rPr>
          <w:rFonts w:hint="eastAsia"/>
        </w:rPr>
      </w:pPr>
      <w:r>
        <w:t>村庄建设边界</w:t>
      </w:r>
    </w:p>
    <w:p w14:paraId="1B37DF87">
      <w:pPr>
        <w:rPr>
          <w:lang w:bidi="ar"/>
        </w:rPr>
      </w:pPr>
      <w:r>
        <w:rPr>
          <w:rFonts w:hint="eastAsia"/>
          <w:lang w:bidi="ar"/>
        </w:rPr>
        <w:t>结合村庄发展需要坚持保护优先，避让耕地和永久基本农田保护红线、生态保护红线、城镇开发边界，全域科学划定村庄建设边界，坚持集聚建设，引导乡村建设向边界内集聚。统筹安排宅基地用地规模和布局，满足合理的宅基地需求。农村村民建造住宅应严格落实“一户一宅”规定，严格控制占用耕地建造住宅。农村村民应严格按照批准面积和建房标准建设住宅。</w:t>
      </w:r>
    </w:p>
    <w:p w14:paraId="49870AEB">
      <w:r>
        <w:rPr>
          <w:rFonts w:hint="eastAsia"/>
          <w:lang w:bidi="ar"/>
        </w:rPr>
        <w:t>统筹城乡产业发展，优化城乡产业用地布局，引导工业向城镇产业空间集聚，合理保障农村新产业新业态发展用地。村庄建设项目原则上应集中在村庄建设边界内，在不占用永久基本农田和生态保护红线、符合法律法规及相关政策要求、不破坏生态环境和乡村风貌的前提下，利用农村本地资源开展农产品初加工、发展休闲观光旅游而必需的配套设施建设、农村道路、电力等线性公益设施建设、殡葬等特殊用地等项目建设可在村庄建设边界外安排。在符合法律法规、政策要求的前提下，可预留不高于5%的建设用地机动指标，用于村民居住、农村公共公益设施、零星分散的乡村文旅设施及农村新产业新业态等用地需求。在充分尊重农民意愿的前提下，鼓励开展全域国土综合整治，盘活农村存量建设用地，促进乡村建设用地节约集约利用。</w:t>
      </w:r>
    </w:p>
    <w:p w14:paraId="5CBAC125">
      <w:pPr>
        <w:rPr>
          <w:rFonts w:hint="eastAsia"/>
          <w:u w:val="single"/>
        </w:rPr>
      </w:pPr>
      <w:r>
        <w:rPr>
          <w:rFonts w:hint="eastAsia"/>
        </w:rPr>
        <w:t>以村庄建设边界初划成果为基础，在符合“三区三线”管控要求，确保村庄建设边界规模不超过</w:t>
      </w:r>
      <w:r>
        <w:t>2020年度国土变更调查村庄用地（203）规模的前提下，结合县级国土空间规划优化村庄建设边界，</w:t>
      </w:r>
      <w:r>
        <w:rPr>
          <w:rFonts w:hint="eastAsia"/>
          <w:u w:val="single"/>
        </w:rPr>
        <w:t>划定村庄建设边界面积为333.96公顷。各项目涉及在现状保留区范围内的，允许在原址用地范围内进行改扩建等建设行为，优先使用存量建设用地。涉及新增规划项目用地的，应在村庄建设边界内的规划新增区进行。</w:t>
      </w:r>
    </w:p>
    <w:p w14:paraId="0513410D">
      <w:pPr>
        <w:spacing w:line="240" w:lineRule="auto"/>
        <w:ind w:left="0" w:leftChars="0" w:firstLine="0" w:firstLineChars="0"/>
        <w:rPr>
          <w:rFonts w:hint="eastAsia" w:eastAsia="仿宋_GB2312"/>
          <w:u w:val="single"/>
          <w:lang w:eastAsia="zh-CN"/>
        </w:rPr>
      </w:pPr>
      <w:r>
        <w:rPr>
          <w:rFonts w:hint="eastAsia" w:eastAsia="仿宋_GB2312"/>
          <w:u w:val="single"/>
          <w:lang w:eastAsia="zh-CN"/>
        </w:rPr>
        <w:drawing>
          <wp:inline distT="0" distB="0" distL="114300" distR="114300">
            <wp:extent cx="5394960" cy="3629025"/>
            <wp:effectExtent l="0" t="0" r="0" b="0"/>
            <wp:docPr id="5" name="图片 5" descr="210522104普乐堡镇07村庄建设边界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10522104普乐堡镇07村庄建设边界图"/>
                    <pic:cNvPicPr>
                      <a:picLocks noChangeAspect="1"/>
                    </pic:cNvPicPr>
                  </pic:nvPicPr>
                  <pic:blipFill>
                    <a:blip r:embed="rId28"/>
                    <a:srcRect l="524" t="5669" r="513" b="148"/>
                    <a:stretch>
                      <a:fillRect/>
                    </a:stretch>
                  </pic:blipFill>
                  <pic:spPr>
                    <a:xfrm>
                      <a:off x="0" y="0"/>
                      <a:ext cx="5394960" cy="3629025"/>
                    </a:xfrm>
                    <a:prstGeom prst="rect">
                      <a:avLst/>
                    </a:prstGeom>
                  </pic:spPr>
                </pic:pic>
              </a:graphicData>
            </a:graphic>
          </wp:inline>
        </w:drawing>
      </w:r>
    </w:p>
    <w:p w14:paraId="5925D31B">
      <w:pPr>
        <w:spacing w:line="240" w:lineRule="auto"/>
        <w:ind w:left="0" w:leftChars="0" w:firstLine="0" w:firstLineChars="0"/>
        <w:jc w:val="center"/>
        <w:rPr>
          <w:rFonts w:hint="eastAsia" w:eastAsia="仿宋_GB2312"/>
          <w:lang w:eastAsia="zh-CN"/>
        </w:rPr>
      </w:pPr>
      <w:r>
        <w:rPr>
          <w:rFonts w:hint="eastAsia" w:eastAsia="黑体" w:cs="Times New Roman"/>
          <w:sz w:val="32"/>
          <w:szCs w:val="22"/>
          <w:u w:val="none"/>
          <w:lang w:val="en-US" w:eastAsia="zh-CN"/>
        </w:rPr>
        <w:t>图3.5 村庄建设边界图</w:t>
      </w:r>
    </w:p>
    <w:p w14:paraId="07A5262E">
      <w:pPr>
        <w:spacing w:line="240" w:lineRule="auto"/>
        <w:ind w:left="0" w:leftChars="0" w:firstLine="0" w:firstLineChars="0"/>
        <w:rPr>
          <w:rFonts w:hint="eastAsia" w:eastAsia="仿宋_GB2312"/>
          <w:u w:val="single"/>
          <w:lang w:eastAsia="zh-CN"/>
        </w:rPr>
      </w:pPr>
    </w:p>
    <w:p w14:paraId="0390983D">
      <w:pPr>
        <w:pStyle w:val="3"/>
        <w:bidi w:val="0"/>
      </w:pPr>
      <w:bookmarkStart w:id="29" w:name="_Toc16408"/>
      <w:bookmarkStart w:id="30" w:name="_Toc152937193"/>
      <w:bookmarkStart w:id="31" w:name="_Toc26769"/>
      <w:r>
        <w:rPr>
          <w:rFonts w:hint="eastAsia"/>
        </w:rPr>
        <w:t>规划分区</w:t>
      </w:r>
      <w:bookmarkEnd w:id="29"/>
      <w:bookmarkEnd w:id="30"/>
      <w:bookmarkEnd w:id="31"/>
    </w:p>
    <w:p w14:paraId="5D2D0FEF">
      <w:pPr>
        <w:rPr>
          <w:rFonts w:hint="eastAsia"/>
        </w:rPr>
      </w:pPr>
      <w:bookmarkStart w:id="32" w:name="_Hlk130996293"/>
      <w:r>
        <w:t>依据国土空间开发保护总体格局，按照主体功能定位划分规划分区，规划分区</w:t>
      </w:r>
      <w:r>
        <w:rPr>
          <w:rFonts w:hint="eastAsia"/>
        </w:rPr>
        <w:t>共</w:t>
      </w:r>
      <w:r>
        <w:rPr>
          <w:rFonts w:hint="eastAsia"/>
          <w:lang w:val="en-US" w:eastAsia="zh-CN"/>
        </w:rPr>
        <w:t>6</w:t>
      </w:r>
      <w:r>
        <w:t>类，分别为生态保护区、生态控制区、农田保护区、乡村发展区、城镇发展区</w:t>
      </w:r>
      <w:r>
        <w:rPr>
          <w:rFonts w:hint="eastAsia"/>
          <w:lang w:eastAsia="zh-CN"/>
        </w:rPr>
        <w:t>、矿产能源发展区</w:t>
      </w:r>
      <w:r>
        <w:t>。</w:t>
      </w:r>
      <w:r>
        <w:rPr>
          <w:rFonts w:hint="eastAsia"/>
        </w:rPr>
        <w:t>分区调整应按照国家转换原则和准入要求规定执行。</w:t>
      </w:r>
      <w:bookmarkEnd w:id="32"/>
    </w:p>
    <w:p w14:paraId="799C6BDB">
      <w:pPr>
        <w:spacing w:line="240" w:lineRule="auto"/>
        <w:ind w:left="0" w:leftChars="0" w:firstLine="0" w:firstLineChars="0"/>
        <w:rPr>
          <w:rFonts w:hint="eastAsia" w:eastAsia="仿宋_GB2312"/>
          <w:lang w:eastAsia="zh-CN"/>
        </w:rPr>
      </w:pPr>
      <w:r>
        <w:rPr>
          <w:rFonts w:hint="eastAsia" w:eastAsia="仿宋_GB2312"/>
          <w:lang w:eastAsia="zh-CN"/>
        </w:rPr>
        <w:drawing>
          <wp:inline distT="0" distB="0" distL="114300" distR="114300">
            <wp:extent cx="5380990" cy="3611245"/>
            <wp:effectExtent l="0" t="0" r="0" b="0"/>
            <wp:docPr id="6" name="图片 6" descr="210522104普乐堡镇16国土空间规划分区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10522104普乐堡镇16国土空间规划分区图"/>
                    <pic:cNvPicPr>
                      <a:picLocks noChangeAspect="1"/>
                    </pic:cNvPicPr>
                  </pic:nvPicPr>
                  <pic:blipFill>
                    <a:blip r:embed="rId29"/>
                    <a:srcRect l="769" t="5982" r="524" b="297"/>
                    <a:stretch>
                      <a:fillRect/>
                    </a:stretch>
                  </pic:blipFill>
                  <pic:spPr>
                    <a:xfrm>
                      <a:off x="0" y="0"/>
                      <a:ext cx="5380990" cy="3611245"/>
                    </a:xfrm>
                    <a:prstGeom prst="rect">
                      <a:avLst/>
                    </a:prstGeom>
                  </pic:spPr>
                </pic:pic>
              </a:graphicData>
            </a:graphic>
          </wp:inline>
        </w:drawing>
      </w:r>
    </w:p>
    <w:p w14:paraId="057DFAD9">
      <w:pPr>
        <w:spacing w:line="240" w:lineRule="auto"/>
        <w:ind w:left="0" w:leftChars="0" w:firstLine="0" w:firstLineChars="0"/>
        <w:jc w:val="center"/>
        <w:rPr>
          <w:rFonts w:hint="eastAsia" w:eastAsia="仿宋_GB2312"/>
          <w:lang w:eastAsia="zh-CN"/>
        </w:rPr>
      </w:pPr>
      <w:r>
        <w:rPr>
          <w:rFonts w:hint="eastAsia" w:eastAsia="黑体" w:cs="Times New Roman"/>
          <w:sz w:val="32"/>
          <w:szCs w:val="22"/>
          <w:u w:val="none"/>
          <w:lang w:val="en-US" w:eastAsia="zh-CN"/>
        </w:rPr>
        <w:t>图3.6 国土空间规划分区图</w:t>
      </w:r>
    </w:p>
    <w:p w14:paraId="1297CDF5">
      <w:pPr>
        <w:spacing w:line="240" w:lineRule="auto"/>
        <w:ind w:left="0" w:leftChars="0" w:firstLine="0" w:firstLineChars="0"/>
        <w:rPr>
          <w:rFonts w:hint="eastAsia" w:eastAsia="仿宋_GB2312"/>
          <w:lang w:eastAsia="zh-CN"/>
        </w:rPr>
      </w:pPr>
    </w:p>
    <w:p w14:paraId="24C9315F">
      <w:pPr>
        <w:pStyle w:val="4"/>
        <w:bidi w:val="0"/>
        <w:rPr>
          <w:rFonts w:hint="eastAsia"/>
        </w:rPr>
      </w:pPr>
      <w:r>
        <w:rPr>
          <w:rFonts w:hint="eastAsia"/>
        </w:rPr>
        <w:t>生态保护区</w:t>
      </w:r>
    </w:p>
    <w:p w14:paraId="5577D26A">
      <w:r>
        <w:rPr>
          <w:rFonts w:hint="eastAsia"/>
        </w:rPr>
        <w:t>生态保护区指具有特殊重要生态功能或生态敏感脆弱、必须强制性严格保护的陆地自然区域，主要为大雅河干流及周边水土保持功能红线区，区域面积18697.5</w:t>
      </w:r>
      <w:r>
        <w:rPr>
          <w:rFonts w:hint="eastAsia"/>
          <w:lang w:val="en-US" w:eastAsia="zh-CN"/>
        </w:rPr>
        <w:t>9</w:t>
      </w:r>
      <w:r>
        <w:rPr>
          <w:rFonts w:hint="eastAsia"/>
        </w:rPr>
        <w:t xml:space="preserve"> 公顷，占全域空间的60.26%</w:t>
      </w:r>
      <w:r>
        <w:t>。</w:t>
      </w:r>
      <w:r>
        <w:rPr>
          <w:rFonts w:hint="eastAsia"/>
        </w:rPr>
        <w:t>落实生态保护红线管理办法要求，实施最严格的准入制度。禁止开发性、生产性建设活动，在符合现行法律法规前提下，除国家重大战略项目外，仅允许对生态功能不造成破坏的有限人为活动。</w:t>
      </w:r>
    </w:p>
    <w:p w14:paraId="70D02298">
      <w:pPr>
        <w:pStyle w:val="4"/>
        <w:bidi w:val="0"/>
        <w:rPr>
          <w:rFonts w:hint="eastAsia"/>
        </w:rPr>
      </w:pPr>
      <w:r>
        <w:rPr>
          <w:rFonts w:hint="eastAsia"/>
        </w:rPr>
        <w:t>生态控制区</w:t>
      </w:r>
    </w:p>
    <w:p w14:paraId="7BCC053F">
      <w:r>
        <w:t>生态控制区指生态保护红线外，需要予以保留原貌、强化生态保育和生态建设、限制开发建设的自然区域，</w:t>
      </w:r>
      <w:r>
        <w:rPr>
          <w:rFonts w:hint="eastAsia"/>
        </w:rPr>
        <w:t>区域面积8971.5</w:t>
      </w:r>
      <w:r>
        <w:rPr>
          <w:rFonts w:hint="eastAsia"/>
          <w:lang w:val="en-US" w:eastAsia="zh-CN"/>
        </w:rPr>
        <w:t>8</w:t>
      </w:r>
      <w:r>
        <w:rPr>
          <w:rFonts w:hint="eastAsia"/>
        </w:rPr>
        <w:t>公顷，</w:t>
      </w:r>
      <w:r>
        <w:t>占全域空间的</w:t>
      </w:r>
      <w:r>
        <w:rPr>
          <w:rFonts w:hint="eastAsia"/>
        </w:rPr>
        <w:t>28.91%</w:t>
      </w:r>
      <w:r>
        <w:t>。</w:t>
      </w:r>
      <w:r>
        <w:rPr>
          <w:rFonts w:hint="eastAsia"/>
        </w:rPr>
        <w:t>不得擅自改变地形地貌及其他自然生态环境原有状态；允许在不降低生态功能、不破坏生态系统稳定的前提下，进行土地利用结构和布局调整；在符合相关法律法规前提下，允许依据国土空间规划适度开发利用。</w:t>
      </w:r>
    </w:p>
    <w:p w14:paraId="5CF22E9B">
      <w:pPr>
        <w:pStyle w:val="4"/>
        <w:bidi w:val="0"/>
        <w:rPr>
          <w:rFonts w:hint="eastAsia"/>
        </w:rPr>
      </w:pPr>
      <w:r>
        <w:rPr>
          <w:rFonts w:hint="eastAsia"/>
        </w:rPr>
        <w:t>农田保护区</w:t>
      </w:r>
    </w:p>
    <w:p w14:paraId="51F2DFBA">
      <w:r>
        <w:t>农田保护区指永久基本农田相对集中需严格保护的区域，主要分布在中西部平原等永久基本农田大规模集中的地区，</w:t>
      </w:r>
      <w:r>
        <w:rPr>
          <w:rFonts w:hint="eastAsia"/>
        </w:rPr>
        <w:t>区域面积2175.99 公顷，</w:t>
      </w:r>
      <w:r>
        <w:t>占全域空间的</w:t>
      </w:r>
      <w:r>
        <w:rPr>
          <w:rFonts w:hint="eastAsia"/>
        </w:rPr>
        <w:t>7.01%</w:t>
      </w:r>
      <w:r>
        <w:t>。</w:t>
      </w:r>
      <w:r>
        <w:rPr>
          <w:rFonts w:hint="eastAsia"/>
        </w:rPr>
        <w:t>按照永久基本农田管控要求进行管理，严格管控非农建设占用永久基本农田,不得擅自占用或者改变土地用途，禁止任何降低耕地质量、破坏耕作层的活动。严格保证数量不减少，鼓励开展高标准农田建设和土地综合整治，提高永久基本农田质量。</w:t>
      </w:r>
    </w:p>
    <w:p w14:paraId="6D7DC03A">
      <w:pPr>
        <w:pStyle w:val="4"/>
        <w:bidi w:val="0"/>
        <w:rPr>
          <w:rFonts w:hint="eastAsia"/>
        </w:rPr>
      </w:pPr>
      <w:r>
        <w:rPr>
          <w:rFonts w:hint="eastAsia"/>
        </w:rPr>
        <w:t>乡村发展区</w:t>
      </w:r>
    </w:p>
    <w:p w14:paraId="0C447339">
      <w:r>
        <w:t>乡村发展区指农田保护区外，为满足农林牧渔等农业发展以及农民集中生活和生产配套为主的区域，主要分布于城镇发</w:t>
      </w:r>
      <w:r>
        <w:rPr>
          <w:rFonts w:hint="eastAsia"/>
        </w:rPr>
        <w:t>展区农田保护区周边，区域面积1013.4</w:t>
      </w:r>
      <w:r>
        <w:rPr>
          <w:rFonts w:hint="eastAsia"/>
          <w:lang w:val="en-US" w:eastAsia="zh-CN"/>
        </w:rPr>
        <w:t>4</w:t>
      </w:r>
      <w:r>
        <w:rPr>
          <w:rFonts w:hint="eastAsia"/>
        </w:rPr>
        <w:t xml:space="preserve"> 公顷，占全域空间的3.27%</w:t>
      </w:r>
      <w:r>
        <w:t>。</w:t>
      </w:r>
      <w:r>
        <w:rPr>
          <w:rFonts w:hint="eastAsia"/>
        </w:rPr>
        <w:t>包括村庄建设区、一般农业区。村庄建设区允许为改善农村人居环境而进行的村庄建设与整治。一般农业区允许农业和乡村特色产业发展及其配套设施建设；严格控制一般耕地转变其他用途；允许建设区域性基础设施廊道；设施农用地可以使用一般耕地。</w:t>
      </w:r>
    </w:p>
    <w:p w14:paraId="390518D1">
      <w:pPr>
        <w:pStyle w:val="4"/>
        <w:bidi w:val="0"/>
        <w:rPr>
          <w:rFonts w:hint="eastAsia"/>
        </w:rPr>
      </w:pPr>
      <w:r>
        <w:rPr>
          <w:rFonts w:hint="eastAsia"/>
        </w:rPr>
        <w:t>城镇发展区</w:t>
      </w:r>
    </w:p>
    <w:p w14:paraId="1395CBDE">
      <w:pPr>
        <w:jc w:val="left"/>
        <w:rPr>
          <w:rFonts w:hint="eastAsia" w:ascii="仿宋_GB2312" w:hAnsi="仿宋_GB2312"/>
          <w:szCs w:val="24"/>
        </w:rPr>
      </w:pPr>
      <w:r>
        <w:t>城镇发展区指城镇开发边界围合的范围，是城镇集中开发建设并可满足城镇生产生活需要的区域，</w:t>
      </w:r>
      <w:r>
        <w:rPr>
          <w:rFonts w:hint="eastAsia"/>
        </w:rPr>
        <w:t>区域面积86.82公顷，</w:t>
      </w:r>
      <w:r>
        <w:t>占全域空间的</w:t>
      </w:r>
      <w:r>
        <w:rPr>
          <w:rFonts w:hint="eastAsia"/>
        </w:rPr>
        <w:t>0.28%</w:t>
      </w:r>
      <w:r>
        <w:t>。</w:t>
      </w:r>
      <w:r>
        <w:rPr>
          <w:rFonts w:hint="eastAsia"/>
        </w:rPr>
        <w:t>其中居住生活区</w:t>
      </w:r>
      <w:r>
        <w:t>66.3</w:t>
      </w:r>
      <w:r>
        <w:rPr>
          <w:rFonts w:hint="eastAsia"/>
          <w:lang w:val="en-US" w:eastAsia="zh-CN"/>
        </w:rPr>
        <w:t>7</w:t>
      </w:r>
      <w:r>
        <w:rPr>
          <w:rFonts w:hint="eastAsia"/>
        </w:rPr>
        <w:t>公顷、工业发展区</w:t>
      </w:r>
      <w:r>
        <w:t>7.0</w:t>
      </w:r>
      <w:r>
        <w:rPr>
          <w:rFonts w:hint="eastAsia"/>
          <w:lang w:val="en-US" w:eastAsia="zh-CN"/>
        </w:rPr>
        <w:t>6</w:t>
      </w:r>
      <w:r>
        <w:rPr>
          <w:rFonts w:hint="eastAsia"/>
        </w:rPr>
        <w:t>公顷、交通枢纽区</w:t>
      </w:r>
      <w:r>
        <w:t>6.</w:t>
      </w:r>
      <w:r>
        <w:rPr>
          <w:rFonts w:hint="eastAsia"/>
          <w:lang w:val="en-US" w:eastAsia="zh-CN"/>
        </w:rPr>
        <w:t>67</w:t>
      </w:r>
      <w:r>
        <w:t xml:space="preserve"> </w:t>
      </w:r>
      <w:r>
        <w:rPr>
          <w:rFonts w:hint="eastAsia"/>
        </w:rPr>
        <w:t>公顷、绿地休闲区0.64 公顷、商业商务区0.79公顷、综合服务区</w:t>
      </w:r>
      <w:r>
        <w:t xml:space="preserve">4.93 </w:t>
      </w:r>
      <w:r>
        <w:rPr>
          <w:rFonts w:hint="eastAsia"/>
        </w:rPr>
        <w:t>公顷。按照城镇开发边界管理要求，通过“详细规划+规划许</w:t>
      </w:r>
      <w:r>
        <w:rPr>
          <w:rFonts w:hint="eastAsia" w:ascii="仿宋_GB2312" w:hAnsi="仿宋_GB2312"/>
          <w:szCs w:val="24"/>
        </w:rPr>
        <w:t>可”的方式进行管理，通过划定城镇单元强化指标和控制线的传导。对暂未明确具体用途、规划期内不开发或特定条件下开发的用地规划为留白用地。明确新增用地地类在城镇发展区内的准入要求，调整完善城镇发展区用地布局和结构。</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7"/>
      </w:tblGrid>
      <w:tr w14:paraId="392A2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7" w:type="dxa"/>
          </w:tcPr>
          <w:p w14:paraId="74BAB121">
            <w:pPr>
              <w:pStyle w:val="7"/>
              <w:ind w:firstLine="0" w:firstLineChars="0"/>
              <w:jc w:val="center"/>
            </w:pPr>
            <w:r>
              <w:rPr>
                <w:rFonts w:hint="eastAsia"/>
              </w:rPr>
              <w:t>专栏1：城镇发展区内新增用地准入指引</w:t>
            </w:r>
          </w:p>
        </w:tc>
      </w:tr>
      <w:tr w14:paraId="57AA8E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577" w:type="dxa"/>
          </w:tcPr>
          <w:p w14:paraId="207FDDE6">
            <w:pPr>
              <w:spacing w:line="276" w:lineRule="auto"/>
              <w:jc w:val="left"/>
              <w:rPr>
                <w:rFonts w:hint="eastAsia" w:ascii="仿宋_GB2312" w:hAnsi="仿宋_GB2312"/>
                <w:szCs w:val="24"/>
              </w:rPr>
            </w:pPr>
            <w:r>
              <w:rPr>
                <w:rFonts w:hint="eastAsia" w:ascii="仿宋_GB2312" w:hAnsi="仿宋_GB2312"/>
                <w:szCs w:val="24"/>
              </w:rPr>
              <w:t>居住生活区：区内可兼容居住用地、公共管理与公共服务用地、商业服务业用地、交通运输用地、公用设施用地和绿地与开敞空间用地。</w:t>
            </w:r>
          </w:p>
          <w:p w14:paraId="64707EBE">
            <w:pPr>
              <w:spacing w:line="276" w:lineRule="auto"/>
              <w:jc w:val="left"/>
              <w:rPr>
                <w:rFonts w:hint="eastAsia" w:ascii="仿宋_GB2312" w:hAnsi="仿宋_GB2312"/>
                <w:szCs w:val="24"/>
              </w:rPr>
            </w:pPr>
            <w:r>
              <w:rPr>
                <w:rFonts w:hint="eastAsia" w:ascii="仿宋_GB2312" w:hAnsi="仿宋_GB2312"/>
                <w:szCs w:val="24"/>
              </w:rPr>
              <w:t>综合服务区：区内可兼容居住用地、公共管理与公共服务用地、商业服务业用地、交通运输用地、公用设施用地和绿地与开敞空间用地。</w:t>
            </w:r>
          </w:p>
          <w:p w14:paraId="4ABB3616">
            <w:pPr>
              <w:spacing w:line="276" w:lineRule="auto"/>
              <w:jc w:val="left"/>
              <w:rPr>
                <w:rFonts w:hint="eastAsia" w:ascii="仿宋_GB2312" w:hAnsi="仿宋_GB2312"/>
                <w:szCs w:val="24"/>
              </w:rPr>
            </w:pPr>
            <w:r>
              <w:rPr>
                <w:rFonts w:hint="eastAsia" w:ascii="仿宋_GB2312" w:hAnsi="仿宋_GB2312"/>
                <w:szCs w:val="24"/>
              </w:rPr>
              <w:t>商业商务区：区内可兼容居住用地、商业服务业用地、交通运输用地、公用设施用地和绿地与开敞空间用地。</w:t>
            </w:r>
          </w:p>
          <w:p w14:paraId="0B16B586">
            <w:pPr>
              <w:spacing w:line="276" w:lineRule="auto"/>
              <w:jc w:val="left"/>
              <w:rPr>
                <w:rFonts w:hint="eastAsia" w:ascii="仿宋_GB2312" w:hAnsi="仿宋_GB2312"/>
                <w:szCs w:val="24"/>
              </w:rPr>
            </w:pPr>
            <w:r>
              <w:rPr>
                <w:rFonts w:hint="eastAsia" w:ascii="仿宋_GB2312" w:hAnsi="仿宋_GB2312"/>
                <w:szCs w:val="24"/>
              </w:rPr>
              <w:t>工业发展区：区内可兼容商业服务业用地、工矿用地、仓储用地、交通运输用地、公用设施用地和绿地与开敞空间用地。</w:t>
            </w:r>
          </w:p>
          <w:p w14:paraId="013E8CC2">
            <w:pPr>
              <w:spacing w:line="276" w:lineRule="auto"/>
              <w:jc w:val="left"/>
              <w:rPr>
                <w:rFonts w:hint="eastAsia" w:ascii="仿宋_GB2312" w:hAnsi="仿宋_GB2312"/>
                <w:szCs w:val="24"/>
              </w:rPr>
            </w:pPr>
            <w:r>
              <w:rPr>
                <w:rFonts w:hint="eastAsia" w:ascii="仿宋_GB2312" w:hAnsi="仿宋_GB2312"/>
                <w:szCs w:val="24"/>
              </w:rPr>
              <w:t>绿地休闲区：区内可兼容商业服务业用地、交通运输用地、公用设施用地和绿地与开敞空间用地。</w:t>
            </w:r>
          </w:p>
        </w:tc>
      </w:tr>
    </w:tbl>
    <w:p w14:paraId="453CA008">
      <w:pPr>
        <w:pStyle w:val="4"/>
        <w:bidi w:val="0"/>
        <w:rPr>
          <w:rFonts w:hint="eastAsia"/>
        </w:rPr>
      </w:pPr>
      <w:r>
        <w:rPr>
          <w:rFonts w:hint="eastAsia"/>
        </w:rPr>
        <w:t>矿产能源发展区</w:t>
      </w:r>
    </w:p>
    <w:p w14:paraId="41D43E94">
      <w:pPr>
        <w:rPr>
          <w:lang w:bidi="ar"/>
        </w:rPr>
      </w:pPr>
      <w:r>
        <w:rPr>
          <w:rFonts w:hint="eastAsia"/>
          <w:lang w:bidi="ar"/>
        </w:rPr>
        <w:t>矿产能源发展区内土地主要用于矿产资源开发，对进入区内的工业项目要严格审查，限制污染严重的工业，以保证本区生态环境不被破坏</w:t>
      </w:r>
      <w:r>
        <w:rPr>
          <w:rFonts w:hint="eastAsia"/>
          <w:lang w:eastAsia="zh-CN" w:bidi="ar"/>
        </w:rPr>
        <w:t>，</w:t>
      </w:r>
      <w:r>
        <w:rPr>
          <w:rFonts w:hint="eastAsia"/>
        </w:rPr>
        <w:t>区域面积83.38 公顷，</w:t>
      </w:r>
      <w:r>
        <w:t>占全域空间的</w:t>
      </w:r>
      <w:r>
        <w:rPr>
          <w:rFonts w:hint="eastAsia"/>
        </w:rPr>
        <w:t>0.2</w:t>
      </w:r>
      <w:r>
        <w:rPr>
          <w:rFonts w:hint="eastAsia"/>
          <w:lang w:val="en-US" w:eastAsia="zh-CN"/>
        </w:rPr>
        <w:t>7</w:t>
      </w:r>
      <w:r>
        <w:rPr>
          <w:rFonts w:hint="eastAsia"/>
        </w:rPr>
        <w:t>%</w:t>
      </w:r>
      <w:r>
        <w:rPr>
          <w:rFonts w:hint="eastAsia"/>
          <w:lang w:bidi="ar"/>
        </w:rPr>
        <w:t>。矿产能源发展区内建设应优先利用现有低效建设用地、闲置地和废弃地。矿产能源发展区内因生产建设挖损、塌陷、压占的土地应及时复垦或进行生态修复。</w:t>
      </w:r>
    </w:p>
    <w:p w14:paraId="06718E48">
      <w:pPr>
        <w:pStyle w:val="3"/>
        <w:bidi w:val="0"/>
      </w:pPr>
      <w:bookmarkStart w:id="33" w:name="_Toc31266"/>
      <w:bookmarkStart w:id="34" w:name="_Toc152937194"/>
      <w:bookmarkStart w:id="35" w:name="_Toc30769"/>
      <w:r>
        <w:rPr>
          <w:rFonts w:hint="eastAsia"/>
        </w:rPr>
        <w:t>国土空间功能结构优化</w:t>
      </w:r>
      <w:bookmarkEnd w:id="33"/>
      <w:bookmarkEnd w:id="34"/>
      <w:bookmarkEnd w:id="35"/>
    </w:p>
    <w:p w14:paraId="4D6C23D1">
      <w:pPr>
        <w:rPr>
          <w:rFonts w:hint="eastAsia"/>
          <w:lang w:bidi="ar"/>
        </w:rPr>
      </w:pPr>
      <w:r>
        <w:rPr>
          <w:rFonts w:hint="eastAsia"/>
          <w:lang w:bidi="ar"/>
        </w:rPr>
        <w:t>严格落实县级国土空间总体规划的约束性指标要求，加强全域土地用途管制，统筹国土空间用途结构优化。</w:t>
      </w:r>
    </w:p>
    <w:p w14:paraId="0E11F526">
      <w:pPr>
        <w:keepNext w:val="0"/>
        <w:keepLines w:val="0"/>
        <w:pageBreakBefore w:val="0"/>
        <w:widowControl w:val="0"/>
        <w:kinsoku/>
        <w:wordWrap/>
        <w:overflowPunct/>
        <w:topLinePunct w:val="0"/>
        <w:autoSpaceDE/>
        <w:autoSpaceDN/>
        <w:bidi w:val="0"/>
        <w:adjustRightInd w:val="0"/>
        <w:snapToGrid w:val="0"/>
        <w:spacing w:after="157" w:afterLines="50" w:line="600" w:lineRule="atLeast"/>
        <w:ind w:firstLine="0" w:firstLineChars="0"/>
        <w:jc w:val="center"/>
        <w:textAlignment w:val="auto"/>
        <w:outlineLvl w:val="9"/>
        <w:rPr>
          <w:rFonts w:hint="default" w:ascii="仿宋_GB2312" w:hAnsi="仿宋_GB2312" w:eastAsia="仿宋_GB2312"/>
          <w:szCs w:val="24"/>
          <w:lang w:val="en-US" w:eastAsia="zh-CN"/>
        </w:rPr>
      </w:pPr>
      <w:r>
        <w:rPr>
          <w:rFonts w:hint="eastAsia" w:eastAsia="黑体" w:cs="Times New Roman"/>
          <w:sz w:val="32"/>
          <w:szCs w:val="22"/>
          <w:u w:val="none"/>
          <w:lang w:val="en-US" w:eastAsia="zh-CN"/>
        </w:rPr>
        <w:t>表3.2国土空间功能结构调整表</w:t>
      </w:r>
    </w:p>
    <w:tbl>
      <w:tblPr>
        <w:tblStyle w:val="12"/>
        <w:tblW w:w="8599" w:type="dxa"/>
        <w:tblInd w:w="93" w:type="dxa"/>
        <w:tblLayout w:type="autofit"/>
        <w:tblCellMar>
          <w:top w:w="0" w:type="dxa"/>
          <w:left w:w="108" w:type="dxa"/>
          <w:bottom w:w="0" w:type="dxa"/>
          <w:right w:w="108" w:type="dxa"/>
        </w:tblCellMar>
      </w:tblPr>
      <w:tblGrid>
        <w:gridCol w:w="958"/>
        <w:gridCol w:w="1568"/>
        <w:gridCol w:w="2125"/>
        <w:gridCol w:w="1823"/>
        <w:gridCol w:w="2125"/>
      </w:tblGrid>
      <w:tr w14:paraId="2A29C270">
        <w:tblPrEx>
          <w:tblCellMar>
            <w:top w:w="0" w:type="dxa"/>
            <w:left w:w="108" w:type="dxa"/>
            <w:bottom w:w="0" w:type="dxa"/>
            <w:right w:w="108" w:type="dxa"/>
          </w:tblCellMar>
        </w:tblPrEx>
        <w:trPr>
          <w:trHeight w:val="527" w:hRule="atLeast"/>
        </w:trPr>
        <w:tc>
          <w:tcPr>
            <w:tcW w:w="2526" w:type="dxa"/>
            <w:gridSpan w:val="2"/>
            <w:vMerge w:val="restart"/>
            <w:tcBorders>
              <w:top w:val="single" w:color="000000" w:sz="4" w:space="0"/>
              <w:left w:val="single" w:color="000000" w:sz="4" w:space="0"/>
              <w:bottom w:val="single" w:color="000000" w:sz="4" w:space="0"/>
              <w:right w:val="single" w:color="000000" w:sz="4" w:space="0"/>
            </w:tcBorders>
            <w:vAlign w:val="center"/>
          </w:tcPr>
          <w:p w14:paraId="7A1A643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用地类型</w:t>
            </w:r>
          </w:p>
        </w:tc>
        <w:tc>
          <w:tcPr>
            <w:tcW w:w="3948" w:type="dxa"/>
            <w:gridSpan w:val="2"/>
            <w:tcBorders>
              <w:top w:val="single" w:color="000000" w:sz="4" w:space="0"/>
              <w:left w:val="single" w:color="000000" w:sz="4" w:space="0"/>
              <w:bottom w:val="single" w:color="000000" w:sz="4" w:space="0"/>
              <w:right w:val="single" w:color="000000" w:sz="4" w:space="0"/>
            </w:tcBorders>
            <w:vAlign w:val="center"/>
          </w:tcPr>
          <w:p w14:paraId="1E07890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规划基期年</w:t>
            </w:r>
          </w:p>
        </w:tc>
        <w:tc>
          <w:tcPr>
            <w:tcW w:w="2125" w:type="dxa"/>
            <w:tcBorders>
              <w:top w:val="single" w:color="000000" w:sz="4" w:space="0"/>
              <w:left w:val="single" w:color="000000" w:sz="4" w:space="0"/>
              <w:bottom w:val="single" w:color="000000" w:sz="4" w:space="0"/>
              <w:right w:val="single" w:color="000000" w:sz="4" w:space="0"/>
            </w:tcBorders>
            <w:vAlign w:val="center"/>
          </w:tcPr>
          <w:p w14:paraId="022F6A5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规划目标年</w:t>
            </w:r>
          </w:p>
        </w:tc>
      </w:tr>
      <w:tr w14:paraId="0A070272">
        <w:tblPrEx>
          <w:tblCellMar>
            <w:top w:w="0" w:type="dxa"/>
            <w:left w:w="108" w:type="dxa"/>
            <w:bottom w:w="0" w:type="dxa"/>
            <w:right w:w="108" w:type="dxa"/>
          </w:tblCellMar>
        </w:tblPrEx>
        <w:trPr>
          <w:trHeight w:val="362" w:hRule="atLeast"/>
        </w:trPr>
        <w:tc>
          <w:tcPr>
            <w:tcW w:w="2526" w:type="dxa"/>
            <w:gridSpan w:val="2"/>
            <w:vMerge w:val="continue"/>
            <w:tcBorders>
              <w:top w:val="single" w:color="000000" w:sz="4" w:space="0"/>
              <w:left w:val="single" w:color="000000" w:sz="4" w:space="0"/>
              <w:bottom w:val="single" w:color="000000" w:sz="4" w:space="0"/>
              <w:right w:val="single" w:color="000000" w:sz="4" w:space="0"/>
            </w:tcBorders>
            <w:vAlign w:val="center"/>
          </w:tcPr>
          <w:p w14:paraId="5C13BB6B">
            <w:pPr>
              <w:widowControl w:val="0"/>
              <w:adjustRightInd/>
              <w:snapToGrid/>
              <w:spacing w:line="240" w:lineRule="auto"/>
              <w:ind w:firstLine="0" w:firstLineChars="0"/>
              <w:jc w:val="center"/>
              <w:rPr>
                <w:rFonts w:ascii="仿宋" w:eastAsia="仿宋"/>
                <w:kern w:val="0"/>
                <w:sz w:val="21"/>
                <w:lang w:bidi="zh-CN"/>
              </w:rPr>
            </w:pPr>
          </w:p>
        </w:tc>
        <w:tc>
          <w:tcPr>
            <w:tcW w:w="2125" w:type="dxa"/>
            <w:tcBorders>
              <w:top w:val="single" w:color="000000" w:sz="4" w:space="0"/>
              <w:left w:val="single" w:color="000000" w:sz="4" w:space="0"/>
              <w:bottom w:val="single" w:color="000000" w:sz="4" w:space="0"/>
              <w:right w:val="single" w:color="000000" w:sz="4" w:space="0"/>
            </w:tcBorders>
            <w:vAlign w:val="center"/>
          </w:tcPr>
          <w:p w14:paraId="3B2186C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面积（公顷）</w:t>
            </w:r>
          </w:p>
        </w:tc>
        <w:tc>
          <w:tcPr>
            <w:tcW w:w="1823" w:type="dxa"/>
            <w:tcBorders>
              <w:top w:val="single" w:color="000000" w:sz="4" w:space="0"/>
              <w:left w:val="single" w:color="000000" w:sz="4" w:space="0"/>
              <w:bottom w:val="single" w:color="000000" w:sz="4" w:space="0"/>
              <w:right w:val="single" w:color="000000" w:sz="4" w:space="0"/>
            </w:tcBorders>
            <w:vAlign w:val="center"/>
          </w:tcPr>
          <w:p w14:paraId="2F459C53">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比重（%）</w:t>
            </w:r>
          </w:p>
        </w:tc>
        <w:tc>
          <w:tcPr>
            <w:tcW w:w="2125" w:type="dxa"/>
            <w:tcBorders>
              <w:top w:val="single" w:color="000000" w:sz="4" w:space="0"/>
              <w:left w:val="single" w:color="000000" w:sz="4" w:space="0"/>
              <w:bottom w:val="single" w:color="000000" w:sz="4" w:space="0"/>
              <w:right w:val="single" w:color="000000" w:sz="4" w:space="0"/>
            </w:tcBorders>
            <w:vAlign w:val="center"/>
          </w:tcPr>
          <w:p w14:paraId="5D5B7F99">
            <w:pPr>
              <w:widowControl w:val="0"/>
              <w:adjustRightInd/>
              <w:snapToGrid/>
              <w:spacing w:line="240" w:lineRule="auto"/>
              <w:ind w:firstLine="0" w:firstLineChars="0"/>
              <w:jc w:val="center"/>
              <w:rPr>
                <w:rFonts w:ascii="仿宋" w:eastAsia="仿宋"/>
                <w:kern w:val="0"/>
                <w:sz w:val="21"/>
                <w:lang w:bidi="zh-CN"/>
              </w:rPr>
            </w:pPr>
          </w:p>
        </w:tc>
      </w:tr>
      <w:tr w14:paraId="622FDDD9">
        <w:tblPrEx>
          <w:tblCellMar>
            <w:top w:w="0" w:type="dxa"/>
            <w:left w:w="108" w:type="dxa"/>
            <w:bottom w:w="0" w:type="dxa"/>
            <w:right w:w="108" w:type="dxa"/>
          </w:tblCellMar>
        </w:tblPrEx>
        <w:trPr>
          <w:trHeight w:val="362" w:hRule="atLeast"/>
        </w:trPr>
        <w:tc>
          <w:tcPr>
            <w:tcW w:w="2526" w:type="dxa"/>
            <w:gridSpan w:val="2"/>
            <w:tcBorders>
              <w:top w:val="single" w:color="000000" w:sz="4" w:space="0"/>
              <w:left w:val="single" w:color="000000" w:sz="4" w:space="0"/>
              <w:bottom w:val="single" w:color="000000" w:sz="4" w:space="0"/>
              <w:right w:val="single" w:color="000000" w:sz="4" w:space="0"/>
            </w:tcBorders>
            <w:vAlign w:val="center"/>
          </w:tcPr>
          <w:p w14:paraId="7571D26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耕地</w:t>
            </w: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08E3750">
            <w:pPr>
              <w:widowControl w:val="0"/>
              <w:adjustRightInd/>
              <w:snapToGrid/>
              <w:spacing w:line="240" w:lineRule="auto"/>
              <w:ind w:firstLine="0" w:firstLineChars="0"/>
              <w:jc w:val="center"/>
              <w:rPr>
                <w:rFonts w:hint="eastAsia" w:ascii="仿宋" w:eastAsia="仿宋"/>
                <w:sz w:val="21"/>
                <w:szCs w:val="21"/>
                <w:lang w:val="en-US" w:eastAsia="zh-CN"/>
              </w:rPr>
            </w:pPr>
            <w:r>
              <w:rPr>
                <w:rFonts w:hint="default" w:ascii="仿宋" w:eastAsia="仿宋"/>
                <w:sz w:val="21"/>
                <w:szCs w:val="21"/>
                <w:lang w:val="en-US" w:eastAsia="zh-CN"/>
              </w:rPr>
              <w:t xml:space="preserve">2364.74 </w:t>
            </w:r>
          </w:p>
        </w:tc>
        <w:tc>
          <w:tcPr>
            <w:tcW w:w="1823" w:type="dxa"/>
            <w:tcBorders>
              <w:top w:val="single" w:color="000000" w:sz="4" w:space="0"/>
              <w:left w:val="single" w:color="000000" w:sz="4" w:space="0"/>
              <w:bottom w:val="single" w:color="000000" w:sz="4" w:space="0"/>
              <w:right w:val="single" w:color="000000" w:sz="4" w:space="0"/>
            </w:tcBorders>
            <w:vAlign w:val="bottom"/>
          </w:tcPr>
          <w:p w14:paraId="23430153">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7.62</w:t>
            </w:r>
          </w:p>
        </w:tc>
        <w:tc>
          <w:tcPr>
            <w:tcW w:w="2125" w:type="dxa"/>
            <w:tcBorders>
              <w:top w:val="single" w:color="000000" w:sz="4" w:space="0"/>
              <w:left w:val="single" w:color="000000" w:sz="4" w:space="0"/>
              <w:bottom w:val="single" w:color="000000" w:sz="4" w:space="0"/>
              <w:right w:val="single" w:color="000000" w:sz="4" w:space="0"/>
            </w:tcBorders>
            <w:vAlign w:val="center"/>
          </w:tcPr>
          <w:p w14:paraId="47DEAC2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≥2255.59</w:t>
            </w:r>
          </w:p>
        </w:tc>
      </w:tr>
      <w:tr w14:paraId="58FF1015">
        <w:tblPrEx>
          <w:tblCellMar>
            <w:top w:w="0" w:type="dxa"/>
            <w:left w:w="108" w:type="dxa"/>
            <w:bottom w:w="0" w:type="dxa"/>
            <w:right w:w="108" w:type="dxa"/>
          </w:tblCellMar>
        </w:tblPrEx>
        <w:trPr>
          <w:trHeight w:val="362" w:hRule="atLeast"/>
        </w:trPr>
        <w:tc>
          <w:tcPr>
            <w:tcW w:w="2526" w:type="dxa"/>
            <w:gridSpan w:val="2"/>
            <w:tcBorders>
              <w:top w:val="single" w:color="000000" w:sz="4" w:space="0"/>
              <w:left w:val="single" w:color="000000" w:sz="4" w:space="0"/>
              <w:bottom w:val="single" w:color="000000" w:sz="4" w:space="0"/>
              <w:right w:val="single" w:color="000000" w:sz="4" w:space="0"/>
            </w:tcBorders>
            <w:vAlign w:val="center"/>
          </w:tcPr>
          <w:p w14:paraId="4B83E16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园地</w:t>
            </w: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26348AF">
            <w:pPr>
              <w:widowControl w:val="0"/>
              <w:adjustRightInd/>
              <w:snapToGrid/>
              <w:spacing w:line="240" w:lineRule="auto"/>
              <w:ind w:firstLine="0" w:firstLineChars="0"/>
              <w:jc w:val="center"/>
              <w:rPr>
                <w:rFonts w:hint="eastAsia" w:ascii="仿宋" w:eastAsia="仿宋"/>
                <w:sz w:val="21"/>
                <w:szCs w:val="21"/>
                <w:lang w:val="en-US" w:eastAsia="zh-CN"/>
              </w:rPr>
            </w:pPr>
            <w:r>
              <w:rPr>
                <w:rFonts w:hint="default" w:ascii="仿宋" w:eastAsia="仿宋"/>
                <w:sz w:val="21"/>
                <w:szCs w:val="21"/>
                <w:lang w:val="en-US" w:eastAsia="zh-CN"/>
              </w:rPr>
              <w:t xml:space="preserve">115.17 </w:t>
            </w:r>
          </w:p>
        </w:tc>
        <w:tc>
          <w:tcPr>
            <w:tcW w:w="1823" w:type="dxa"/>
            <w:tcBorders>
              <w:top w:val="single" w:color="000000" w:sz="4" w:space="0"/>
              <w:left w:val="single" w:color="000000" w:sz="4" w:space="0"/>
              <w:bottom w:val="single" w:color="000000" w:sz="4" w:space="0"/>
              <w:right w:val="single" w:color="000000" w:sz="4" w:space="0"/>
            </w:tcBorders>
            <w:vAlign w:val="bottom"/>
          </w:tcPr>
          <w:p w14:paraId="54836A6F">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0.37</w:t>
            </w:r>
          </w:p>
        </w:tc>
        <w:tc>
          <w:tcPr>
            <w:tcW w:w="2125" w:type="dxa"/>
            <w:tcBorders>
              <w:top w:val="single" w:color="000000" w:sz="4" w:space="0"/>
              <w:left w:val="single" w:color="000000" w:sz="4" w:space="0"/>
              <w:bottom w:val="single" w:color="000000" w:sz="4" w:space="0"/>
              <w:right w:val="single" w:color="000000" w:sz="4" w:space="0"/>
            </w:tcBorders>
            <w:vAlign w:val="center"/>
          </w:tcPr>
          <w:p w14:paraId="3A04F2F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保持稳定</w:t>
            </w:r>
          </w:p>
        </w:tc>
      </w:tr>
      <w:tr w14:paraId="60290885">
        <w:tblPrEx>
          <w:tblCellMar>
            <w:top w:w="0" w:type="dxa"/>
            <w:left w:w="108" w:type="dxa"/>
            <w:bottom w:w="0" w:type="dxa"/>
            <w:right w:w="108" w:type="dxa"/>
          </w:tblCellMar>
        </w:tblPrEx>
        <w:trPr>
          <w:trHeight w:val="362" w:hRule="atLeast"/>
        </w:trPr>
        <w:tc>
          <w:tcPr>
            <w:tcW w:w="2526" w:type="dxa"/>
            <w:gridSpan w:val="2"/>
            <w:tcBorders>
              <w:top w:val="single" w:color="000000" w:sz="4" w:space="0"/>
              <w:left w:val="single" w:color="000000" w:sz="4" w:space="0"/>
              <w:bottom w:val="single" w:color="000000" w:sz="4" w:space="0"/>
              <w:right w:val="single" w:color="000000" w:sz="4" w:space="0"/>
            </w:tcBorders>
            <w:vAlign w:val="center"/>
          </w:tcPr>
          <w:p w14:paraId="4D89FB2A">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林地</w:t>
            </w: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839B4F">
            <w:pPr>
              <w:widowControl w:val="0"/>
              <w:adjustRightInd/>
              <w:snapToGrid/>
              <w:spacing w:line="240" w:lineRule="auto"/>
              <w:ind w:firstLine="0" w:firstLineChars="0"/>
              <w:jc w:val="center"/>
              <w:rPr>
                <w:rFonts w:hint="eastAsia" w:ascii="仿宋" w:eastAsia="仿宋"/>
                <w:sz w:val="21"/>
                <w:szCs w:val="21"/>
                <w:lang w:val="en-US" w:eastAsia="zh-CN"/>
              </w:rPr>
            </w:pPr>
            <w:r>
              <w:rPr>
                <w:rFonts w:hint="default" w:ascii="仿宋" w:eastAsia="仿宋"/>
                <w:sz w:val="21"/>
                <w:szCs w:val="21"/>
                <w:lang w:val="en-US" w:eastAsia="zh-CN"/>
              </w:rPr>
              <w:t xml:space="preserve">27023.60 </w:t>
            </w:r>
          </w:p>
        </w:tc>
        <w:tc>
          <w:tcPr>
            <w:tcW w:w="1823" w:type="dxa"/>
            <w:tcBorders>
              <w:top w:val="single" w:color="000000" w:sz="4" w:space="0"/>
              <w:left w:val="single" w:color="000000" w:sz="4" w:space="0"/>
              <w:bottom w:val="single" w:color="000000" w:sz="4" w:space="0"/>
              <w:right w:val="single" w:color="000000" w:sz="4" w:space="0"/>
            </w:tcBorders>
            <w:vAlign w:val="bottom"/>
          </w:tcPr>
          <w:p w14:paraId="09590BEE">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87.09</w:t>
            </w:r>
          </w:p>
        </w:tc>
        <w:tc>
          <w:tcPr>
            <w:tcW w:w="2125" w:type="dxa"/>
            <w:tcBorders>
              <w:top w:val="single" w:color="000000" w:sz="4" w:space="0"/>
              <w:left w:val="single" w:color="000000" w:sz="4" w:space="0"/>
              <w:bottom w:val="single" w:color="000000" w:sz="4" w:space="0"/>
              <w:right w:val="single" w:color="000000" w:sz="4" w:space="0"/>
            </w:tcBorders>
            <w:vAlign w:val="center"/>
          </w:tcPr>
          <w:p w14:paraId="5F552803">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eastAsia="仿宋"/>
                <w:sz w:val="21"/>
                <w:szCs w:val="21"/>
              </w:rPr>
            </w:pPr>
            <w:r>
              <w:rPr>
                <w:rFonts w:hint="eastAsia" w:ascii="仿宋" w:eastAsia="仿宋"/>
                <w:sz w:val="21"/>
                <w:szCs w:val="21"/>
              </w:rPr>
              <w:t>保持稳定</w:t>
            </w:r>
          </w:p>
        </w:tc>
      </w:tr>
      <w:tr w14:paraId="5A6DB370">
        <w:tblPrEx>
          <w:tblCellMar>
            <w:top w:w="0" w:type="dxa"/>
            <w:left w:w="108" w:type="dxa"/>
            <w:bottom w:w="0" w:type="dxa"/>
            <w:right w:w="108" w:type="dxa"/>
          </w:tblCellMar>
        </w:tblPrEx>
        <w:trPr>
          <w:trHeight w:val="362" w:hRule="atLeast"/>
        </w:trPr>
        <w:tc>
          <w:tcPr>
            <w:tcW w:w="2526" w:type="dxa"/>
            <w:gridSpan w:val="2"/>
            <w:tcBorders>
              <w:top w:val="single" w:color="000000" w:sz="4" w:space="0"/>
              <w:left w:val="single" w:color="000000" w:sz="4" w:space="0"/>
              <w:bottom w:val="single" w:color="000000" w:sz="4" w:space="0"/>
              <w:right w:val="single" w:color="000000" w:sz="4" w:space="0"/>
            </w:tcBorders>
            <w:vAlign w:val="center"/>
          </w:tcPr>
          <w:p w14:paraId="30161A6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草地</w:t>
            </w: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D1EE0A0">
            <w:pPr>
              <w:widowControl w:val="0"/>
              <w:adjustRightInd/>
              <w:snapToGrid/>
              <w:spacing w:line="240" w:lineRule="auto"/>
              <w:ind w:firstLine="0" w:firstLineChars="0"/>
              <w:jc w:val="center"/>
              <w:rPr>
                <w:rFonts w:hint="eastAsia" w:ascii="仿宋" w:eastAsia="仿宋"/>
                <w:sz w:val="21"/>
                <w:szCs w:val="21"/>
                <w:lang w:val="en-US" w:eastAsia="zh-CN"/>
              </w:rPr>
            </w:pPr>
            <w:r>
              <w:rPr>
                <w:rFonts w:hint="default" w:ascii="仿宋" w:eastAsia="仿宋"/>
                <w:sz w:val="21"/>
                <w:szCs w:val="21"/>
                <w:lang w:val="en-US" w:eastAsia="zh-CN"/>
              </w:rPr>
              <w:t xml:space="preserve">103.36 </w:t>
            </w:r>
          </w:p>
        </w:tc>
        <w:tc>
          <w:tcPr>
            <w:tcW w:w="1823" w:type="dxa"/>
            <w:tcBorders>
              <w:top w:val="single" w:color="000000" w:sz="4" w:space="0"/>
              <w:left w:val="single" w:color="000000" w:sz="4" w:space="0"/>
              <w:bottom w:val="single" w:color="000000" w:sz="4" w:space="0"/>
              <w:right w:val="single" w:color="000000" w:sz="4" w:space="0"/>
            </w:tcBorders>
            <w:vAlign w:val="bottom"/>
          </w:tcPr>
          <w:p w14:paraId="28154431">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0.33</w:t>
            </w:r>
          </w:p>
        </w:tc>
        <w:tc>
          <w:tcPr>
            <w:tcW w:w="2125" w:type="dxa"/>
            <w:tcBorders>
              <w:top w:val="single" w:color="000000" w:sz="4" w:space="0"/>
              <w:left w:val="single" w:color="000000" w:sz="4" w:space="0"/>
              <w:bottom w:val="single" w:color="000000" w:sz="4" w:space="0"/>
              <w:right w:val="single" w:color="000000" w:sz="4" w:space="0"/>
            </w:tcBorders>
            <w:vAlign w:val="center"/>
          </w:tcPr>
          <w:p w14:paraId="07B61DA9">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ascii="仿宋" w:eastAsia="仿宋"/>
                <w:sz w:val="21"/>
                <w:szCs w:val="21"/>
              </w:rPr>
            </w:pPr>
            <w:r>
              <w:rPr>
                <w:rFonts w:hint="eastAsia" w:ascii="仿宋" w:eastAsia="仿宋"/>
                <w:sz w:val="21"/>
                <w:szCs w:val="21"/>
              </w:rPr>
              <w:t>保持稳定</w:t>
            </w:r>
          </w:p>
        </w:tc>
      </w:tr>
      <w:tr w14:paraId="2E1DBDC2">
        <w:tblPrEx>
          <w:tblCellMar>
            <w:top w:w="0" w:type="dxa"/>
            <w:left w:w="108" w:type="dxa"/>
            <w:bottom w:w="0" w:type="dxa"/>
            <w:right w:w="108" w:type="dxa"/>
          </w:tblCellMar>
        </w:tblPrEx>
        <w:trPr>
          <w:trHeight w:val="362" w:hRule="atLeast"/>
        </w:trPr>
        <w:tc>
          <w:tcPr>
            <w:tcW w:w="2526" w:type="dxa"/>
            <w:gridSpan w:val="2"/>
            <w:tcBorders>
              <w:top w:val="single" w:color="000000" w:sz="4" w:space="0"/>
              <w:left w:val="single" w:color="000000" w:sz="4" w:space="0"/>
              <w:bottom w:val="single" w:color="000000" w:sz="4" w:space="0"/>
              <w:right w:val="single" w:color="000000" w:sz="4" w:space="0"/>
            </w:tcBorders>
            <w:vAlign w:val="center"/>
          </w:tcPr>
          <w:p w14:paraId="1311529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湿地</w:t>
            </w: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3AB9DA7">
            <w:pPr>
              <w:widowControl w:val="0"/>
              <w:adjustRightInd/>
              <w:snapToGrid/>
              <w:spacing w:line="240" w:lineRule="auto"/>
              <w:ind w:firstLine="0" w:firstLineChars="0"/>
              <w:jc w:val="center"/>
              <w:rPr>
                <w:rFonts w:hint="eastAsia" w:ascii="仿宋" w:eastAsia="仿宋"/>
                <w:sz w:val="21"/>
                <w:szCs w:val="21"/>
                <w:lang w:val="en-US" w:eastAsia="zh-CN"/>
              </w:rPr>
            </w:pPr>
            <w:r>
              <w:rPr>
                <w:rFonts w:hint="default" w:ascii="仿宋" w:eastAsia="仿宋"/>
                <w:sz w:val="21"/>
                <w:szCs w:val="21"/>
                <w:lang w:val="en-US" w:eastAsia="zh-CN"/>
              </w:rPr>
              <w:t xml:space="preserve">12.86 </w:t>
            </w:r>
          </w:p>
        </w:tc>
        <w:tc>
          <w:tcPr>
            <w:tcW w:w="1823" w:type="dxa"/>
            <w:tcBorders>
              <w:top w:val="single" w:color="000000" w:sz="4" w:space="0"/>
              <w:left w:val="single" w:color="000000" w:sz="4" w:space="0"/>
              <w:bottom w:val="single" w:color="000000" w:sz="4" w:space="0"/>
              <w:right w:val="single" w:color="000000" w:sz="4" w:space="0"/>
            </w:tcBorders>
            <w:vAlign w:val="bottom"/>
          </w:tcPr>
          <w:p w14:paraId="4B7C49BB">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0.04</w:t>
            </w:r>
          </w:p>
        </w:tc>
        <w:tc>
          <w:tcPr>
            <w:tcW w:w="2125" w:type="dxa"/>
            <w:tcBorders>
              <w:top w:val="single" w:color="000000" w:sz="4" w:space="0"/>
              <w:left w:val="single" w:color="000000" w:sz="4" w:space="0"/>
              <w:bottom w:val="single" w:color="000000" w:sz="4" w:space="0"/>
              <w:right w:val="single" w:color="000000" w:sz="4" w:space="0"/>
            </w:tcBorders>
            <w:vAlign w:val="center"/>
          </w:tcPr>
          <w:p w14:paraId="448171D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保持稳定</w:t>
            </w:r>
          </w:p>
        </w:tc>
      </w:tr>
      <w:tr w14:paraId="0D7A7BD5">
        <w:tblPrEx>
          <w:tblCellMar>
            <w:top w:w="0" w:type="dxa"/>
            <w:left w:w="108" w:type="dxa"/>
            <w:bottom w:w="0" w:type="dxa"/>
            <w:right w:w="108" w:type="dxa"/>
          </w:tblCellMar>
        </w:tblPrEx>
        <w:trPr>
          <w:trHeight w:val="527" w:hRule="atLeast"/>
        </w:trPr>
        <w:tc>
          <w:tcPr>
            <w:tcW w:w="2526" w:type="dxa"/>
            <w:gridSpan w:val="2"/>
            <w:tcBorders>
              <w:top w:val="single" w:color="000000" w:sz="4" w:space="0"/>
              <w:left w:val="single" w:color="000000" w:sz="4" w:space="0"/>
              <w:bottom w:val="single" w:color="000000" w:sz="4" w:space="0"/>
              <w:right w:val="single" w:color="000000" w:sz="4" w:space="0"/>
            </w:tcBorders>
            <w:vAlign w:val="center"/>
          </w:tcPr>
          <w:p w14:paraId="005BAA3F">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农业设施建设用地</w:t>
            </w: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1B1790B">
            <w:pPr>
              <w:widowControl w:val="0"/>
              <w:adjustRightInd/>
              <w:snapToGrid/>
              <w:spacing w:line="240" w:lineRule="auto"/>
              <w:ind w:firstLine="0" w:firstLineChars="0"/>
              <w:jc w:val="center"/>
              <w:rPr>
                <w:rFonts w:hint="eastAsia" w:ascii="仿宋" w:eastAsia="仿宋"/>
                <w:sz w:val="21"/>
                <w:szCs w:val="21"/>
                <w:lang w:val="en-US" w:eastAsia="zh-CN"/>
              </w:rPr>
            </w:pPr>
            <w:r>
              <w:rPr>
                <w:rFonts w:hint="default" w:ascii="仿宋" w:eastAsia="仿宋"/>
                <w:sz w:val="21"/>
                <w:szCs w:val="21"/>
                <w:lang w:val="en-US" w:eastAsia="zh-CN"/>
              </w:rPr>
              <w:t xml:space="preserve">132.75 </w:t>
            </w:r>
          </w:p>
        </w:tc>
        <w:tc>
          <w:tcPr>
            <w:tcW w:w="1823" w:type="dxa"/>
            <w:tcBorders>
              <w:top w:val="single" w:color="000000" w:sz="4" w:space="0"/>
              <w:left w:val="single" w:color="000000" w:sz="4" w:space="0"/>
              <w:bottom w:val="single" w:color="000000" w:sz="4" w:space="0"/>
              <w:right w:val="single" w:color="000000" w:sz="4" w:space="0"/>
            </w:tcBorders>
            <w:vAlign w:val="bottom"/>
          </w:tcPr>
          <w:p w14:paraId="7A66F6A5">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0.43</w:t>
            </w:r>
          </w:p>
        </w:tc>
        <w:tc>
          <w:tcPr>
            <w:tcW w:w="2125" w:type="dxa"/>
            <w:tcBorders>
              <w:top w:val="single" w:color="000000" w:sz="4" w:space="0"/>
              <w:left w:val="single" w:color="000000" w:sz="4" w:space="0"/>
              <w:bottom w:val="single" w:color="000000" w:sz="4" w:space="0"/>
              <w:right w:val="single" w:color="000000" w:sz="4" w:space="0"/>
            </w:tcBorders>
            <w:vAlign w:val="center"/>
          </w:tcPr>
          <w:p w14:paraId="7FAD4EB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保持稳定</w:t>
            </w:r>
          </w:p>
        </w:tc>
      </w:tr>
      <w:tr w14:paraId="54698820">
        <w:tblPrEx>
          <w:tblCellMar>
            <w:top w:w="0" w:type="dxa"/>
            <w:left w:w="108" w:type="dxa"/>
            <w:bottom w:w="0" w:type="dxa"/>
            <w:right w:w="108" w:type="dxa"/>
          </w:tblCellMar>
        </w:tblPrEx>
        <w:trPr>
          <w:trHeight w:val="527" w:hRule="atLeast"/>
        </w:trPr>
        <w:tc>
          <w:tcPr>
            <w:tcW w:w="958" w:type="dxa"/>
            <w:vMerge w:val="restart"/>
            <w:tcBorders>
              <w:top w:val="single" w:color="000000" w:sz="4" w:space="0"/>
              <w:left w:val="single" w:color="000000" w:sz="4" w:space="0"/>
              <w:bottom w:val="single" w:color="000000" w:sz="4" w:space="0"/>
              <w:right w:val="single" w:color="000000" w:sz="4" w:space="0"/>
            </w:tcBorders>
            <w:vAlign w:val="center"/>
          </w:tcPr>
          <w:p w14:paraId="41D9D5DC">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城乡建设用地</w:t>
            </w:r>
          </w:p>
        </w:tc>
        <w:tc>
          <w:tcPr>
            <w:tcW w:w="1568" w:type="dxa"/>
            <w:tcBorders>
              <w:top w:val="single" w:color="000000" w:sz="4" w:space="0"/>
              <w:left w:val="single" w:color="000000" w:sz="4" w:space="0"/>
              <w:bottom w:val="single" w:color="000000" w:sz="4" w:space="0"/>
              <w:right w:val="single" w:color="000000" w:sz="4" w:space="0"/>
            </w:tcBorders>
            <w:vAlign w:val="center"/>
          </w:tcPr>
          <w:p w14:paraId="492E8288">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城镇建设用地</w:t>
            </w:r>
          </w:p>
        </w:tc>
        <w:tc>
          <w:tcPr>
            <w:tcW w:w="2125" w:type="dxa"/>
            <w:tcBorders>
              <w:top w:val="single" w:color="000000" w:sz="4" w:space="0"/>
              <w:left w:val="single" w:color="000000" w:sz="4" w:space="0"/>
              <w:bottom w:val="single" w:color="000000" w:sz="4" w:space="0"/>
              <w:right w:val="single" w:color="000000" w:sz="4" w:space="0"/>
            </w:tcBorders>
            <w:vAlign w:val="center"/>
          </w:tcPr>
          <w:p w14:paraId="0E4876BB">
            <w:pPr>
              <w:widowControl w:val="0"/>
              <w:adjustRightInd/>
              <w:snapToGrid/>
              <w:spacing w:line="240" w:lineRule="auto"/>
              <w:ind w:firstLine="0" w:firstLineChars="0"/>
              <w:jc w:val="center"/>
              <w:rPr>
                <w:rFonts w:hint="eastAsia" w:ascii="仿宋" w:eastAsia="仿宋"/>
                <w:sz w:val="21"/>
                <w:szCs w:val="21"/>
              </w:rPr>
            </w:pPr>
            <w:r>
              <w:rPr>
                <w:rFonts w:hint="eastAsia" w:ascii="仿宋" w:eastAsia="仿宋"/>
                <w:sz w:val="21"/>
                <w:szCs w:val="21"/>
              </w:rPr>
              <w:t>86.67</w:t>
            </w:r>
          </w:p>
        </w:tc>
        <w:tc>
          <w:tcPr>
            <w:tcW w:w="1823" w:type="dxa"/>
            <w:tcBorders>
              <w:top w:val="single" w:color="000000" w:sz="4" w:space="0"/>
              <w:left w:val="single" w:color="000000" w:sz="4" w:space="0"/>
              <w:bottom w:val="single" w:color="000000" w:sz="4" w:space="0"/>
              <w:right w:val="single" w:color="000000" w:sz="4" w:space="0"/>
            </w:tcBorders>
            <w:vAlign w:val="bottom"/>
          </w:tcPr>
          <w:p w14:paraId="0DFDCE94">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0.28</w:t>
            </w:r>
          </w:p>
        </w:tc>
        <w:tc>
          <w:tcPr>
            <w:tcW w:w="2125" w:type="dxa"/>
            <w:tcBorders>
              <w:top w:val="single" w:color="000000" w:sz="4" w:space="0"/>
              <w:left w:val="single" w:color="000000" w:sz="4" w:space="0"/>
              <w:bottom w:val="single" w:color="000000" w:sz="4" w:space="0"/>
              <w:right w:val="single" w:color="000000" w:sz="4" w:space="0"/>
            </w:tcBorders>
            <w:vAlign w:val="center"/>
          </w:tcPr>
          <w:p w14:paraId="4417E82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持续增加</w:t>
            </w:r>
          </w:p>
        </w:tc>
      </w:tr>
      <w:tr w14:paraId="293ACD75">
        <w:tblPrEx>
          <w:tblCellMar>
            <w:top w:w="0" w:type="dxa"/>
            <w:left w:w="108" w:type="dxa"/>
            <w:bottom w:w="0" w:type="dxa"/>
            <w:right w:w="108" w:type="dxa"/>
          </w:tblCellMar>
        </w:tblPrEx>
        <w:trPr>
          <w:trHeight w:val="527" w:hRule="atLeast"/>
        </w:trPr>
        <w:tc>
          <w:tcPr>
            <w:tcW w:w="958" w:type="dxa"/>
            <w:vMerge w:val="continue"/>
            <w:tcBorders>
              <w:top w:val="single" w:color="000000" w:sz="4" w:space="0"/>
              <w:left w:val="single" w:color="000000" w:sz="4" w:space="0"/>
              <w:bottom w:val="single" w:color="000000" w:sz="4" w:space="0"/>
              <w:right w:val="single" w:color="000000" w:sz="4" w:space="0"/>
            </w:tcBorders>
            <w:vAlign w:val="center"/>
          </w:tcPr>
          <w:p w14:paraId="06853619">
            <w:pPr>
              <w:widowControl w:val="0"/>
              <w:adjustRightInd/>
              <w:snapToGrid/>
              <w:spacing w:line="240" w:lineRule="auto"/>
              <w:ind w:firstLine="0" w:firstLineChars="0"/>
              <w:jc w:val="center"/>
              <w:rPr>
                <w:rFonts w:ascii="仿宋" w:eastAsia="仿宋"/>
                <w:kern w:val="0"/>
                <w:sz w:val="21"/>
                <w:lang w:bidi="zh-CN"/>
              </w:rPr>
            </w:pPr>
          </w:p>
        </w:tc>
        <w:tc>
          <w:tcPr>
            <w:tcW w:w="1568" w:type="dxa"/>
            <w:tcBorders>
              <w:top w:val="single" w:color="000000" w:sz="4" w:space="0"/>
              <w:left w:val="single" w:color="000000" w:sz="4" w:space="0"/>
              <w:bottom w:val="single" w:color="000000" w:sz="4" w:space="0"/>
              <w:right w:val="single" w:color="000000" w:sz="4" w:space="0"/>
            </w:tcBorders>
            <w:vAlign w:val="center"/>
          </w:tcPr>
          <w:p w14:paraId="49DB4099">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村庄建设用地</w:t>
            </w:r>
          </w:p>
        </w:tc>
        <w:tc>
          <w:tcPr>
            <w:tcW w:w="2125" w:type="dxa"/>
            <w:tcBorders>
              <w:top w:val="single" w:color="000000" w:sz="4" w:space="0"/>
              <w:left w:val="single" w:color="000000" w:sz="4" w:space="0"/>
              <w:bottom w:val="single" w:color="000000" w:sz="4" w:space="0"/>
              <w:right w:val="single" w:color="000000" w:sz="4" w:space="0"/>
            </w:tcBorders>
            <w:vAlign w:val="center"/>
          </w:tcPr>
          <w:p w14:paraId="03636D89">
            <w:pPr>
              <w:widowControl w:val="0"/>
              <w:adjustRightInd/>
              <w:snapToGrid/>
              <w:spacing w:line="240" w:lineRule="auto"/>
              <w:ind w:firstLine="0" w:firstLineChars="0"/>
              <w:jc w:val="center"/>
              <w:rPr>
                <w:rFonts w:hint="eastAsia" w:ascii="仿宋" w:eastAsia="仿宋"/>
                <w:sz w:val="21"/>
                <w:szCs w:val="21"/>
              </w:rPr>
            </w:pPr>
            <w:r>
              <w:rPr>
                <w:rFonts w:hint="eastAsia" w:ascii="仿宋" w:eastAsia="仿宋"/>
                <w:sz w:val="21"/>
                <w:szCs w:val="21"/>
              </w:rPr>
              <w:t>273.03</w:t>
            </w:r>
          </w:p>
        </w:tc>
        <w:tc>
          <w:tcPr>
            <w:tcW w:w="1823" w:type="dxa"/>
            <w:tcBorders>
              <w:top w:val="single" w:color="000000" w:sz="4" w:space="0"/>
              <w:left w:val="single" w:color="000000" w:sz="4" w:space="0"/>
              <w:bottom w:val="single" w:color="000000" w:sz="4" w:space="0"/>
              <w:right w:val="single" w:color="000000" w:sz="4" w:space="0"/>
            </w:tcBorders>
            <w:vAlign w:val="bottom"/>
          </w:tcPr>
          <w:p w14:paraId="1936027C">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0.88</w:t>
            </w:r>
          </w:p>
        </w:tc>
        <w:tc>
          <w:tcPr>
            <w:tcW w:w="2125" w:type="dxa"/>
            <w:tcBorders>
              <w:top w:val="single" w:color="000000" w:sz="4" w:space="0"/>
              <w:left w:val="single" w:color="000000" w:sz="4" w:space="0"/>
              <w:bottom w:val="single" w:color="000000" w:sz="4" w:space="0"/>
              <w:right w:val="single" w:color="000000" w:sz="4" w:space="0"/>
            </w:tcBorders>
            <w:vAlign w:val="center"/>
          </w:tcPr>
          <w:p w14:paraId="63C6283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保持稳定</w:t>
            </w:r>
          </w:p>
        </w:tc>
      </w:tr>
      <w:tr w14:paraId="54D4F35D">
        <w:tblPrEx>
          <w:tblCellMar>
            <w:top w:w="0" w:type="dxa"/>
            <w:left w:w="108" w:type="dxa"/>
            <w:bottom w:w="0" w:type="dxa"/>
            <w:right w:w="108" w:type="dxa"/>
          </w:tblCellMar>
        </w:tblPrEx>
        <w:trPr>
          <w:trHeight w:val="362" w:hRule="atLeast"/>
        </w:trPr>
        <w:tc>
          <w:tcPr>
            <w:tcW w:w="2526" w:type="dxa"/>
            <w:gridSpan w:val="2"/>
            <w:tcBorders>
              <w:top w:val="single" w:color="000000" w:sz="4" w:space="0"/>
              <w:left w:val="single" w:color="000000" w:sz="4" w:space="0"/>
              <w:bottom w:val="single" w:color="000000" w:sz="4" w:space="0"/>
              <w:right w:val="single" w:color="000000" w:sz="4" w:space="0"/>
            </w:tcBorders>
            <w:vAlign w:val="center"/>
          </w:tcPr>
          <w:p w14:paraId="4BB17454">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区域基础设施用地</w:t>
            </w: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6D5BEDA">
            <w:pPr>
              <w:widowControl w:val="0"/>
              <w:adjustRightInd/>
              <w:snapToGrid/>
              <w:spacing w:line="240" w:lineRule="auto"/>
              <w:ind w:firstLine="0" w:firstLineChars="0"/>
              <w:jc w:val="center"/>
              <w:rPr>
                <w:rFonts w:hint="eastAsia" w:ascii="仿宋" w:eastAsia="仿宋"/>
                <w:sz w:val="21"/>
                <w:szCs w:val="21"/>
                <w:lang w:val="en-US" w:eastAsia="zh-CN"/>
              </w:rPr>
            </w:pPr>
            <w:r>
              <w:rPr>
                <w:rFonts w:hint="default" w:ascii="仿宋" w:eastAsia="仿宋"/>
                <w:sz w:val="21"/>
                <w:szCs w:val="21"/>
                <w:lang w:val="en-US" w:eastAsia="zh-CN"/>
              </w:rPr>
              <w:t xml:space="preserve">151.78 </w:t>
            </w:r>
          </w:p>
        </w:tc>
        <w:tc>
          <w:tcPr>
            <w:tcW w:w="1823" w:type="dxa"/>
            <w:tcBorders>
              <w:top w:val="single" w:color="000000" w:sz="4" w:space="0"/>
              <w:left w:val="single" w:color="000000" w:sz="4" w:space="0"/>
              <w:bottom w:val="single" w:color="000000" w:sz="4" w:space="0"/>
              <w:right w:val="single" w:color="000000" w:sz="4" w:space="0"/>
            </w:tcBorders>
            <w:vAlign w:val="bottom"/>
          </w:tcPr>
          <w:p w14:paraId="71EA9FB4">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0.49</w:t>
            </w:r>
          </w:p>
        </w:tc>
        <w:tc>
          <w:tcPr>
            <w:tcW w:w="2125" w:type="dxa"/>
            <w:tcBorders>
              <w:top w:val="single" w:color="000000" w:sz="4" w:space="0"/>
              <w:left w:val="single" w:color="000000" w:sz="4" w:space="0"/>
              <w:bottom w:val="single" w:color="000000" w:sz="4" w:space="0"/>
              <w:right w:val="single" w:color="000000" w:sz="4" w:space="0"/>
            </w:tcBorders>
            <w:vAlign w:val="center"/>
          </w:tcPr>
          <w:p w14:paraId="3DFFEE2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保持稳定</w:t>
            </w:r>
          </w:p>
        </w:tc>
      </w:tr>
      <w:tr w14:paraId="5A9B599A">
        <w:tblPrEx>
          <w:tblCellMar>
            <w:top w:w="0" w:type="dxa"/>
            <w:left w:w="108" w:type="dxa"/>
            <w:bottom w:w="0" w:type="dxa"/>
            <w:right w:w="108" w:type="dxa"/>
          </w:tblCellMar>
        </w:tblPrEx>
        <w:trPr>
          <w:trHeight w:val="362" w:hRule="atLeast"/>
        </w:trPr>
        <w:tc>
          <w:tcPr>
            <w:tcW w:w="2526" w:type="dxa"/>
            <w:gridSpan w:val="2"/>
            <w:tcBorders>
              <w:top w:val="single" w:color="000000" w:sz="4" w:space="0"/>
              <w:left w:val="single" w:color="000000" w:sz="4" w:space="0"/>
              <w:bottom w:val="single" w:color="000000" w:sz="4" w:space="0"/>
              <w:right w:val="single" w:color="000000" w:sz="4" w:space="0"/>
            </w:tcBorders>
            <w:vAlign w:val="center"/>
          </w:tcPr>
          <w:p w14:paraId="030DDB2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其他建设用地</w:t>
            </w: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659F022">
            <w:pPr>
              <w:widowControl w:val="0"/>
              <w:adjustRightInd/>
              <w:snapToGrid/>
              <w:spacing w:line="240" w:lineRule="auto"/>
              <w:ind w:firstLine="0" w:firstLineChars="0"/>
              <w:jc w:val="center"/>
              <w:rPr>
                <w:rFonts w:hint="eastAsia" w:ascii="仿宋" w:eastAsia="仿宋"/>
                <w:sz w:val="21"/>
                <w:szCs w:val="21"/>
                <w:lang w:val="en-US" w:eastAsia="zh-CN"/>
              </w:rPr>
            </w:pPr>
            <w:r>
              <w:rPr>
                <w:rFonts w:hint="default" w:ascii="仿宋" w:eastAsia="仿宋"/>
                <w:sz w:val="21"/>
                <w:szCs w:val="21"/>
                <w:lang w:val="en-US" w:eastAsia="zh-CN"/>
              </w:rPr>
              <w:t>59.6</w:t>
            </w:r>
            <w:r>
              <w:rPr>
                <w:rFonts w:hint="eastAsia" w:ascii="仿宋" w:eastAsia="仿宋"/>
                <w:sz w:val="21"/>
                <w:szCs w:val="21"/>
                <w:lang w:val="en-US" w:eastAsia="zh-CN"/>
              </w:rPr>
              <w:t>8</w:t>
            </w:r>
          </w:p>
        </w:tc>
        <w:tc>
          <w:tcPr>
            <w:tcW w:w="1823" w:type="dxa"/>
            <w:tcBorders>
              <w:top w:val="single" w:color="000000" w:sz="4" w:space="0"/>
              <w:left w:val="single" w:color="000000" w:sz="4" w:space="0"/>
              <w:bottom w:val="single" w:color="000000" w:sz="4" w:space="0"/>
              <w:right w:val="single" w:color="000000" w:sz="4" w:space="0"/>
            </w:tcBorders>
            <w:vAlign w:val="bottom"/>
          </w:tcPr>
          <w:p w14:paraId="11B91A26">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0.19</w:t>
            </w:r>
          </w:p>
        </w:tc>
        <w:tc>
          <w:tcPr>
            <w:tcW w:w="2125" w:type="dxa"/>
            <w:tcBorders>
              <w:top w:val="single" w:color="000000" w:sz="4" w:space="0"/>
              <w:left w:val="single" w:color="000000" w:sz="4" w:space="0"/>
              <w:bottom w:val="single" w:color="000000" w:sz="4" w:space="0"/>
              <w:right w:val="single" w:color="000000" w:sz="4" w:space="0"/>
            </w:tcBorders>
            <w:vAlign w:val="center"/>
          </w:tcPr>
          <w:p w14:paraId="2E6D617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保持稳定</w:t>
            </w:r>
          </w:p>
        </w:tc>
      </w:tr>
      <w:tr w14:paraId="12285C9C">
        <w:tblPrEx>
          <w:tblCellMar>
            <w:top w:w="0" w:type="dxa"/>
            <w:left w:w="108" w:type="dxa"/>
            <w:bottom w:w="0" w:type="dxa"/>
            <w:right w:w="108" w:type="dxa"/>
          </w:tblCellMar>
        </w:tblPrEx>
        <w:trPr>
          <w:trHeight w:val="362" w:hRule="atLeast"/>
        </w:trPr>
        <w:tc>
          <w:tcPr>
            <w:tcW w:w="2526" w:type="dxa"/>
            <w:gridSpan w:val="2"/>
            <w:tcBorders>
              <w:top w:val="single" w:color="000000" w:sz="4" w:space="0"/>
              <w:left w:val="single" w:color="000000" w:sz="4" w:space="0"/>
              <w:bottom w:val="single" w:color="000000" w:sz="4" w:space="0"/>
              <w:right w:val="single" w:color="000000" w:sz="4" w:space="0"/>
            </w:tcBorders>
            <w:vAlign w:val="center"/>
          </w:tcPr>
          <w:p w14:paraId="29A18FA6">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陆地水域</w:t>
            </w: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52DE2F3">
            <w:pPr>
              <w:widowControl w:val="0"/>
              <w:adjustRightInd/>
              <w:snapToGrid/>
              <w:spacing w:line="240" w:lineRule="auto"/>
              <w:ind w:firstLine="0" w:firstLineChars="0"/>
              <w:jc w:val="center"/>
              <w:rPr>
                <w:rFonts w:hint="eastAsia" w:ascii="仿宋" w:eastAsia="仿宋"/>
                <w:sz w:val="21"/>
                <w:szCs w:val="21"/>
                <w:lang w:val="en-US" w:eastAsia="zh-CN"/>
              </w:rPr>
            </w:pPr>
            <w:r>
              <w:rPr>
                <w:rFonts w:hint="default" w:ascii="仿宋" w:eastAsia="仿宋"/>
                <w:sz w:val="21"/>
                <w:szCs w:val="21"/>
                <w:lang w:val="en-US" w:eastAsia="zh-CN"/>
              </w:rPr>
              <w:t xml:space="preserve">445.23 </w:t>
            </w:r>
          </w:p>
        </w:tc>
        <w:tc>
          <w:tcPr>
            <w:tcW w:w="1823" w:type="dxa"/>
            <w:tcBorders>
              <w:top w:val="single" w:color="000000" w:sz="4" w:space="0"/>
              <w:left w:val="single" w:color="000000" w:sz="4" w:space="0"/>
              <w:bottom w:val="single" w:color="000000" w:sz="4" w:space="0"/>
              <w:right w:val="single" w:color="000000" w:sz="4" w:space="0"/>
            </w:tcBorders>
            <w:vAlign w:val="bottom"/>
          </w:tcPr>
          <w:p w14:paraId="6280F30C">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1.43</w:t>
            </w:r>
          </w:p>
        </w:tc>
        <w:tc>
          <w:tcPr>
            <w:tcW w:w="2125" w:type="dxa"/>
            <w:tcBorders>
              <w:top w:val="single" w:color="000000" w:sz="4" w:space="0"/>
              <w:left w:val="single" w:color="000000" w:sz="4" w:space="0"/>
              <w:bottom w:val="single" w:color="000000" w:sz="4" w:space="0"/>
              <w:right w:val="single" w:color="000000" w:sz="4" w:space="0"/>
            </w:tcBorders>
            <w:vAlign w:val="center"/>
          </w:tcPr>
          <w:p w14:paraId="4F5ACF3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保持稳定</w:t>
            </w:r>
          </w:p>
        </w:tc>
      </w:tr>
      <w:tr w14:paraId="6F8DB893">
        <w:tblPrEx>
          <w:tblCellMar>
            <w:top w:w="0" w:type="dxa"/>
            <w:left w:w="108" w:type="dxa"/>
            <w:bottom w:w="0" w:type="dxa"/>
            <w:right w:w="108" w:type="dxa"/>
          </w:tblCellMar>
        </w:tblPrEx>
        <w:trPr>
          <w:trHeight w:val="362" w:hRule="atLeast"/>
        </w:trPr>
        <w:tc>
          <w:tcPr>
            <w:tcW w:w="2526" w:type="dxa"/>
            <w:gridSpan w:val="2"/>
            <w:tcBorders>
              <w:top w:val="single" w:color="000000" w:sz="4" w:space="0"/>
              <w:left w:val="single" w:color="000000" w:sz="4" w:space="0"/>
              <w:bottom w:val="single" w:color="000000" w:sz="4" w:space="0"/>
              <w:right w:val="single" w:color="000000" w:sz="4" w:space="0"/>
            </w:tcBorders>
            <w:vAlign w:val="center"/>
          </w:tcPr>
          <w:p w14:paraId="7C0C047B">
            <w:pPr>
              <w:widowControl w:val="0"/>
              <w:adjustRightInd/>
              <w:snapToGrid/>
              <w:spacing w:line="240" w:lineRule="auto"/>
              <w:ind w:firstLine="0" w:firstLineChars="0"/>
              <w:jc w:val="center"/>
              <w:rPr>
                <w:rFonts w:ascii="仿宋" w:eastAsia="仿宋"/>
                <w:kern w:val="0"/>
                <w:sz w:val="21"/>
                <w:lang w:bidi="zh-CN"/>
              </w:rPr>
            </w:pPr>
            <w:r>
              <w:rPr>
                <w:rFonts w:hint="eastAsia" w:ascii="仿宋" w:eastAsia="仿宋"/>
                <w:kern w:val="0"/>
                <w:sz w:val="21"/>
                <w:lang w:bidi="zh-CN"/>
              </w:rPr>
              <w:t>其他土地</w:t>
            </w:r>
          </w:p>
        </w:tc>
        <w:tc>
          <w:tcPr>
            <w:tcW w:w="2125"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699D655">
            <w:pPr>
              <w:widowControl w:val="0"/>
              <w:adjustRightInd/>
              <w:snapToGrid/>
              <w:spacing w:line="240" w:lineRule="auto"/>
              <w:ind w:firstLine="0" w:firstLineChars="0"/>
              <w:jc w:val="center"/>
              <w:rPr>
                <w:rFonts w:hint="eastAsia" w:ascii="仿宋" w:eastAsia="仿宋"/>
                <w:sz w:val="21"/>
                <w:szCs w:val="21"/>
                <w:lang w:val="en-US" w:eastAsia="zh-CN"/>
              </w:rPr>
            </w:pPr>
            <w:r>
              <w:rPr>
                <w:rFonts w:hint="default" w:ascii="仿宋" w:eastAsia="仿宋"/>
                <w:sz w:val="21"/>
                <w:szCs w:val="21"/>
                <w:lang w:val="en-US" w:eastAsia="zh-CN"/>
              </w:rPr>
              <w:t xml:space="preserve">259.94 </w:t>
            </w:r>
          </w:p>
        </w:tc>
        <w:tc>
          <w:tcPr>
            <w:tcW w:w="1823" w:type="dxa"/>
            <w:tcBorders>
              <w:top w:val="single" w:color="000000" w:sz="4" w:space="0"/>
              <w:left w:val="single" w:color="000000" w:sz="4" w:space="0"/>
              <w:bottom w:val="single" w:color="000000" w:sz="4" w:space="0"/>
              <w:right w:val="single" w:color="000000" w:sz="4" w:space="0"/>
            </w:tcBorders>
            <w:vAlign w:val="bottom"/>
          </w:tcPr>
          <w:p w14:paraId="1A3C1D3F">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0.84</w:t>
            </w:r>
          </w:p>
        </w:tc>
        <w:tc>
          <w:tcPr>
            <w:tcW w:w="2125" w:type="dxa"/>
            <w:tcBorders>
              <w:top w:val="single" w:color="000000" w:sz="4" w:space="0"/>
              <w:left w:val="single" w:color="000000" w:sz="4" w:space="0"/>
              <w:bottom w:val="single" w:color="000000" w:sz="4" w:space="0"/>
              <w:right w:val="single" w:color="000000" w:sz="4" w:space="0"/>
            </w:tcBorders>
            <w:vAlign w:val="center"/>
          </w:tcPr>
          <w:p w14:paraId="548F37DE">
            <w:pPr>
              <w:widowControl w:val="0"/>
              <w:adjustRightInd/>
              <w:snapToGrid/>
              <w:spacing w:line="240" w:lineRule="auto"/>
              <w:ind w:firstLine="0" w:firstLineChars="0"/>
              <w:jc w:val="center"/>
              <w:rPr>
                <w:rFonts w:hint="default" w:ascii="仿宋" w:eastAsia="仿宋"/>
                <w:sz w:val="21"/>
                <w:szCs w:val="21"/>
                <w:lang w:val="en-US" w:eastAsia="zh-CN"/>
              </w:rPr>
            </w:pPr>
            <w:r>
              <w:rPr>
                <w:rFonts w:hint="eastAsia" w:ascii="仿宋" w:eastAsia="仿宋"/>
                <w:sz w:val="21"/>
                <w:szCs w:val="21"/>
                <w:lang w:val="en-US" w:eastAsia="zh-CN"/>
              </w:rPr>
              <w:t>略有下降</w:t>
            </w:r>
          </w:p>
        </w:tc>
      </w:tr>
    </w:tbl>
    <w:p w14:paraId="1B2B624B">
      <w:pPr>
        <w:rPr>
          <w:rFonts w:hint="eastAsia"/>
          <w:lang w:bidi="ar"/>
        </w:rPr>
      </w:pPr>
    </w:p>
    <w:p w14:paraId="48A6E397">
      <w:pPr>
        <w:pStyle w:val="4"/>
        <w:bidi w:val="0"/>
        <w:rPr>
          <w:rFonts w:hint="eastAsia"/>
        </w:rPr>
      </w:pPr>
      <w:r>
        <w:rPr>
          <w:rFonts w:hint="eastAsia"/>
        </w:rPr>
        <w:t>耕地和永久基本农田布局优化</w:t>
      </w:r>
    </w:p>
    <w:p w14:paraId="4575E974">
      <w:r>
        <w:rPr>
          <w:rFonts w:hint="eastAsia"/>
          <w:lang w:bidi="ar"/>
        </w:rPr>
        <w:t>保障优化农业空间，落实最严格的耕地保护制度，多渠道补充耕地，切实完成耕地保护任务，通过实施土地整治等工程促使耕地尤其是永久基本农田集中连片布局。</w:t>
      </w:r>
    </w:p>
    <w:p w14:paraId="5789D990">
      <w:pPr>
        <w:pStyle w:val="4"/>
        <w:bidi w:val="0"/>
        <w:rPr>
          <w:rFonts w:hint="eastAsia"/>
        </w:rPr>
      </w:pPr>
      <w:r>
        <w:rPr>
          <w:rFonts w:hint="eastAsia"/>
        </w:rPr>
        <w:t>园地布局优化</w:t>
      </w:r>
    </w:p>
    <w:p w14:paraId="5E6C3BA8">
      <w:r>
        <w:rPr>
          <w:rFonts w:hint="eastAsia"/>
          <w:lang w:bidi="ar"/>
        </w:rPr>
        <w:t>规划期间在严格保护稳定耕地的基础上，合理调整园地面积，综合运用农业措施，改善生产条件，提高园地利用效益，推动农产品加工等产业发展。</w:t>
      </w:r>
    </w:p>
    <w:p w14:paraId="79398DC5">
      <w:pPr>
        <w:pStyle w:val="4"/>
        <w:bidi w:val="0"/>
        <w:rPr>
          <w:rFonts w:hint="eastAsia"/>
        </w:rPr>
      </w:pPr>
      <w:r>
        <w:rPr>
          <w:rFonts w:hint="eastAsia"/>
        </w:rPr>
        <w:t>林草和水域用地布局优化</w:t>
      </w:r>
    </w:p>
    <w:p w14:paraId="3000B46E">
      <w:r>
        <w:rPr>
          <w:rFonts w:hint="eastAsia"/>
          <w:lang w:bidi="ar"/>
        </w:rPr>
        <w:t>规划期间林地保持稳定发展，推进林地质量提升，在保护林地资源的前提下发展林下经济。适度改造宜牧荒草地，提升草地质量。保障重要河湖水面空间，保护湿地资源，筑牢生态源地，推动生态空间健康发展。</w:t>
      </w:r>
    </w:p>
    <w:p w14:paraId="2616AF29">
      <w:pPr>
        <w:pStyle w:val="4"/>
        <w:bidi w:val="0"/>
        <w:rPr>
          <w:rFonts w:hint="eastAsia"/>
        </w:rPr>
      </w:pPr>
      <w:r>
        <w:rPr>
          <w:rFonts w:hint="eastAsia"/>
        </w:rPr>
        <w:t>加强建设用地集约利用</w:t>
      </w:r>
    </w:p>
    <w:p w14:paraId="4F4A9182">
      <w:r>
        <w:rPr>
          <w:rFonts w:hint="eastAsia"/>
          <w:lang w:bidi="ar"/>
        </w:rPr>
        <w:t>统筹配置镇中心区城镇建设用地及村庄建设用地，优化城乡建设用地空间格局，引导建设用地由“增量扩张”向“增存并举”转型，精准配置新增建设用地，集约保障城镇建设，引导人口减少村庄地区建设用地有序减量，合理保障重大交通、水利、清洁能源等区域基础设施用地和其他建设用地需求。合理安排城乡建设用地增减挂钩、废弃地复垦利用、城镇低效用地再开发等项目，促进城乡一体化融合发展。</w:t>
      </w:r>
    </w:p>
    <w:p w14:paraId="7ABD0B5A">
      <w:pPr>
        <w:rPr>
          <w:lang w:bidi="ar"/>
        </w:rPr>
      </w:pPr>
      <w:r>
        <w:rPr>
          <w:rFonts w:hint="eastAsia"/>
          <w:lang w:bidi="ar"/>
        </w:rPr>
        <w:t>促进城镇建设用地集约利用。引导城镇建设用地向城镇开发边界内集中，促进城镇集约集聚建设，提高土地节约集约利用水平。推进闲置土地二次开发，提升土地利用效率和环境品质。</w:t>
      </w:r>
    </w:p>
    <w:p w14:paraId="416987D0">
      <w:pPr>
        <w:rPr>
          <w:lang w:bidi="ar"/>
        </w:rPr>
      </w:pPr>
      <w:r>
        <w:rPr>
          <w:rFonts w:hint="eastAsia"/>
          <w:lang w:bidi="ar"/>
        </w:rPr>
        <w:t>推动乡村建设用地集约利用。加强农村宅基地管理、推进农村土地综合整治，提升土地的综合承载能力，为乡村产业发展、公共服务设施建设提供有力支撑。引导工业向城镇产业空间集聚。充分利用农村土地制度改革成果，合理保障农村新产业新业态发展用地。</w:t>
      </w:r>
    </w:p>
    <w:p w14:paraId="088C03D1">
      <w:pPr>
        <w:pStyle w:val="2"/>
        <w:bidi w:val="0"/>
        <w:rPr>
          <w:rFonts w:hint="eastAsia"/>
        </w:rPr>
      </w:pPr>
      <w:bookmarkStart w:id="36" w:name="_Toc152937195"/>
      <w:bookmarkStart w:id="37" w:name="_Toc5060"/>
      <w:bookmarkStart w:id="38" w:name="_Toc15200"/>
      <w:r>
        <w:rPr>
          <w:rFonts w:hint="eastAsia"/>
        </w:rPr>
        <w:t>资源保护与利用</w:t>
      </w:r>
      <w:bookmarkEnd w:id="36"/>
      <w:bookmarkEnd w:id="37"/>
      <w:bookmarkEnd w:id="38"/>
    </w:p>
    <w:p w14:paraId="7E7B26D0">
      <w:r>
        <w:rPr>
          <w:rFonts w:hint="eastAsia"/>
        </w:rPr>
        <w:t>践行“人与自然生命共同体”理念，严格保护乡村地区自然生态基底，保障传统农业空间、生态空间，构建科学合理的自然保护地体系，强化自然资源的保护利用，坚持山水林田湖草一体化保护和系统治理。</w:t>
      </w:r>
    </w:p>
    <w:p w14:paraId="558CFB1D">
      <w:pPr>
        <w:pStyle w:val="3"/>
        <w:bidi w:val="0"/>
      </w:pPr>
      <w:bookmarkStart w:id="39" w:name="_Toc152937196"/>
      <w:bookmarkStart w:id="40" w:name="_Toc32741"/>
      <w:bookmarkStart w:id="41" w:name="_Toc11206"/>
      <w:r>
        <w:rPr>
          <w:rFonts w:hint="eastAsia"/>
        </w:rPr>
        <w:t>耕地资源</w:t>
      </w:r>
      <w:bookmarkEnd w:id="39"/>
      <w:bookmarkEnd w:id="40"/>
      <w:bookmarkEnd w:id="41"/>
    </w:p>
    <w:p w14:paraId="1C8A63A0">
      <w:pPr>
        <w:pStyle w:val="17"/>
        <w:numPr>
          <w:ilvl w:val="0"/>
          <w:numId w:val="3"/>
        </w:numPr>
        <w:spacing w:before="120" w:after="120"/>
        <w:ind w:firstLine="640" w:firstLineChars="200"/>
        <w:rPr>
          <w:rFonts w:ascii="Times New Roman" w:hAnsi="Times New Roman"/>
        </w:rPr>
      </w:pPr>
      <w:r>
        <w:rPr>
          <w:rFonts w:hint="eastAsia" w:ascii="Times New Roman" w:hAnsi="Times New Roman"/>
        </w:rPr>
        <w:t>加强耕地数量、质量、生态“三位一体”保护</w:t>
      </w:r>
    </w:p>
    <w:p w14:paraId="041CADAC">
      <w:r>
        <w:rPr>
          <w:rFonts w:hint="eastAsia"/>
        </w:rPr>
        <w:t>落实耕地占补平衡制度。各类非农建设选址布局尽量不占或少占耕地，将各类对耕地的占用统一纳入占补平衡管理，坚持“以补定占”，严控占用、严格补充、严守总量。落实补充耕地质量验收制度，完善后续管护和再评价机制。</w:t>
      </w:r>
    </w:p>
    <w:p w14:paraId="5B3F49F8">
      <w:r>
        <w:rPr>
          <w:rFonts w:hint="eastAsia"/>
        </w:rPr>
        <w:t>加强永久基本农田保护和建设。以永久基本农田为基础，优先在粮食生产功能区、重要农产品生产保护区建设高标准农田，逐步把永久基本农田全部建成旱涝保收的高标准农田。经依法批准确需占用的，应先补划后占用。完善永久基本农田保护储备区制度。土地整治和新建高标准农田增加的优质耕地应当优先补划为永久基本农田。在永久基本农田集中分布地区，不得规划新建可能造成污染的建设项目。</w:t>
      </w:r>
    </w:p>
    <w:p w14:paraId="2605888F">
      <w:r>
        <w:rPr>
          <w:rFonts w:hint="eastAsia"/>
        </w:rPr>
        <w:t>全面加强农田生态管护。强化农田生态保护，加大退化、污染、损毁农田改良和修复力度，积极采取工程、生物、农业等措施，大力改善耕地土壤环境质量，提升农业生态水平。在提高单产、稳定总产的前提下，倡导耕地轮耕轮作休耕，促进农田休养生息，促进农业的可持续发展。</w:t>
      </w:r>
    </w:p>
    <w:p w14:paraId="3D54AB25">
      <w:pPr>
        <w:pStyle w:val="17"/>
        <w:numPr>
          <w:ilvl w:val="0"/>
          <w:numId w:val="3"/>
        </w:numPr>
        <w:spacing w:before="120" w:after="120"/>
        <w:ind w:firstLine="640" w:firstLineChars="200"/>
        <w:rPr>
          <w:rFonts w:ascii="Times New Roman" w:hAnsi="Times New Roman"/>
        </w:rPr>
      </w:pPr>
      <w:r>
        <w:rPr>
          <w:rFonts w:hint="eastAsia" w:ascii="Times New Roman" w:hAnsi="Times New Roman"/>
        </w:rPr>
        <w:t>加强耕地后备资源开发和储备</w:t>
      </w:r>
    </w:p>
    <w:p w14:paraId="74367212">
      <w:r>
        <w:rPr>
          <w:rFonts w:hint="eastAsia"/>
        </w:rPr>
        <w:t>摸清底数，加强耕地后备资源开发。以现状其他草地、裸土地为评价对象，从生态、气候、土壤、区位等方面，构建耕地后备资源分类评价体系，开展调查评价，摸清耕地后备资源。同时，在保护好生态的前提下，有计划、有步骤地开发耕地后备资源，为耕地占补平衡提供支撑。</w:t>
      </w:r>
    </w:p>
    <w:p w14:paraId="67C30F41">
      <w:r>
        <w:rPr>
          <w:rFonts w:hint="eastAsia"/>
        </w:rPr>
        <w:t>多措并举，积极拓宽耕地补充途径。结合规划期内建设占用耕地情况，按照占补平衡要求，多途径补充耕地。积极开展全域国土空间综合整治，推进农用地整理和建设用地复垦，特别是工矿废弃地复垦，实现多渠道补充耕地。</w:t>
      </w:r>
    </w:p>
    <w:p w14:paraId="412D0E0D">
      <w:pPr>
        <w:pStyle w:val="4"/>
        <w:bidi w:val="0"/>
        <w:rPr>
          <w:rFonts w:hint="eastAsia"/>
        </w:rPr>
      </w:pPr>
      <w:r>
        <w:rPr>
          <w:rFonts w:hint="eastAsia"/>
        </w:rPr>
        <w:t>推进设施农业建设</w:t>
      </w:r>
    </w:p>
    <w:p w14:paraId="00A940B5">
      <w:r>
        <w:rPr>
          <w:rFonts w:hint="eastAsia"/>
        </w:rPr>
        <w:t>落实《全国现代设施农业建设规划（</w:t>
      </w:r>
      <w:r>
        <w:t>2023—2030</w:t>
      </w:r>
      <w:r>
        <w:rPr>
          <w:rFonts w:hint="eastAsia"/>
        </w:rPr>
        <w:t>年）》相关要求，以建设节能宜机为主的现代设施种植业、高效集约为主的现代设施畜牧业为目标，进一步加大设施农业建设力度和用地保障，全面落实省下达设施农业用地建设要求，强化现代设施农业用地、用电、用水等配套保障。以基础设施现代化促进农业农村现代化，在稳定粮食安全供给的同时，保障肉类、蔬菜、水果等各类食物供给。</w:t>
      </w:r>
    </w:p>
    <w:p w14:paraId="782419AC">
      <w:pPr>
        <w:pStyle w:val="4"/>
        <w:bidi w:val="0"/>
        <w:rPr>
          <w:rFonts w:hint="eastAsia"/>
        </w:rPr>
      </w:pPr>
      <w:r>
        <w:t>积极落实</w:t>
      </w:r>
      <w:r>
        <w:rPr>
          <w:rFonts w:hint="eastAsia"/>
        </w:rPr>
        <w:t>“</w:t>
      </w:r>
      <w:r>
        <w:t>占补平衡</w:t>
      </w:r>
      <w:r>
        <w:rPr>
          <w:rFonts w:hint="eastAsia"/>
        </w:rPr>
        <w:t>”</w:t>
      </w:r>
      <w:r>
        <w:t>制度</w:t>
      </w:r>
    </w:p>
    <w:p w14:paraId="1BF9C4FD">
      <w:r>
        <w:t>健全耕地保护补偿制度，实行保护责任与财政补贴相挂钩，充分调动农民保护耕地的积极性与主动性。加强和改进耕地占补平衡，拓宽</w:t>
      </w:r>
      <w:r>
        <w:rPr>
          <w:rFonts w:hint="eastAsia"/>
        </w:rPr>
        <w:t>“</w:t>
      </w:r>
      <w:r>
        <w:t>补改结合</w:t>
      </w:r>
      <w:r>
        <w:rPr>
          <w:rFonts w:hint="eastAsia"/>
        </w:rPr>
        <w:t>”</w:t>
      </w:r>
      <w:r>
        <w:t>等耕地占补平衡新途径，探索将通过农用地整理增加的耕地作为占补平衡补充耕地的指标。严格落实耕地</w:t>
      </w:r>
      <w:r>
        <w:rPr>
          <w:rFonts w:hint="eastAsia"/>
        </w:rPr>
        <w:t>“</w:t>
      </w:r>
      <w:r>
        <w:t>占一补一、先补后占、占优补优、占水田补水田</w:t>
      </w:r>
      <w:r>
        <w:rPr>
          <w:rFonts w:hint="eastAsia"/>
        </w:rPr>
        <w:t>”</w:t>
      </w:r>
      <w:r>
        <w:t>，强化耕地占补平衡实施监管，落实耕地占补平衡责任制度，确保补充数量质量双到位。</w:t>
      </w:r>
    </w:p>
    <w:p w14:paraId="5806D355">
      <w:pPr>
        <w:pStyle w:val="4"/>
        <w:bidi w:val="0"/>
        <w:rPr>
          <w:rFonts w:hint="eastAsia"/>
        </w:rPr>
      </w:pPr>
      <w:bookmarkStart w:id="42" w:name="_Toc152937197"/>
      <w:bookmarkStart w:id="43" w:name="_Toc133419331"/>
      <w:r>
        <w:rPr>
          <w:rFonts w:hint="eastAsia"/>
        </w:rPr>
        <w:t>实施黑土地保护行动</w:t>
      </w:r>
    </w:p>
    <w:p w14:paraId="18E65147">
      <w:pPr>
        <w:pStyle w:val="7"/>
      </w:pPr>
      <w:r>
        <w:rPr>
          <w:rFonts w:hint="eastAsia"/>
        </w:rPr>
        <w:t>实施黑土地质量保护与提升，统筹土、肥、水、种及栽培等生产要素，形成用地养地结合、生产生态兼顾的种植制度、耕作制度、施肥制度和灌溉制度。全面推广应用保护性耕作，建设一批高标准黑土地保护性耕作应用基地。严格落实土地资源保护与开发利用的监管责任，加快构建黑土地资源全流程监管体系，加强黑土地资源保护。在保护黑土地的同时，大力推进黑土地综合治理工作，系统修复被污染、破坏的黑土地。原则上建设项目不得占用黑土耕地，确需占用的，地方政府必须严格把控，确保黑土耕地耕作层及时剥离，确保黑土地总量不减少、功能不退化、质量有提升，保证黑土地使用“占补平衡”和可持续发展。</w:t>
      </w:r>
    </w:p>
    <w:p w14:paraId="56C8CBC3">
      <w:pPr>
        <w:pStyle w:val="3"/>
        <w:bidi w:val="0"/>
      </w:pPr>
      <w:bookmarkStart w:id="44" w:name="_Toc30629"/>
      <w:bookmarkStart w:id="45" w:name="_Toc25699"/>
      <w:r>
        <w:rPr>
          <w:rFonts w:hint="eastAsia"/>
        </w:rPr>
        <w:t>水资源</w:t>
      </w:r>
      <w:bookmarkEnd w:id="42"/>
      <w:bookmarkEnd w:id="44"/>
      <w:bookmarkEnd w:id="45"/>
    </w:p>
    <w:p w14:paraId="703DCFCE">
      <w:pPr>
        <w:pStyle w:val="4"/>
        <w:bidi w:val="0"/>
        <w:rPr>
          <w:rFonts w:hint="eastAsia"/>
        </w:rPr>
      </w:pPr>
      <w:r>
        <w:t>水资源保护</w:t>
      </w:r>
    </w:p>
    <w:p w14:paraId="0E59F51F">
      <w:r>
        <w:rPr>
          <w:rFonts w:hint="eastAsia"/>
        </w:rPr>
        <w:t>落实桓仁满族自治县总体规划确定的保护目标，深化细化各类资源的管控边界，提出管控措施。严控水资源利用上限，强化水资源保护，提升水环境容量，推进水利基础设施建设，保证城乡供水安全。</w:t>
      </w:r>
    </w:p>
    <w:p w14:paraId="2C1D4D4D">
      <w:r>
        <w:rPr>
          <w:rFonts w:hint="eastAsia"/>
        </w:rPr>
        <w:t>根据国家《生活饮用水卫生标准》（</w:t>
      </w:r>
      <w:r>
        <w:t>GB5749-2006）和《地面水环境质量标准》（GB3838-2002）中水源卫生保护规定，划定水源保护区，保护区必须执行国家水源相关保护条例，保证取水点的水质符合饮用水水源水质标准。</w:t>
      </w:r>
    </w:p>
    <w:p w14:paraId="7B2B4ECC">
      <w:r>
        <w:t>合理开发水资源，避免水资源破坏。实施</w:t>
      </w:r>
      <w:r>
        <w:rPr>
          <w:rFonts w:hint="eastAsia"/>
        </w:rPr>
        <w:t>“</w:t>
      </w:r>
      <w:r>
        <w:t>生态涵水</w:t>
      </w:r>
      <w:r>
        <w:rPr>
          <w:rFonts w:hint="eastAsia"/>
        </w:rPr>
        <w:t>”</w:t>
      </w:r>
      <w:r>
        <w:t>战略，涵水于地、涵水于林草，实现</w:t>
      </w:r>
      <w:r>
        <w:rPr>
          <w:rFonts w:hint="eastAsia"/>
        </w:rPr>
        <w:t>“</w:t>
      </w:r>
      <w:r>
        <w:t>以水带绿，以绿养水，以林护岸</w:t>
      </w:r>
      <w:r>
        <w:rPr>
          <w:rFonts w:hint="eastAsia"/>
        </w:rPr>
        <w:t>”</w:t>
      </w:r>
      <w:r>
        <w:t>，进一步增强全镇水源涵养能力。实施</w:t>
      </w:r>
      <w:r>
        <w:rPr>
          <w:rFonts w:hint="eastAsia"/>
        </w:rPr>
        <w:t>“</w:t>
      </w:r>
      <w:r>
        <w:t>管理节水</w:t>
      </w:r>
      <w:r>
        <w:rPr>
          <w:rFonts w:hint="eastAsia"/>
        </w:rPr>
        <w:t>”</w:t>
      </w:r>
      <w:r>
        <w:t>战略，提升可持续发展能力。坚持</w:t>
      </w:r>
      <w:r>
        <w:rPr>
          <w:rFonts w:hint="eastAsia"/>
        </w:rPr>
        <w:t>“</w:t>
      </w:r>
      <w:r>
        <w:t>以水定产、以水定城</w:t>
      </w:r>
      <w:r>
        <w:rPr>
          <w:rFonts w:hint="eastAsia"/>
        </w:rPr>
        <w:t>”</w:t>
      </w:r>
      <w:r>
        <w:t>，全面落实水资源管理制度，落实水资源消耗总量与强度双控制，加快节水型社会建设</w:t>
      </w:r>
      <w:r>
        <w:rPr>
          <w:rFonts w:hint="eastAsia"/>
        </w:rPr>
        <w:t>。</w:t>
      </w:r>
    </w:p>
    <w:p w14:paraId="477AE16B">
      <w:r>
        <w:rPr>
          <w:rFonts w:hint="eastAsia"/>
        </w:rPr>
        <w:t>优化水资源配置，提高水资源利用率。按照用水需求，科学合理配置水资源。加大水资源的利用率，实现循环利用，节约用水。大力实现废水的资源化，利用处理后的废水开展市政建设，城镇基础设施建设等，充分利用水资源，缓解水资源的矛盾。</w:t>
      </w:r>
    </w:p>
    <w:p w14:paraId="5026A2B5">
      <w:r>
        <w:rPr>
          <w:rFonts w:hint="eastAsia"/>
        </w:rPr>
        <w:t>大力倡导节水型产业，实施建设项目节水制度。对全镇所有新建、改建、扩建项目必须进行用水节水项目审查。新建工程或民用建筑供水系统要有节水措施和节水系统</w:t>
      </w:r>
      <w:r>
        <w:rPr>
          <w:rFonts w:hint="eastAsia" w:hAnsi="仿宋_GB2312" w:cs="仿宋_GB2312"/>
        </w:rPr>
        <w:t>，否则不予审批，不准开工。审查验收新建、改建、扩建项目用水节水评估报告、施工图和建设工</w:t>
      </w:r>
      <w:r>
        <w:rPr>
          <w:rFonts w:hint="eastAsia" w:hAnsi="仿宋_GB2312" w:cs="仿宋_GB2312"/>
          <w:lang w:val="en-US" w:eastAsia="zh-CN"/>
        </w:rPr>
        <w:t>程</w:t>
      </w:r>
      <w:r>
        <w:rPr>
          <w:rFonts w:hint="eastAsia" w:hAnsi="仿宋_GB2312" w:cs="仿宋_GB2312"/>
        </w:rPr>
        <w:t>验收。确保建设项目全周期节水。</w:t>
      </w:r>
    </w:p>
    <w:p w14:paraId="753CD59D">
      <w:r>
        <w:rPr>
          <w:rFonts w:hint="eastAsia"/>
        </w:rPr>
        <w:t>加强水环境生态治理，控源、截污与河段清淤相结合，实施河流水质目标管理，全面治理工业污染源。强化城镇、乡村污水收集处理，有效治理农业面源污染，打造良好河流生态环境</w:t>
      </w:r>
      <w:r>
        <w:t>。</w:t>
      </w:r>
    </w:p>
    <w:p w14:paraId="39DBDC66">
      <w:pPr>
        <w:pStyle w:val="4"/>
        <w:bidi w:val="0"/>
        <w:rPr>
          <w:rFonts w:hint="eastAsia"/>
        </w:rPr>
      </w:pPr>
      <w:r>
        <w:t>河流水系保护</w:t>
      </w:r>
    </w:p>
    <w:p w14:paraId="42A31257">
      <w:r>
        <w:t>加强河流水系管理范围内自然资源统一管理和生态保护修复。统筹规划、水务、环境、交通、农业等多元复合需求，加强水利基础设施利用空间的整体保护、系统修复和综合治理，实现河湖管理范围内土地用途管制的规范化、生态修复的系统化和空间品质的精细化。</w:t>
      </w:r>
      <w:r>
        <w:rPr>
          <w:rFonts w:hint="eastAsia"/>
        </w:rPr>
        <w:t>项目选址中，涉及饮用水水源保护区时，按照《中华人民共和国水污染防治法》《辽宁省水污染防治条例》等相关规定执行。</w:t>
      </w:r>
    </w:p>
    <w:p w14:paraId="050372EB">
      <w:pPr>
        <w:pStyle w:val="3"/>
        <w:bidi w:val="0"/>
      </w:pPr>
      <w:bookmarkStart w:id="46" w:name="_Toc152937198"/>
      <w:bookmarkStart w:id="47" w:name="_Toc20611"/>
      <w:bookmarkStart w:id="48" w:name="_Toc19447"/>
      <w:r>
        <w:rPr>
          <w:rFonts w:hint="eastAsia"/>
        </w:rPr>
        <w:t>湿地资源</w:t>
      </w:r>
      <w:bookmarkEnd w:id="46"/>
      <w:bookmarkEnd w:id="47"/>
      <w:bookmarkEnd w:id="48"/>
    </w:p>
    <w:p w14:paraId="705C56A4">
      <w:pPr>
        <w:pStyle w:val="4"/>
        <w:bidi w:val="0"/>
        <w:rPr>
          <w:rFonts w:hint="eastAsia"/>
        </w:rPr>
      </w:pPr>
      <w:bookmarkStart w:id="49" w:name="_Toc133419335"/>
      <w:r>
        <w:t>湿地保护</w:t>
      </w:r>
    </w:p>
    <w:p w14:paraId="2174D767">
      <w:bookmarkStart w:id="50" w:name="_Hlk131003627"/>
      <w:r>
        <w:t>严格保护现状重要湿地，保障全镇现有湿地总面积不减少，性质不改变。纳入生态保护红线的湿地，严禁转为其他用途。确需占用纳入生态红线以外的湿地并转为其他用途的，用地单位要按照</w:t>
      </w:r>
      <w:r>
        <w:rPr>
          <w:rFonts w:hint="eastAsia"/>
        </w:rPr>
        <w:t>“</w:t>
      </w:r>
      <w:r>
        <w:t>先补后占、占补平衡</w:t>
      </w:r>
      <w:r>
        <w:rPr>
          <w:rFonts w:hint="eastAsia"/>
        </w:rPr>
        <w:t>”</w:t>
      </w:r>
      <w:r>
        <w:t>的原则，负责恢复或重建与所占湿地面积和质量相当的湿地，确保湿地面积不减少，通过实施退耕还湿、退养还湿、排水退化湿地恢复和盐碱化土地复湿等增加湿地面积</w:t>
      </w:r>
      <w:bookmarkEnd w:id="50"/>
      <w:r>
        <w:t>。</w:t>
      </w:r>
      <w:bookmarkStart w:id="51" w:name="_Hlk131003693"/>
      <w:r>
        <w:t>对湿地进行动态监测，对可能存在湿地面积减少、生态功能退化等情况，制定科学的湿地保护方案，及时采取措施予以恢复、修复。建立湿地生态补水协调机制，保障湿地生态用水。</w:t>
      </w:r>
      <w:bookmarkEnd w:id="51"/>
    </w:p>
    <w:p w14:paraId="1A784DC8">
      <w:pPr>
        <w:pStyle w:val="4"/>
        <w:bidi w:val="0"/>
        <w:rPr>
          <w:rFonts w:hint="eastAsia"/>
        </w:rPr>
      </w:pPr>
      <w:r>
        <w:rPr>
          <w:rFonts w:hint="eastAsia"/>
        </w:rPr>
        <w:t>恢复治理功能退化湿地</w:t>
      </w:r>
    </w:p>
    <w:p w14:paraId="144CB073">
      <w:r>
        <w:rPr>
          <w:rFonts w:hint="eastAsia"/>
        </w:rPr>
        <w:t>加强湿地生态修复，及时修复受损、退化湿地。建立湿地生态补水协调机制，保障湿地生态用水。对因水资源缺乏导致功能退化的自然湿地，应当通过工程和技术措施补水，恢复湿地生态功能；因气候变化、自然灾害等造成湿地生态特征退化的，采取退耕、补水和封育等措施，恢复湿地生态功能。</w:t>
      </w:r>
    </w:p>
    <w:bookmarkEnd w:id="49"/>
    <w:p w14:paraId="5D19E77E">
      <w:pPr>
        <w:pStyle w:val="3"/>
        <w:bidi w:val="0"/>
      </w:pPr>
      <w:bookmarkStart w:id="52" w:name="_Toc26366"/>
      <w:bookmarkStart w:id="53" w:name="_Toc5477"/>
      <w:bookmarkStart w:id="54" w:name="_Toc152937199"/>
      <w:r>
        <w:rPr>
          <w:rFonts w:hint="eastAsia"/>
        </w:rPr>
        <w:t>林草资源</w:t>
      </w:r>
      <w:bookmarkEnd w:id="52"/>
      <w:bookmarkEnd w:id="53"/>
      <w:bookmarkEnd w:id="54"/>
    </w:p>
    <w:p w14:paraId="45D2C40F">
      <w:pPr>
        <w:pStyle w:val="4"/>
        <w:bidi w:val="0"/>
        <w:rPr>
          <w:rFonts w:hint="eastAsia"/>
        </w:rPr>
      </w:pPr>
      <w:bookmarkStart w:id="55" w:name="_Toc381632"/>
      <w:r>
        <w:t>加强森林资源保护</w:t>
      </w:r>
      <w:bookmarkEnd w:id="55"/>
    </w:p>
    <w:p w14:paraId="41B853E2">
      <w:r>
        <w:rPr>
          <w:rFonts w:hint="eastAsia"/>
        </w:rPr>
        <w:t>大力提升森林质量。林业方面坚持以“植、抚、管”相结合的方式，科学开展林业工作，禁止天然林商业性采伐，</w:t>
      </w:r>
      <w:r>
        <w:t>从严控制非基础建设项目占用征收林地。加强对建设项目选址先期的引导，各项建设应尽量不占或少占林地，必须占用或者征收林地的，应当依法办理审核手续</w:t>
      </w:r>
      <w:r>
        <w:rPr>
          <w:rFonts w:hint="eastAsia"/>
        </w:rPr>
        <w:t>。开展造林绿化工作，积极组织开展造林绿化空间适宜性评估，全面摸清适宜造林绿化空间和位置，实现矢量化管理。</w:t>
      </w:r>
    </w:p>
    <w:p w14:paraId="5776D62C">
      <w:pPr>
        <w:pStyle w:val="4"/>
        <w:bidi w:val="0"/>
        <w:rPr>
          <w:rFonts w:hint="eastAsia"/>
        </w:rPr>
      </w:pPr>
      <w:r>
        <w:t>加强草地资源保护</w:t>
      </w:r>
    </w:p>
    <w:p w14:paraId="0503445C">
      <w:r>
        <w:rPr>
          <w:rFonts w:hint="eastAsia"/>
        </w:rPr>
        <w:t>普乐堡镇</w:t>
      </w:r>
      <w:r>
        <w:t>现状草地</w:t>
      </w:r>
      <w:r>
        <w:rPr>
          <w:rFonts w:hint="eastAsia"/>
        </w:rPr>
        <w:t>主要是</w:t>
      </w:r>
      <w:r>
        <w:t>其他草地，规划期内大力维护天然草地，合理利用草地资源，及时修复草地生态环境。有序实施草地生态恢复与综合治理，提升草地生态质量，最大程度保护原生植被不受破坏，增加草地物种生物多样性，维护草地生态系统稳定性，稳固草地在防风固沙、水土保持等方面的积极作用。</w:t>
      </w:r>
    </w:p>
    <w:p w14:paraId="69621FE3">
      <w:pPr>
        <w:pStyle w:val="4"/>
        <w:bidi w:val="0"/>
        <w:rPr>
          <w:rFonts w:hint="eastAsia"/>
        </w:rPr>
      </w:pPr>
      <w:r>
        <w:t>预防林草资源退化</w:t>
      </w:r>
    </w:p>
    <w:p w14:paraId="746E3695">
      <w:r>
        <w:t>对林草资源实行</w:t>
      </w:r>
      <w:r>
        <w:rPr>
          <w:rFonts w:hint="eastAsia"/>
        </w:rPr>
        <w:t>“</w:t>
      </w:r>
      <w:r>
        <w:t>总量控制、区域稳定、动态管理、增减平衡</w:t>
      </w:r>
      <w:r>
        <w:rPr>
          <w:rFonts w:hint="eastAsia"/>
        </w:rPr>
        <w:t>”</w:t>
      </w:r>
      <w:r>
        <w:t>的管理机制，在不影响整体森林生态系统功能发挥和破坏森林植被的前提下，提升森林综合效益，构建稳定的森林生态系统。大力实施草地维护，避免草地生态失衡。</w:t>
      </w:r>
    </w:p>
    <w:p w14:paraId="4330DA48">
      <w:pPr>
        <w:pStyle w:val="3"/>
        <w:bidi w:val="0"/>
      </w:pPr>
      <w:bookmarkStart w:id="56" w:name="_Toc154493887"/>
      <w:bookmarkStart w:id="57" w:name="_Toc152937200"/>
      <w:bookmarkStart w:id="58" w:name="_Toc13813"/>
      <w:bookmarkStart w:id="59" w:name="_Toc11733"/>
      <w:bookmarkStart w:id="60" w:name="_Toc2432"/>
      <w:bookmarkStart w:id="61" w:name="_Hlk181267685"/>
      <w:r>
        <w:rPr>
          <w:rFonts w:hint="eastAsia"/>
        </w:rPr>
        <w:t>矿产资源</w:t>
      </w:r>
      <w:bookmarkEnd w:id="56"/>
      <w:bookmarkEnd w:id="57"/>
      <w:bookmarkEnd w:id="58"/>
      <w:bookmarkEnd w:id="59"/>
      <w:bookmarkEnd w:id="60"/>
    </w:p>
    <w:p w14:paraId="4432C237">
      <w:pPr>
        <w:pStyle w:val="4"/>
        <w:bidi w:val="0"/>
        <w:rPr>
          <w:rFonts w:hint="eastAsia"/>
        </w:rPr>
      </w:pPr>
      <w:r>
        <w:t>合理利用矿产资源</w:t>
      </w:r>
    </w:p>
    <w:p w14:paraId="6A518B73">
      <w:r>
        <w:rPr>
          <w:rFonts w:hint="eastAsia"/>
        </w:rPr>
        <w:t>落实桓仁满族自治县划定的矿产资源控制线，落实桓仁满族自治县划定的禁止和限制开采区域，落实矿产资源分区管控要求，引导矿产资源有序开发。禁止开采可耕地的砖瓦用粘土等矿产。科学合理开发已设有效采矿权，大幅度降低采矿活动对生态环境造成的不良影响。</w:t>
      </w:r>
    </w:p>
    <w:p w14:paraId="555FA1F4">
      <w:r>
        <w:rPr>
          <w:rFonts w:hint="eastAsia"/>
        </w:rPr>
        <w:t>严格总量控制和开采准入，各类矿产资源的开发利用总量控制要求符合相关规划，强化对矿产资源开发管理，协调资源开发与环境保护，严禁超能力生产。根据现有矿产资源储量和生产能力，统筹开发规模和时序，保障矿产资源可持续供给。</w:t>
      </w:r>
    </w:p>
    <w:p w14:paraId="50D4EC0D">
      <w:r>
        <w:rPr>
          <w:rFonts w:hint="eastAsia"/>
        </w:rPr>
        <w:t>各类矿产资源勘察开采区应符合国土空间规划中生态保护红线、永久基本农田、城镇开发边界三条主要控制线以及相关法律法规和规划规定的各类禁止、限制勘查开采区域的管控要求。</w:t>
      </w:r>
    </w:p>
    <w:p w14:paraId="13708378">
      <w:pPr>
        <w:pStyle w:val="4"/>
        <w:bidi w:val="0"/>
        <w:rPr>
          <w:rFonts w:hint="eastAsia"/>
        </w:rPr>
      </w:pPr>
      <w:r>
        <w:t>强化矿产资源开发利用</w:t>
      </w:r>
    </w:p>
    <w:p w14:paraId="5E7056C7">
      <w:r>
        <w:rPr>
          <w:rFonts w:hint="eastAsia"/>
        </w:rPr>
        <w:t>各类勘察开采区应符合国土空间规划中生态保护红线、永久基本农田、城镇开发边界三条主要控制线以及相关法律法规和规划规定的各类禁止、限制勘查开采区域的管控要求。</w:t>
      </w:r>
    </w:p>
    <w:bookmarkEnd w:id="61"/>
    <w:p w14:paraId="16BDF560">
      <w:pPr>
        <w:ind w:firstLine="0" w:firstLineChars="0"/>
      </w:pPr>
    </w:p>
    <w:p w14:paraId="107B18A1">
      <w:pPr>
        <w:pStyle w:val="3"/>
        <w:bidi w:val="0"/>
      </w:pPr>
      <w:bookmarkStart w:id="62" w:name="_Toc133419359"/>
      <w:bookmarkStart w:id="63" w:name="_Toc10751"/>
      <w:bookmarkStart w:id="64" w:name="_Toc4445"/>
      <w:bookmarkStart w:id="65" w:name="_Toc152937201"/>
      <w:r>
        <w:t>历史文化</w:t>
      </w:r>
      <w:bookmarkEnd w:id="62"/>
      <w:r>
        <w:rPr>
          <w:rFonts w:hint="eastAsia"/>
        </w:rPr>
        <w:t>资源</w:t>
      </w:r>
      <w:bookmarkEnd w:id="63"/>
      <w:bookmarkEnd w:id="64"/>
      <w:bookmarkEnd w:id="65"/>
    </w:p>
    <w:p w14:paraId="5D6C872B">
      <w:pPr>
        <w:pStyle w:val="4"/>
        <w:bidi w:val="0"/>
        <w:rPr>
          <w:rFonts w:hint="eastAsia"/>
        </w:rPr>
      </w:pPr>
      <w:bookmarkStart w:id="66" w:name="_Toc381691"/>
      <w:r>
        <w:t>推进历史文化资源保护利用</w:t>
      </w:r>
    </w:p>
    <w:p w14:paraId="278A5CAE">
      <w:r>
        <w:rPr>
          <w:rFonts w:hint="eastAsia"/>
        </w:rPr>
        <w:t>积极推动历史文化名镇名村、传统村落申报。积极挖掘普乐堡镇传统村落，加大传统村落申报和保护力度，坚持以人为本，把传统村落继承好、保护好、开发好。严格按照各主管部门制定的保护规划进行保护，减少人为活动对文物本体及周边环境影响。依据历史、生态、功能等要素划定重点控制区域，加强对建筑高度、体量、色彩、风格等要素管控。</w:t>
      </w:r>
    </w:p>
    <w:p w14:paraId="021253CF">
      <w:pPr>
        <w:pStyle w:val="4"/>
        <w:bidi w:val="0"/>
        <w:rPr>
          <w:rFonts w:hint="eastAsia"/>
        </w:rPr>
      </w:pPr>
      <w:r>
        <w:t>实施历史文化保护线管控</w:t>
      </w:r>
    </w:p>
    <w:bookmarkEnd w:id="66"/>
    <w:p w14:paraId="1425E273">
      <w:r>
        <w:rPr>
          <w:rFonts w:hint="eastAsia"/>
        </w:rPr>
        <w:t>划定历史文化保护线。将文物保护单位保护范围界线纳入历史保护线，落实中共南满省委机关、三道旺抗联兵营遗址等文物保护单位范围</w:t>
      </w:r>
      <w:r>
        <w:t>，</w:t>
      </w:r>
      <w:r>
        <w:rPr>
          <w:rFonts w:hint="eastAsia"/>
        </w:rPr>
        <w:t>对</w:t>
      </w:r>
      <w:r>
        <w:t>建设控制范围规划新建建筑</w:t>
      </w:r>
      <w:r>
        <w:rPr>
          <w:rFonts w:hint="eastAsia"/>
        </w:rPr>
        <w:t>进行</w:t>
      </w:r>
      <w:r>
        <w:t>高度控制。对文物保护单位遵循“不改变文物原状”的原则，划定保护范围与建设控制地带，强化对文物保护单位的保护管理。对文物主管部门核定可能存在历史文化遗存的土地，实行“先考古、后出让”制度。对历史建筑遵循“保持原有外形和风貌”的原则，进行加固修缮保护。对于纳入历史文化遗产保护名录、但暂不具备历史文化保护线划定基础的，加强部门协同，及时落实动态补划。</w:t>
      </w:r>
    </w:p>
    <w:p w14:paraId="0C6D1CBE">
      <w:pPr>
        <w:pStyle w:val="4"/>
        <w:bidi w:val="0"/>
        <w:rPr>
          <w:rFonts w:hint="eastAsia"/>
        </w:rPr>
      </w:pPr>
      <w:bookmarkStart w:id="67" w:name="_Toc381697"/>
      <w:bookmarkStart w:id="68" w:name="_Toc381700"/>
      <w:r>
        <w:t>妥善保护利用文物古迹</w:t>
      </w:r>
      <w:bookmarkEnd w:id="67"/>
    </w:p>
    <w:p w14:paraId="50F449AA">
      <w:r>
        <w:t>严格保护各级文物保护单位的原址、原物、原状，明确保护要求和管理责任，严禁任何对文物本体造成破坏的行为，加强文物周边环境整治，提高历史环境品质，划定保护范围、建设控制地带和风貌协调区。保护范围内不得随意改变原有现状建筑；建设控制地带严格控制建设，加强维修可保留建筑，逐步拆除不需保留建筑，凡有新建建筑，应在外观、造型、体量、高度、色彩上和保护对象协调；风貌协调区内各种修建活动不得改变建筑周围原有的空间景观特征，外形与色彩应与历史环境相统一。</w:t>
      </w:r>
    </w:p>
    <w:p w14:paraId="5780C05F">
      <w:pPr>
        <w:spacing w:line="240" w:lineRule="auto"/>
        <w:ind w:left="0" w:leftChars="0" w:firstLine="0" w:firstLineChars="0"/>
        <w:rPr>
          <w:rFonts w:hint="eastAsia" w:eastAsia="仿宋_GB2312"/>
          <w:lang w:eastAsia="zh-CN"/>
        </w:rPr>
      </w:pPr>
      <w:r>
        <w:rPr>
          <w:rFonts w:hint="eastAsia" w:eastAsia="仿宋_GB2312"/>
          <w:lang w:eastAsia="zh-CN"/>
        </w:rPr>
        <w:drawing>
          <wp:inline distT="0" distB="0" distL="114300" distR="114300">
            <wp:extent cx="5341620" cy="3644265"/>
            <wp:effectExtent l="0" t="0" r="0" b="0"/>
            <wp:docPr id="7" name="图片 7" descr="210522104普乐堡镇12历史文化保护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10522104普乐堡镇12历史文化保护规划图"/>
                    <pic:cNvPicPr>
                      <a:picLocks noChangeAspect="1"/>
                    </pic:cNvPicPr>
                  </pic:nvPicPr>
                  <pic:blipFill>
                    <a:blip r:embed="rId30"/>
                    <a:srcRect l="1025" t="5438" r="990" b="-16"/>
                    <a:stretch>
                      <a:fillRect/>
                    </a:stretch>
                  </pic:blipFill>
                  <pic:spPr>
                    <a:xfrm>
                      <a:off x="0" y="0"/>
                      <a:ext cx="5341620" cy="3644265"/>
                    </a:xfrm>
                    <a:prstGeom prst="rect">
                      <a:avLst/>
                    </a:prstGeom>
                  </pic:spPr>
                </pic:pic>
              </a:graphicData>
            </a:graphic>
          </wp:inline>
        </w:drawing>
      </w:r>
    </w:p>
    <w:p w14:paraId="50E5A8B9">
      <w:pPr>
        <w:spacing w:line="240" w:lineRule="auto"/>
        <w:ind w:left="0" w:leftChars="0" w:firstLine="0" w:firstLineChars="0"/>
        <w:jc w:val="center"/>
        <w:rPr>
          <w:rFonts w:hint="eastAsia" w:eastAsia="仿宋_GB2312"/>
          <w:lang w:eastAsia="zh-CN"/>
        </w:rPr>
      </w:pPr>
      <w:r>
        <w:rPr>
          <w:rFonts w:hint="eastAsia" w:eastAsia="黑体" w:cs="Times New Roman"/>
          <w:sz w:val="32"/>
          <w:szCs w:val="22"/>
          <w:u w:val="none"/>
          <w:lang w:val="en-US" w:eastAsia="zh-CN"/>
        </w:rPr>
        <w:t>图4.1 历史文化保护规划图</w:t>
      </w:r>
    </w:p>
    <w:p w14:paraId="6B4C1458">
      <w:pPr>
        <w:spacing w:line="240" w:lineRule="auto"/>
        <w:ind w:left="0" w:leftChars="0" w:firstLine="0" w:firstLineChars="0"/>
        <w:rPr>
          <w:rFonts w:hint="eastAsia" w:eastAsia="仿宋_GB2312"/>
          <w:lang w:eastAsia="zh-CN"/>
        </w:rPr>
      </w:pPr>
    </w:p>
    <w:bookmarkEnd w:id="68"/>
    <w:p w14:paraId="46BAD1C7">
      <w:pPr>
        <w:pStyle w:val="4"/>
        <w:bidi w:val="0"/>
        <w:rPr>
          <w:rFonts w:hint="eastAsia"/>
        </w:rPr>
      </w:pPr>
      <w:bookmarkStart w:id="69" w:name="_Toc381699"/>
      <w:r>
        <w:t>非物质文化遗产的保护传承</w:t>
      </w:r>
      <w:bookmarkEnd w:id="69"/>
    </w:p>
    <w:p w14:paraId="080EA307">
      <w:r>
        <w:t>以物质文化遗产为依托落实保护传承的空间，鼓励支持非物质文化遗产传习活动。依托传承人、传承基地、学校、镇区广泛开展丰富多彩的非遗传承活动。</w:t>
      </w:r>
      <w:r>
        <w:rPr>
          <w:rFonts w:hint="eastAsia"/>
        </w:rPr>
        <w:t>建立非物质文化遗产的档案和数据库。通过发掘、记录、整理和登记，建立非物质文化遗产的档案和数据库，建立完善的档案，以影音资料和图像、文字形式予以记录和保存，形成多种形式的宣传产品。</w:t>
      </w:r>
    </w:p>
    <w:bookmarkEnd w:id="43"/>
    <w:p w14:paraId="3490EDF4">
      <w:pPr>
        <w:pStyle w:val="2"/>
        <w:bidi w:val="0"/>
        <w:rPr>
          <w:rFonts w:hint="eastAsia"/>
        </w:rPr>
      </w:pPr>
      <w:bookmarkStart w:id="70" w:name="_Toc2027"/>
      <w:bookmarkStart w:id="71" w:name="_Toc152937202"/>
      <w:bookmarkStart w:id="72" w:name="_Toc14887"/>
      <w:r>
        <w:rPr>
          <w:rFonts w:hint="eastAsia"/>
        </w:rPr>
        <w:t>镇村统筹发展</w:t>
      </w:r>
      <w:bookmarkEnd w:id="70"/>
      <w:bookmarkEnd w:id="71"/>
      <w:bookmarkEnd w:id="72"/>
    </w:p>
    <w:p w14:paraId="37057C23">
      <w:pPr>
        <w:pStyle w:val="3"/>
        <w:bidi w:val="0"/>
      </w:pPr>
      <w:bookmarkStart w:id="73" w:name="_Toc152937203"/>
      <w:bookmarkStart w:id="74" w:name="_Toc2502"/>
      <w:bookmarkStart w:id="75" w:name="_Toc22444"/>
      <w:r>
        <w:t>镇村体系</w:t>
      </w:r>
      <w:r>
        <w:rPr>
          <w:rFonts w:hint="eastAsia"/>
        </w:rPr>
        <w:t>构建</w:t>
      </w:r>
      <w:bookmarkEnd w:id="73"/>
      <w:bookmarkEnd w:id="74"/>
      <w:bookmarkEnd w:id="75"/>
    </w:p>
    <w:p w14:paraId="68782407">
      <w:pPr>
        <w:pStyle w:val="4"/>
        <w:bidi w:val="0"/>
        <w:rPr>
          <w:rFonts w:hint="eastAsia"/>
        </w:rPr>
      </w:pPr>
      <w:r>
        <w:rPr>
          <w:rFonts w:hint="eastAsia"/>
        </w:rPr>
        <w:t>合理预测</w:t>
      </w:r>
      <w:r>
        <w:t>人口</w:t>
      </w:r>
      <w:r>
        <w:rPr>
          <w:rFonts w:hint="eastAsia"/>
        </w:rPr>
        <w:t>规模</w:t>
      </w:r>
    </w:p>
    <w:p w14:paraId="640B0E29">
      <w:r>
        <w:t>顺应城镇化高质量发展和城镇化发展阶段特征，积极应对人口减少与老龄化现象。</w:t>
      </w:r>
      <w:bookmarkStart w:id="76" w:name="_Hlk131409854"/>
      <w:bookmarkStart w:id="77" w:name="_Hlk131410016"/>
      <w:r>
        <w:t>规划至2025年，</w:t>
      </w:r>
      <w:r>
        <w:rPr>
          <w:rFonts w:hint="eastAsia"/>
        </w:rPr>
        <w:t>普乐堡镇全</w:t>
      </w:r>
      <w:r>
        <w:t>域</w:t>
      </w:r>
      <w:r>
        <w:rPr>
          <w:rFonts w:hint="eastAsia"/>
        </w:rPr>
        <w:t>总</w:t>
      </w:r>
      <w:r>
        <w:t>人口规模约</w:t>
      </w:r>
      <w:r>
        <w:rPr>
          <w:rFonts w:hint="eastAsia"/>
        </w:rPr>
        <w:t>1.29</w:t>
      </w:r>
      <w:r>
        <w:t>万人</w:t>
      </w:r>
      <w:bookmarkEnd w:id="76"/>
      <w:r>
        <w:t>，</w:t>
      </w:r>
      <w:r>
        <w:rPr>
          <w:rFonts w:hint="eastAsia"/>
        </w:rPr>
        <w:t>镇中心区</w:t>
      </w:r>
      <w:r>
        <w:t>人口达到0.</w:t>
      </w:r>
      <w:r>
        <w:rPr>
          <w:rFonts w:hint="eastAsia"/>
        </w:rPr>
        <w:t>4</w:t>
      </w:r>
      <w:r>
        <w:t>万人。</w:t>
      </w:r>
      <w:r>
        <w:rPr>
          <w:rFonts w:hint="eastAsia"/>
        </w:rPr>
        <w:t>到</w:t>
      </w:r>
      <w:r>
        <w:t>2035年，</w:t>
      </w:r>
      <w:r>
        <w:rPr>
          <w:rFonts w:hint="eastAsia"/>
        </w:rPr>
        <w:t>普乐堡镇</w:t>
      </w:r>
      <w:r>
        <w:t>域常住人口规模约</w:t>
      </w:r>
      <w:r>
        <w:rPr>
          <w:rFonts w:hint="eastAsia"/>
        </w:rPr>
        <w:t>1.30</w:t>
      </w:r>
      <w:r>
        <w:t>万人</w:t>
      </w:r>
      <w:bookmarkEnd w:id="77"/>
      <w:r>
        <w:t>，</w:t>
      </w:r>
      <w:r>
        <w:rPr>
          <w:rFonts w:hint="eastAsia"/>
        </w:rPr>
        <w:t>镇中心区</w:t>
      </w:r>
      <w:r>
        <w:t>人口达到</w:t>
      </w:r>
      <w:r>
        <w:rPr>
          <w:rFonts w:hint="eastAsia"/>
        </w:rPr>
        <w:t>0.84</w:t>
      </w:r>
      <w:r>
        <w:t>万人。</w:t>
      </w:r>
      <w:r>
        <w:rPr>
          <w:rFonts w:hint="eastAsia"/>
        </w:rPr>
        <w:t>镇中心区</w:t>
      </w:r>
      <w:r>
        <w:t>是未来</w:t>
      </w:r>
      <w:r>
        <w:rPr>
          <w:rFonts w:hint="eastAsia"/>
        </w:rPr>
        <w:t>普乐堡镇</w:t>
      </w:r>
      <w:r>
        <w:t>新型城镇化建设重点地区，将持续优化人口结构，提升城镇化质量。</w:t>
      </w:r>
    </w:p>
    <w:p w14:paraId="172B3122">
      <w:pPr>
        <w:pStyle w:val="4"/>
        <w:bidi w:val="0"/>
        <w:rPr>
          <w:rFonts w:hint="eastAsia"/>
        </w:rPr>
      </w:pPr>
      <w:r>
        <w:t>优化城镇体系结构</w:t>
      </w:r>
    </w:p>
    <w:p w14:paraId="6F08B0F4">
      <w:bookmarkStart w:id="78" w:name="_Hlk131410109"/>
      <w:r>
        <w:rPr>
          <w:rFonts w:hint="eastAsia"/>
        </w:rPr>
        <w:t>基于普乐堡镇城镇化发展阶段特征，因地制宜推进形成区域一体、城乡融合的网络型城镇空间布局。规划</w:t>
      </w:r>
      <w:r>
        <w:t>形成</w:t>
      </w:r>
      <w:r>
        <w:rPr>
          <w:rFonts w:hint="eastAsia"/>
        </w:rPr>
        <w:t>“</w:t>
      </w:r>
      <w:r>
        <w:t>镇-</w:t>
      </w:r>
      <w:r>
        <w:rPr>
          <w:rFonts w:hint="eastAsia"/>
        </w:rPr>
        <w:t>中心村-一般村”三</w:t>
      </w:r>
      <w:r>
        <w:t>级</w:t>
      </w:r>
      <w:r>
        <w:rPr>
          <w:rFonts w:hint="eastAsia"/>
        </w:rPr>
        <w:t>镇村</w:t>
      </w:r>
      <w:r>
        <w:t>体系</w:t>
      </w:r>
      <w:r>
        <w:rPr>
          <w:rFonts w:hint="eastAsia"/>
        </w:rPr>
        <w:t>，形成“</w:t>
      </w:r>
      <w:r>
        <w:t>1+</w:t>
      </w:r>
      <w:r>
        <w:rPr>
          <w:rFonts w:hint="eastAsia"/>
        </w:rPr>
        <w:t>3</w:t>
      </w:r>
      <w:r>
        <w:t>+</w:t>
      </w:r>
      <w:r>
        <w:rPr>
          <w:rFonts w:hint="eastAsia"/>
        </w:rPr>
        <w:t>4</w:t>
      </w:r>
      <w:r>
        <w:t>”镇</w:t>
      </w:r>
      <w:r>
        <w:rPr>
          <w:rFonts w:hint="eastAsia"/>
        </w:rPr>
        <w:t>村</w:t>
      </w:r>
      <w:r>
        <w:t>体系结构，即1个</w:t>
      </w:r>
      <w:r>
        <w:rPr>
          <w:rFonts w:hint="eastAsia"/>
        </w:rPr>
        <w:t>镇中心区</w:t>
      </w:r>
      <w:r>
        <w:t>、</w:t>
      </w:r>
      <w:r>
        <w:rPr>
          <w:rFonts w:hint="eastAsia"/>
        </w:rPr>
        <w:t>3</w:t>
      </w:r>
      <w:r>
        <w:t>个</w:t>
      </w:r>
      <w:r>
        <w:rPr>
          <w:rFonts w:hint="eastAsia"/>
        </w:rPr>
        <w:t>中心村</w:t>
      </w:r>
      <w:r>
        <w:t>、</w:t>
      </w:r>
      <w:r>
        <w:rPr>
          <w:rFonts w:hint="eastAsia"/>
        </w:rPr>
        <w:t>4</w:t>
      </w:r>
      <w:r>
        <w:t>个</w:t>
      </w:r>
      <w:r>
        <w:rPr>
          <w:rFonts w:hint="eastAsia"/>
        </w:rPr>
        <w:t>一般村，</w:t>
      </w:r>
      <w:r>
        <w:t>形成以</w:t>
      </w:r>
      <w:r>
        <w:rPr>
          <w:rFonts w:hint="eastAsia"/>
        </w:rPr>
        <w:t>镇中心区、中心村</w:t>
      </w:r>
      <w:r>
        <w:t>为依托，带动</w:t>
      </w:r>
      <w:r>
        <w:rPr>
          <w:rFonts w:hint="eastAsia"/>
        </w:rPr>
        <w:t>一般村</w:t>
      </w:r>
      <w:r>
        <w:t>的发展格局。</w:t>
      </w:r>
    </w:p>
    <w:p w14:paraId="3B79650C">
      <w:r>
        <w:rPr>
          <w:rFonts w:hint="eastAsia"/>
        </w:rPr>
        <w:t>镇区</w:t>
      </w:r>
      <w:r>
        <w:t>：</w:t>
      </w:r>
      <w:bookmarkStart w:id="79" w:name="_Hlk131007059"/>
      <w:r>
        <w:rPr>
          <w:rFonts w:hint="eastAsia"/>
        </w:rPr>
        <w:t>普乐堡镇镇政府驻地是城乡综合服务中心和产业聚集发展区</w:t>
      </w:r>
      <w:r>
        <w:t>。</w:t>
      </w:r>
      <w:bookmarkEnd w:id="79"/>
    </w:p>
    <w:p w14:paraId="3B26401F">
      <w:r>
        <w:rPr>
          <w:rFonts w:hint="eastAsia"/>
        </w:rPr>
        <w:t>中心村</w:t>
      </w:r>
      <w:r>
        <w:t>：</w:t>
      </w:r>
      <w:r>
        <w:rPr>
          <w:rFonts w:hint="eastAsia"/>
        </w:rPr>
        <w:t>梨树村、普乐堡村、老漫子村。中心村促进人口集聚，预留产业发展空间，承担各片区农村的生产和生活综合服务功能</w:t>
      </w:r>
      <w:r>
        <w:t>。</w:t>
      </w:r>
    </w:p>
    <w:bookmarkEnd w:id="78"/>
    <w:p w14:paraId="4576B908">
      <w:r>
        <w:rPr>
          <w:rFonts w:hint="eastAsia"/>
        </w:rPr>
        <w:t>一般村：除中心村外，夹道子村、大青沟村、瓦房村、龙泉村。定位为一般村，是农村生活、日常公共服务中心和专业化农业生产基地。</w:t>
      </w:r>
    </w:p>
    <w:p w14:paraId="76A54497">
      <w:pPr>
        <w:pStyle w:val="4"/>
        <w:bidi w:val="0"/>
        <w:rPr>
          <w:rFonts w:hint="eastAsia"/>
        </w:rPr>
      </w:pPr>
      <w:r>
        <w:t>优化城镇规模等级</w:t>
      </w:r>
    </w:p>
    <w:p w14:paraId="3D454925">
      <w:r>
        <w:rPr>
          <w:rFonts w:hint="eastAsia"/>
        </w:rPr>
        <w:t>结合人口现状、人口结构、人口流动规律等因素，合理预测户籍人口和常住人口规模，进一步分解镇政府驻地人口和各行政村人口规模</w:t>
      </w:r>
      <w:r>
        <w:t>。</w:t>
      </w:r>
    </w:p>
    <w:p w14:paraId="2613E6B0">
      <w:pPr>
        <w:pStyle w:val="4"/>
        <w:bidi w:val="0"/>
        <w:rPr>
          <w:rFonts w:hint="eastAsia"/>
        </w:rPr>
      </w:pPr>
      <w:r>
        <w:rPr>
          <w:rFonts w:hint="eastAsia"/>
        </w:rPr>
        <w:t>合理控制村庄建设用地规模</w:t>
      </w:r>
    </w:p>
    <w:p w14:paraId="6485A409">
      <w:r>
        <w:rPr>
          <w:rFonts w:hint="eastAsia"/>
        </w:rPr>
        <w:t>在镇域内统筹分区分类编制村庄规划，合理划定村庄建设边界，控制村庄建设用地总量，重点保障农民建房、村庄内部基础设施和农村公益事业、农村二三产业发展用地，积极复垦、盘活存量集体建设用地，探索农村宅基地所有权、资格权、使用权分置实现形式，健全废弃集体公益性建设用地有偿处置政策，稳妥推进农村集体经营性建设用地入市，推动宜居宜业和美乡村建设</w:t>
      </w:r>
      <w:r>
        <w:t>。</w:t>
      </w:r>
    </w:p>
    <w:p w14:paraId="75F2CCA6">
      <w:pPr>
        <w:pStyle w:val="3"/>
        <w:bidi w:val="0"/>
      </w:pPr>
      <w:bookmarkStart w:id="80" w:name="_Toc152937204"/>
      <w:bookmarkStart w:id="81" w:name="_Toc16723"/>
      <w:bookmarkStart w:id="82" w:name="_Toc25552"/>
      <w:r>
        <w:rPr>
          <w:rFonts w:hint="eastAsia"/>
        </w:rPr>
        <w:t>村庄</w:t>
      </w:r>
      <w:bookmarkEnd w:id="80"/>
      <w:r>
        <w:rPr>
          <w:rFonts w:hint="eastAsia"/>
        </w:rPr>
        <w:t>布局</w:t>
      </w:r>
      <w:bookmarkEnd w:id="81"/>
      <w:bookmarkEnd w:id="82"/>
    </w:p>
    <w:p w14:paraId="7EA20545">
      <w:pPr>
        <w:pStyle w:val="4"/>
        <w:bidi w:val="0"/>
        <w:rPr>
          <w:rFonts w:hint="eastAsia"/>
        </w:rPr>
      </w:pPr>
      <w:r>
        <w:t>分类引导推进村庄发展</w:t>
      </w:r>
    </w:p>
    <w:p w14:paraId="28B129C5">
      <w:r>
        <w:rPr>
          <w:rFonts w:hint="eastAsia"/>
        </w:rPr>
        <w:t>改善乡村人居环境，保护提升乡村风貌格局，顺应村庄发展规律和演变趋势，根据不同村庄的发展现状、区位条件、资源禀赋等，加强村庄发展的分类引导，分类推进乡村发展。按照《辽宁省村庄规划编制导则》要求，将普乐堡镇7</w:t>
      </w:r>
      <w:r>
        <w:t>个行政村划分为整治提升类、城郊融合类、</w:t>
      </w:r>
      <w:r>
        <w:rPr>
          <w:rFonts w:hint="eastAsia"/>
        </w:rPr>
        <w:t>特色保护类三</w:t>
      </w:r>
      <w:r>
        <w:t>种类型，分类施策、统筹推进乡村建设。改善乡村人居环境，保护提升乡村风貌格局，顺应村庄发展规律和演变趋势，根据不同村庄的发展现状、区位条件、资源禀赋等，加强村庄发展的分类引导，分类推进乡村发展。</w:t>
      </w:r>
    </w:p>
    <w:p w14:paraId="4C6C9472">
      <w:pPr>
        <w:keepNext w:val="0"/>
        <w:keepLines w:val="0"/>
        <w:pageBreakBefore w:val="0"/>
        <w:widowControl w:val="0"/>
        <w:kinsoku/>
        <w:wordWrap/>
        <w:overflowPunct/>
        <w:topLinePunct w:val="0"/>
        <w:autoSpaceDE/>
        <w:autoSpaceDN/>
        <w:bidi w:val="0"/>
        <w:adjustRightInd w:val="0"/>
        <w:snapToGrid w:val="0"/>
        <w:spacing w:after="157" w:afterLines="50" w:line="600" w:lineRule="atLeast"/>
        <w:ind w:firstLine="0" w:firstLineChars="0"/>
        <w:jc w:val="center"/>
        <w:textAlignment w:val="auto"/>
        <w:outlineLvl w:val="9"/>
        <w:rPr>
          <w:rFonts w:hint="default" w:ascii="仿宋_GB2312" w:hAnsi="仿宋_GB2312" w:eastAsia="仿宋_GB2312"/>
          <w:szCs w:val="24"/>
          <w:lang w:val="en-US" w:eastAsia="zh-CN"/>
        </w:rPr>
      </w:pPr>
      <w:r>
        <w:rPr>
          <w:rFonts w:hint="eastAsia" w:eastAsia="黑体" w:cs="Times New Roman"/>
          <w:sz w:val="32"/>
          <w:szCs w:val="22"/>
          <w:u w:val="none"/>
          <w:lang w:val="en-US" w:eastAsia="zh-CN"/>
        </w:rPr>
        <w:t>表5.1村庄分类表</w:t>
      </w:r>
    </w:p>
    <w:tbl>
      <w:tblPr>
        <w:tblStyle w:val="13"/>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331"/>
        <w:gridCol w:w="1004"/>
        <w:gridCol w:w="1667"/>
        <w:gridCol w:w="1668"/>
        <w:gridCol w:w="1668"/>
      </w:tblGrid>
      <w:tr w14:paraId="2D216C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Align w:val="center"/>
          </w:tcPr>
          <w:p w14:paraId="431D862A">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行政村类型</w:t>
            </w:r>
          </w:p>
        </w:tc>
        <w:tc>
          <w:tcPr>
            <w:tcW w:w="1004" w:type="dxa"/>
            <w:vAlign w:val="center"/>
          </w:tcPr>
          <w:p w14:paraId="3DD606DF">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数量</w:t>
            </w:r>
          </w:p>
        </w:tc>
        <w:tc>
          <w:tcPr>
            <w:tcW w:w="1667" w:type="dxa"/>
            <w:vAlign w:val="center"/>
          </w:tcPr>
          <w:p w14:paraId="2B04DACC">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名称</w:t>
            </w:r>
          </w:p>
        </w:tc>
        <w:tc>
          <w:tcPr>
            <w:tcW w:w="1668" w:type="dxa"/>
            <w:vAlign w:val="center"/>
          </w:tcPr>
          <w:p w14:paraId="7E258FDB">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人口规模</w:t>
            </w:r>
          </w:p>
        </w:tc>
        <w:tc>
          <w:tcPr>
            <w:tcW w:w="1668" w:type="dxa"/>
            <w:vAlign w:val="center"/>
          </w:tcPr>
          <w:p w14:paraId="2D96AC79">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备注</w:t>
            </w:r>
          </w:p>
        </w:tc>
      </w:tr>
      <w:tr w14:paraId="7A1C6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Merge w:val="restart"/>
            <w:vAlign w:val="center"/>
          </w:tcPr>
          <w:p w14:paraId="16F76997">
            <w:pPr>
              <w:widowControl w:val="0"/>
              <w:adjustRightInd/>
              <w:snapToGrid/>
              <w:spacing w:line="240" w:lineRule="auto"/>
              <w:ind w:firstLine="0" w:firstLineChars="0"/>
              <w:jc w:val="center"/>
              <w:rPr>
                <w:rFonts w:ascii="仿宋" w:eastAsia="仿宋"/>
                <w:sz w:val="21"/>
                <w:szCs w:val="21"/>
              </w:rPr>
            </w:pPr>
            <w:r>
              <w:rPr>
                <w:rFonts w:hint="eastAsia" w:ascii="仿宋" w:hAnsi="仿宋" w:eastAsia="仿宋" w:cs="仿宋"/>
                <w:kern w:val="0"/>
                <w:sz w:val="20"/>
                <w:szCs w:val="21"/>
              </w:rPr>
              <w:t>整治提升类</w:t>
            </w:r>
          </w:p>
        </w:tc>
        <w:tc>
          <w:tcPr>
            <w:tcW w:w="1004" w:type="dxa"/>
            <w:vMerge w:val="restart"/>
            <w:vAlign w:val="center"/>
          </w:tcPr>
          <w:p w14:paraId="2B1A01D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3</w:t>
            </w:r>
          </w:p>
        </w:tc>
        <w:tc>
          <w:tcPr>
            <w:tcW w:w="1667" w:type="dxa"/>
            <w:vAlign w:val="center"/>
          </w:tcPr>
          <w:p w14:paraId="31B4227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夹道子村</w:t>
            </w:r>
          </w:p>
        </w:tc>
        <w:tc>
          <w:tcPr>
            <w:tcW w:w="1668" w:type="dxa"/>
          </w:tcPr>
          <w:p w14:paraId="5BFB2B0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0.1-0.2</w:t>
            </w:r>
          </w:p>
        </w:tc>
        <w:tc>
          <w:tcPr>
            <w:tcW w:w="1668" w:type="dxa"/>
          </w:tcPr>
          <w:p w14:paraId="4D0AECDF">
            <w:pPr>
              <w:adjustRightInd/>
              <w:snapToGrid/>
              <w:spacing w:line="240" w:lineRule="auto"/>
              <w:ind w:firstLine="0" w:firstLineChars="0"/>
              <w:jc w:val="center"/>
              <w:rPr>
                <w:rFonts w:hint="eastAsia" w:ascii="黑体" w:hAnsi="宋体" w:eastAsia="黑体" w:cs="黑体"/>
                <w:kern w:val="0"/>
                <w:sz w:val="24"/>
                <w:szCs w:val="24"/>
                <w:lang w:bidi="ar"/>
              </w:rPr>
            </w:pPr>
          </w:p>
        </w:tc>
      </w:tr>
      <w:tr w14:paraId="351C01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Merge w:val="continue"/>
            <w:vAlign w:val="center"/>
          </w:tcPr>
          <w:p w14:paraId="7DD10099">
            <w:pPr>
              <w:widowControl w:val="0"/>
              <w:adjustRightInd/>
              <w:snapToGrid/>
              <w:spacing w:line="240" w:lineRule="auto"/>
              <w:ind w:firstLine="0" w:firstLineChars="0"/>
              <w:jc w:val="center"/>
              <w:rPr>
                <w:rFonts w:ascii="仿宋" w:eastAsia="仿宋"/>
                <w:sz w:val="21"/>
                <w:szCs w:val="21"/>
              </w:rPr>
            </w:pPr>
          </w:p>
        </w:tc>
        <w:tc>
          <w:tcPr>
            <w:tcW w:w="1004" w:type="dxa"/>
            <w:vMerge w:val="continue"/>
            <w:vAlign w:val="center"/>
          </w:tcPr>
          <w:p w14:paraId="532F453D">
            <w:pPr>
              <w:widowControl w:val="0"/>
              <w:adjustRightInd/>
              <w:snapToGrid/>
              <w:spacing w:line="240" w:lineRule="auto"/>
              <w:ind w:firstLine="0" w:firstLineChars="0"/>
              <w:jc w:val="center"/>
              <w:rPr>
                <w:rFonts w:ascii="仿宋" w:eastAsia="仿宋"/>
                <w:sz w:val="21"/>
                <w:szCs w:val="21"/>
              </w:rPr>
            </w:pPr>
          </w:p>
        </w:tc>
        <w:tc>
          <w:tcPr>
            <w:tcW w:w="1667" w:type="dxa"/>
            <w:vAlign w:val="center"/>
          </w:tcPr>
          <w:p w14:paraId="59B350B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老漫子村</w:t>
            </w:r>
          </w:p>
        </w:tc>
        <w:tc>
          <w:tcPr>
            <w:tcW w:w="1668" w:type="dxa"/>
          </w:tcPr>
          <w:p w14:paraId="44DD8F4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0.3-0.4</w:t>
            </w:r>
          </w:p>
        </w:tc>
        <w:tc>
          <w:tcPr>
            <w:tcW w:w="1668" w:type="dxa"/>
          </w:tcPr>
          <w:p w14:paraId="51909B26">
            <w:pPr>
              <w:adjustRightInd/>
              <w:snapToGrid/>
              <w:spacing w:line="240" w:lineRule="auto"/>
              <w:ind w:firstLine="0" w:firstLineChars="0"/>
              <w:jc w:val="center"/>
              <w:rPr>
                <w:rFonts w:hint="eastAsia" w:ascii="黑体" w:hAnsi="宋体" w:eastAsia="黑体" w:cs="黑体"/>
                <w:kern w:val="0"/>
                <w:sz w:val="24"/>
                <w:szCs w:val="24"/>
                <w:lang w:bidi="ar"/>
              </w:rPr>
            </w:pPr>
          </w:p>
        </w:tc>
      </w:tr>
      <w:tr w14:paraId="55E870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trPr>
        <w:tc>
          <w:tcPr>
            <w:tcW w:w="2331" w:type="dxa"/>
            <w:vMerge w:val="continue"/>
            <w:vAlign w:val="center"/>
          </w:tcPr>
          <w:p w14:paraId="6E7D4011">
            <w:pPr>
              <w:widowControl w:val="0"/>
              <w:adjustRightInd/>
              <w:snapToGrid/>
              <w:spacing w:line="240" w:lineRule="auto"/>
              <w:ind w:firstLine="0" w:firstLineChars="0"/>
              <w:jc w:val="center"/>
              <w:rPr>
                <w:rFonts w:ascii="仿宋" w:eastAsia="仿宋"/>
                <w:sz w:val="21"/>
                <w:szCs w:val="21"/>
              </w:rPr>
            </w:pPr>
          </w:p>
        </w:tc>
        <w:tc>
          <w:tcPr>
            <w:tcW w:w="1004" w:type="dxa"/>
            <w:vMerge w:val="continue"/>
            <w:vAlign w:val="center"/>
          </w:tcPr>
          <w:p w14:paraId="572B11B4">
            <w:pPr>
              <w:widowControl w:val="0"/>
              <w:adjustRightInd/>
              <w:snapToGrid/>
              <w:spacing w:line="240" w:lineRule="auto"/>
              <w:ind w:firstLine="0" w:firstLineChars="0"/>
              <w:jc w:val="center"/>
              <w:rPr>
                <w:rFonts w:ascii="仿宋" w:eastAsia="仿宋"/>
                <w:sz w:val="21"/>
                <w:szCs w:val="21"/>
              </w:rPr>
            </w:pPr>
          </w:p>
        </w:tc>
        <w:tc>
          <w:tcPr>
            <w:tcW w:w="1667" w:type="dxa"/>
            <w:vAlign w:val="center"/>
          </w:tcPr>
          <w:p w14:paraId="4641ACC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龙泉村</w:t>
            </w:r>
          </w:p>
        </w:tc>
        <w:tc>
          <w:tcPr>
            <w:tcW w:w="1668" w:type="dxa"/>
          </w:tcPr>
          <w:p w14:paraId="0B0C0EB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0.1-0.2</w:t>
            </w:r>
          </w:p>
        </w:tc>
        <w:tc>
          <w:tcPr>
            <w:tcW w:w="1668" w:type="dxa"/>
          </w:tcPr>
          <w:p w14:paraId="71E58A6C">
            <w:pPr>
              <w:adjustRightInd/>
              <w:snapToGrid/>
              <w:spacing w:line="240" w:lineRule="auto"/>
              <w:ind w:firstLine="0" w:firstLineChars="0"/>
              <w:jc w:val="center"/>
              <w:rPr>
                <w:rFonts w:hint="eastAsia" w:ascii="黑体" w:hAnsi="宋体" w:eastAsia="黑体" w:cs="黑体"/>
                <w:kern w:val="0"/>
                <w:sz w:val="24"/>
                <w:szCs w:val="24"/>
                <w:lang w:bidi="ar"/>
              </w:rPr>
            </w:pPr>
          </w:p>
        </w:tc>
      </w:tr>
      <w:tr w14:paraId="7B0A5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331" w:type="dxa"/>
            <w:vMerge w:val="restart"/>
            <w:vAlign w:val="center"/>
          </w:tcPr>
          <w:p w14:paraId="543EA70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城郊融合类</w:t>
            </w:r>
          </w:p>
        </w:tc>
        <w:tc>
          <w:tcPr>
            <w:tcW w:w="1004" w:type="dxa"/>
            <w:vMerge w:val="restart"/>
            <w:vAlign w:val="center"/>
          </w:tcPr>
          <w:p w14:paraId="7858BC8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w:t>
            </w:r>
          </w:p>
        </w:tc>
        <w:tc>
          <w:tcPr>
            <w:tcW w:w="1667" w:type="dxa"/>
            <w:vAlign w:val="bottom"/>
          </w:tcPr>
          <w:p w14:paraId="19A98C2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梨树村</w:t>
            </w:r>
          </w:p>
        </w:tc>
        <w:tc>
          <w:tcPr>
            <w:tcW w:w="1668" w:type="dxa"/>
          </w:tcPr>
          <w:p w14:paraId="6041912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0.2-0.3</w:t>
            </w:r>
          </w:p>
        </w:tc>
        <w:tc>
          <w:tcPr>
            <w:tcW w:w="1668" w:type="dxa"/>
          </w:tcPr>
          <w:p w14:paraId="25A63CC4">
            <w:pPr>
              <w:adjustRightInd/>
              <w:snapToGrid/>
              <w:spacing w:line="240" w:lineRule="auto"/>
              <w:ind w:firstLine="0" w:firstLineChars="0"/>
              <w:jc w:val="center"/>
              <w:rPr>
                <w:rFonts w:hint="eastAsia" w:ascii="黑体" w:hAnsi="宋体" w:eastAsia="黑体" w:cs="黑体"/>
                <w:kern w:val="0"/>
                <w:sz w:val="24"/>
                <w:szCs w:val="24"/>
                <w:lang w:bidi="ar"/>
              </w:rPr>
            </w:pPr>
          </w:p>
        </w:tc>
      </w:tr>
      <w:tr w14:paraId="3D5C4C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331" w:type="dxa"/>
            <w:vMerge w:val="continue"/>
            <w:vAlign w:val="center"/>
          </w:tcPr>
          <w:p w14:paraId="17B857F5">
            <w:pPr>
              <w:widowControl w:val="0"/>
              <w:adjustRightInd/>
              <w:snapToGrid/>
              <w:spacing w:line="240" w:lineRule="auto"/>
              <w:ind w:firstLine="0" w:firstLineChars="0"/>
              <w:jc w:val="center"/>
              <w:rPr>
                <w:rFonts w:ascii="仿宋" w:eastAsia="仿宋"/>
                <w:sz w:val="21"/>
                <w:szCs w:val="21"/>
              </w:rPr>
            </w:pPr>
          </w:p>
        </w:tc>
        <w:tc>
          <w:tcPr>
            <w:tcW w:w="1004" w:type="dxa"/>
            <w:vMerge w:val="continue"/>
            <w:vAlign w:val="center"/>
          </w:tcPr>
          <w:p w14:paraId="19F69809">
            <w:pPr>
              <w:widowControl w:val="0"/>
              <w:adjustRightInd/>
              <w:snapToGrid/>
              <w:spacing w:line="240" w:lineRule="auto"/>
              <w:ind w:firstLine="0" w:firstLineChars="0"/>
              <w:jc w:val="center"/>
              <w:rPr>
                <w:rFonts w:ascii="仿宋" w:eastAsia="仿宋"/>
                <w:sz w:val="21"/>
                <w:szCs w:val="21"/>
              </w:rPr>
            </w:pPr>
          </w:p>
        </w:tc>
        <w:tc>
          <w:tcPr>
            <w:tcW w:w="1667" w:type="dxa"/>
            <w:vAlign w:val="bottom"/>
          </w:tcPr>
          <w:p w14:paraId="5709657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普乐堡村</w:t>
            </w:r>
          </w:p>
        </w:tc>
        <w:tc>
          <w:tcPr>
            <w:tcW w:w="1668" w:type="dxa"/>
          </w:tcPr>
          <w:p w14:paraId="5DD5CA1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0.4-0.5</w:t>
            </w:r>
          </w:p>
        </w:tc>
        <w:tc>
          <w:tcPr>
            <w:tcW w:w="1668" w:type="dxa"/>
          </w:tcPr>
          <w:p w14:paraId="164FB97D">
            <w:pPr>
              <w:adjustRightInd/>
              <w:snapToGrid/>
              <w:spacing w:line="240" w:lineRule="auto"/>
              <w:ind w:firstLine="0" w:firstLineChars="0"/>
              <w:jc w:val="center"/>
              <w:rPr>
                <w:rFonts w:hint="eastAsia" w:ascii="黑体" w:hAnsi="宋体" w:eastAsia="黑体" w:cs="黑体"/>
                <w:kern w:val="0"/>
                <w:sz w:val="24"/>
                <w:szCs w:val="24"/>
                <w:lang w:bidi="ar"/>
              </w:rPr>
            </w:pPr>
          </w:p>
        </w:tc>
      </w:tr>
      <w:tr w14:paraId="2B1456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trPr>
        <w:tc>
          <w:tcPr>
            <w:tcW w:w="2331" w:type="dxa"/>
            <w:vMerge w:val="restart"/>
            <w:vAlign w:val="center"/>
          </w:tcPr>
          <w:p w14:paraId="7FE46EF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特色保护类</w:t>
            </w:r>
          </w:p>
        </w:tc>
        <w:tc>
          <w:tcPr>
            <w:tcW w:w="1004" w:type="dxa"/>
            <w:vMerge w:val="restart"/>
            <w:vAlign w:val="center"/>
          </w:tcPr>
          <w:p w14:paraId="0C54F0D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w:t>
            </w:r>
          </w:p>
        </w:tc>
        <w:tc>
          <w:tcPr>
            <w:tcW w:w="1667" w:type="dxa"/>
            <w:vAlign w:val="bottom"/>
          </w:tcPr>
          <w:p w14:paraId="07EC17F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瓦房村</w:t>
            </w:r>
          </w:p>
        </w:tc>
        <w:tc>
          <w:tcPr>
            <w:tcW w:w="1668" w:type="dxa"/>
          </w:tcPr>
          <w:p w14:paraId="5B2C07F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0.1-0.2</w:t>
            </w:r>
          </w:p>
        </w:tc>
        <w:tc>
          <w:tcPr>
            <w:tcW w:w="1668" w:type="dxa"/>
          </w:tcPr>
          <w:p w14:paraId="14860E1A">
            <w:pPr>
              <w:adjustRightInd/>
              <w:snapToGrid/>
              <w:spacing w:line="240" w:lineRule="auto"/>
              <w:ind w:firstLine="0" w:firstLineChars="0"/>
              <w:jc w:val="center"/>
              <w:rPr>
                <w:rFonts w:hint="eastAsia" w:ascii="黑体" w:hAnsi="宋体" w:eastAsia="黑体" w:cs="黑体"/>
                <w:kern w:val="0"/>
                <w:sz w:val="24"/>
                <w:szCs w:val="24"/>
                <w:lang w:bidi="ar"/>
              </w:rPr>
            </w:pPr>
          </w:p>
        </w:tc>
      </w:tr>
      <w:tr w14:paraId="732892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6" w:hRule="atLeast"/>
        </w:trPr>
        <w:tc>
          <w:tcPr>
            <w:tcW w:w="2331" w:type="dxa"/>
            <w:vMerge w:val="continue"/>
            <w:vAlign w:val="center"/>
          </w:tcPr>
          <w:p w14:paraId="5873AE34">
            <w:pPr>
              <w:widowControl w:val="0"/>
              <w:adjustRightInd/>
              <w:snapToGrid/>
              <w:spacing w:line="240" w:lineRule="auto"/>
              <w:ind w:firstLine="0" w:firstLineChars="0"/>
              <w:jc w:val="center"/>
              <w:rPr>
                <w:rFonts w:ascii="仿宋" w:eastAsia="仿宋"/>
                <w:sz w:val="21"/>
                <w:szCs w:val="21"/>
              </w:rPr>
            </w:pPr>
          </w:p>
        </w:tc>
        <w:tc>
          <w:tcPr>
            <w:tcW w:w="1004" w:type="dxa"/>
            <w:vMerge w:val="continue"/>
            <w:vAlign w:val="center"/>
          </w:tcPr>
          <w:p w14:paraId="0EE7B707">
            <w:pPr>
              <w:widowControl w:val="0"/>
              <w:adjustRightInd/>
              <w:snapToGrid/>
              <w:spacing w:line="240" w:lineRule="auto"/>
              <w:ind w:firstLine="0" w:firstLineChars="0"/>
              <w:jc w:val="center"/>
              <w:rPr>
                <w:rFonts w:ascii="仿宋" w:eastAsia="仿宋"/>
                <w:sz w:val="21"/>
                <w:szCs w:val="21"/>
              </w:rPr>
            </w:pPr>
          </w:p>
        </w:tc>
        <w:tc>
          <w:tcPr>
            <w:tcW w:w="1667" w:type="dxa"/>
            <w:vAlign w:val="bottom"/>
          </w:tcPr>
          <w:p w14:paraId="2D5EFF7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大青沟村</w:t>
            </w:r>
          </w:p>
        </w:tc>
        <w:tc>
          <w:tcPr>
            <w:tcW w:w="1668" w:type="dxa"/>
          </w:tcPr>
          <w:p w14:paraId="6CA2610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0.1-0.2</w:t>
            </w:r>
          </w:p>
        </w:tc>
        <w:tc>
          <w:tcPr>
            <w:tcW w:w="1668" w:type="dxa"/>
          </w:tcPr>
          <w:p w14:paraId="5828C841">
            <w:pPr>
              <w:adjustRightInd/>
              <w:snapToGrid/>
              <w:spacing w:line="240" w:lineRule="auto"/>
              <w:ind w:firstLine="0" w:firstLineChars="0"/>
              <w:jc w:val="center"/>
              <w:rPr>
                <w:rFonts w:hint="eastAsia" w:ascii="黑体" w:hAnsi="宋体" w:eastAsia="黑体" w:cs="黑体"/>
                <w:kern w:val="0"/>
                <w:sz w:val="24"/>
                <w:szCs w:val="24"/>
                <w:lang w:bidi="ar"/>
              </w:rPr>
            </w:pPr>
          </w:p>
        </w:tc>
      </w:tr>
    </w:tbl>
    <w:p w14:paraId="2D26DCEA">
      <w:pPr>
        <w:ind w:left="0" w:leftChars="0" w:firstLine="0" w:firstLineChars="0"/>
      </w:pPr>
    </w:p>
    <w:p w14:paraId="2F9C2E3A">
      <w:r>
        <w:t>整治提升类村庄</w:t>
      </w:r>
      <w:r>
        <w:rPr>
          <w:rFonts w:hint="eastAsia"/>
        </w:rPr>
        <w:t>。共3个。主要包括现状常住人口和用地规模较小、综合发展条件一般的村庄，或位于生态保护区内，保留但限制发展或发展方向暂不明确的村庄。重点补齐村庄设施短板、强化村庄人居环境整治、保障村民合理建房需求、塑造乡村特色风貌，村庄建设以盘活存量用地为主。</w:t>
      </w:r>
    </w:p>
    <w:p w14:paraId="15A641BD">
      <w:r>
        <w:rPr>
          <w:rFonts w:hint="eastAsia"/>
        </w:rPr>
        <w:t>城郊融合类村庄。共2个。具备承接城镇外溢功能，共享使用城镇基础设施，有向城镇地区转型的潜力条件的村庄。以推动城乡产业融合发展、基础设施互联互通、公共服务设施共建共享为核心，提升人居环境品质，打造田园特质与城镇功能并存的“城镇后花园”。根据需求可预留一定规模的增量用地指标，为城乡融合发展提供空间。</w:t>
      </w:r>
    </w:p>
    <w:p w14:paraId="26349AE5">
      <w:pPr>
        <w:rPr>
          <w:rFonts w:hint="eastAsia"/>
        </w:rPr>
      </w:pPr>
      <w:r>
        <w:t>特色保护类</w:t>
      </w:r>
      <w:r>
        <w:rPr>
          <w:rFonts w:hint="eastAsia"/>
        </w:rPr>
        <w:t>。共2个，重点挖掘历史文化与特色要素，统筹好保护、利用与发展的关系，充分衔接落实各类历史保护线，合理利用村庄特色资源，适度安排新增建设用地指标，用于发展乡村旅游和特色产业。</w:t>
      </w:r>
    </w:p>
    <w:p w14:paraId="5AF54CB7">
      <w:pPr>
        <w:spacing w:line="240" w:lineRule="auto"/>
        <w:ind w:left="0" w:leftChars="0" w:firstLine="0" w:firstLineChars="0"/>
        <w:rPr>
          <w:rFonts w:hint="eastAsia" w:eastAsia="仿宋_GB2312"/>
          <w:lang w:eastAsia="zh-CN"/>
        </w:rPr>
      </w:pPr>
      <w:r>
        <w:rPr>
          <w:rFonts w:hint="eastAsia" w:eastAsia="仿宋_GB2312"/>
          <w:lang w:eastAsia="zh-CN"/>
        </w:rPr>
        <w:drawing>
          <wp:inline distT="0" distB="0" distL="114300" distR="114300">
            <wp:extent cx="5354955" cy="3627755"/>
            <wp:effectExtent l="0" t="0" r="0" b="0"/>
            <wp:docPr id="8" name="图片 8" descr="210522104普乐堡镇11村庄布点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10522104普乐堡镇11村庄布点规划图"/>
                    <pic:cNvPicPr>
                      <a:picLocks noChangeAspect="1"/>
                    </pic:cNvPicPr>
                  </pic:nvPicPr>
                  <pic:blipFill>
                    <a:blip r:embed="rId31"/>
                    <a:srcRect l="1025" t="5372" r="745" b="478"/>
                    <a:stretch>
                      <a:fillRect/>
                    </a:stretch>
                  </pic:blipFill>
                  <pic:spPr>
                    <a:xfrm>
                      <a:off x="0" y="0"/>
                      <a:ext cx="5354955" cy="3627755"/>
                    </a:xfrm>
                    <a:prstGeom prst="rect">
                      <a:avLst/>
                    </a:prstGeom>
                  </pic:spPr>
                </pic:pic>
              </a:graphicData>
            </a:graphic>
          </wp:inline>
        </w:drawing>
      </w:r>
    </w:p>
    <w:p w14:paraId="654311B7">
      <w:pPr>
        <w:spacing w:line="240" w:lineRule="auto"/>
        <w:ind w:left="0" w:leftChars="0" w:firstLine="0" w:firstLineChars="0"/>
        <w:jc w:val="center"/>
        <w:rPr>
          <w:rFonts w:hint="eastAsia" w:eastAsia="仿宋_GB2312"/>
          <w:lang w:eastAsia="zh-CN"/>
        </w:rPr>
      </w:pPr>
      <w:r>
        <w:rPr>
          <w:rFonts w:hint="eastAsia" w:eastAsia="黑体" w:cs="Times New Roman"/>
          <w:sz w:val="32"/>
          <w:szCs w:val="22"/>
          <w:u w:val="none"/>
          <w:lang w:val="en-US" w:eastAsia="zh-CN"/>
        </w:rPr>
        <w:t>图5.1 村庄布点规划图</w:t>
      </w:r>
    </w:p>
    <w:p w14:paraId="2E23AE56">
      <w:pPr>
        <w:spacing w:line="240" w:lineRule="auto"/>
        <w:ind w:left="0" w:leftChars="0" w:firstLine="0" w:firstLineChars="0"/>
        <w:rPr>
          <w:rFonts w:hint="eastAsia" w:eastAsia="仿宋_GB2312"/>
          <w:lang w:eastAsia="zh-CN"/>
        </w:rPr>
      </w:pPr>
    </w:p>
    <w:p w14:paraId="4B27159D">
      <w:pPr>
        <w:pStyle w:val="4"/>
        <w:bidi w:val="0"/>
        <w:rPr>
          <w:rFonts w:hint="eastAsia"/>
        </w:rPr>
      </w:pPr>
      <w:r>
        <w:rPr>
          <w:rFonts w:hint="eastAsia"/>
        </w:rPr>
        <w:t>分型</w:t>
      </w:r>
      <w:r>
        <w:t>引导推进村庄发展</w:t>
      </w:r>
    </w:p>
    <w:p w14:paraId="3574FA62">
      <w:pPr>
        <w:rPr>
          <w:rFonts w:hint="eastAsia"/>
        </w:rPr>
      </w:pPr>
      <w:r>
        <w:t>在尊重村民意愿的基础上，结合村庄建设用地规模、人</w:t>
      </w:r>
      <w:r>
        <w:rPr>
          <w:rFonts w:hint="eastAsia"/>
        </w:rPr>
        <w:t>口规模、产业发展、空心化程度等因素，将各行政村内的居民点分为“增量型、等量型”两种类型，作为村庄规划用地管控及指标投放的依据。</w:t>
      </w:r>
    </w:p>
    <w:p w14:paraId="0BFFDE47">
      <w:pPr>
        <w:keepNext w:val="0"/>
        <w:keepLines w:val="0"/>
        <w:pageBreakBefore w:val="0"/>
        <w:widowControl w:val="0"/>
        <w:kinsoku/>
        <w:wordWrap/>
        <w:overflowPunct/>
        <w:topLinePunct w:val="0"/>
        <w:autoSpaceDE/>
        <w:autoSpaceDN/>
        <w:bidi w:val="0"/>
        <w:adjustRightInd w:val="0"/>
        <w:snapToGrid w:val="0"/>
        <w:spacing w:after="157" w:afterLines="50" w:line="600" w:lineRule="atLeast"/>
        <w:ind w:firstLine="0" w:firstLineChars="0"/>
        <w:jc w:val="center"/>
        <w:textAlignment w:val="auto"/>
        <w:outlineLvl w:val="9"/>
        <w:rPr>
          <w:rFonts w:hint="eastAsia"/>
        </w:rPr>
      </w:pPr>
      <w:r>
        <w:rPr>
          <w:rFonts w:hint="eastAsia" w:eastAsia="黑体" w:cs="Times New Roman"/>
          <w:sz w:val="32"/>
          <w:szCs w:val="22"/>
          <w:u w:val="none"/>
          <w:lang w:val="en-US" w:eastAsia="zh-CN"/>
        </w:rPr>
        <w:t>表5.2村庄分型表</w:t>
      </w:r>
    </w:p>
    <w:tbl>
      <w:tblPr>
        <w:tblStyle w:val="13"/>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58"/>
        <w:gridCol w:w="1461"/>
        <w:gridCol w:w="2858"/>
        <w:gridCol w:w="1306"/>
        <w:gridCol w:w="1014"/>
      </w:tblGrid>
      <w:tr w14:paraId="3A56B8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Align w:val="center"/>
          </w:tcPr>
          <w:p w14:paraId="468C3B0C">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序号</w:t>
            </w:r>
          </w:p>
        </w:tc>
        <w:tc>
          <w:tcPr>
            <w:tcW w:w="1461" w:type="dxa"/>
            <w:vAlign w:val="center"/>
          </w:tcPr>
          <w:p w14:paraId="3BB1E45A">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村庄名称</w:t>
            </w:r>
          </w:p>
        </w:tc>
        <w:tc>
          <w:tcPr>
            <w:tcW w:w="2858" w:type="dxa"/>
            <w:vAlign w:val="center"/>
          </w:tcPr>
          <w:p w14:paraId="5152D286">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自然村名称</w:t>
            </w:r>
          </w:p>
        </w:tc>
        <w:tc>
          <w:tcPr>
            <w:tcW w:w="1306" w:type="dxa"/>
            <w:vAlign w:val="center"/>
          </w:tcPr>
          <w:p w14:paraId="4E33E94A">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分型</w:t>
            </w:r>
          </w:p>
        </w:tc>
        <w:tc>
          <w:tcPr>
            <w:tcW w:w="1014" w:type="dxa"/>
            <w:vAlign w:val="center"/>
          </w:tcPr>
          <w:p w14:paraId="461324EE">
            <w:pPr>
              <w:widowControl w:val="0"/>
              <w:tabs>
                <w:tab w:val="left" w:pos="360"/>
              </w:tabs>
              <w:adjustRightInd/>
              <w:spacing w:line="240" w:lineRule="atLeast"/>
              <w:ind w:firstLine="0" w:firstLineChars="0"/>
              <w:jc w:val="center"/>
              <w:textAlignment w:val="baseline"/>
              <w:rPr>
                <w:kern w:val="21"/>
                <w:sz w:val="20"/>
                <w:szCs w:val="21"/>
              </w:rPr>
            </w:pPr>
            <w:r>
              <w:rPr>
                <w:rFonts w:hint="eastAsia"/>
                <w:kern w:val="21"/>
                <w:sz w:val="20"/>
                <w:szCs w:val="21"/>
              </w:rPr>
              <w:t>备注</w:t>
            </w:r>
          </w:p>
        </w:tc>
      </w:tr>
      <w:tr w14:paraId="294ADF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restart"/>
            <w:vAlign w:val="center"/>
          </w:tcPr>
          <w:p w14:paraId="54660B5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1</w:t>
            </w:r>
          </w:p>
        </w:tc>
        <w:tc>
          <w:tcPr>
            <w:tcW w:w="1461" w:type="dxa"/>
            <w:vMerge w:val="restart"/>
            <w:vAlign w:val="center"/>
          </w:tcPr>
          <w:p w14:paraId="21C7768B">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大青沟村</w:t>
            </w:r>
          </w:p>
        </w:tc>
        <w:tc>
          <w:tcPr>
            <w:tcW w:w="2858" w:type="dxa"/>
            <w:vAlign w:val="bottom"/>
          </w:tcPr>
          <w:p w14:paraId="6EB9D3C9">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大坎川沟</w:t>
            </w:r>
          </w:p>
        </w:tc>
        <w:tc>
          <w:tcPr>
            <w:tcW w:w="1306" w:type="dxa"/>
            <w:vAlign w:val="center"/>
          </w:tcPr>
          <w:p w14:paraId="0166C5A3">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增量型</w:t>
            </w:r>
          </w:p>
        </w:tc>
        <w:tc>
          <w:tcPr>
            <w:tcW w:w="1014" w:type="dxa"/>
            <w:vAlign w:val="center"/>
          </w:tcPr>
          <w:p w14:paraId="2C3E3554">
            <w:pPr>
              <w:adjustRightInd/>
              <w:snapToGrid/>
              <w:spacing w:line="240" w:lineRule="auto"/>
              <w:ind w:firstLine="0" w:firstLineChars="0"/>
              <w:jc w:val="center"/>
              <w:rPr>
                <w:rFonts w:hint="eastAsia" w:ascii="黑体" w:hAnsi="宋体" w:eastAsia="黑体" w:cs="黑体"/>
                <w:kern w:val="0"/>
                <w:sz w:val="24"/>
                <w:szCs w:val="24"/>
                <w:lang w:bidi="ar"/>
              </w:rPr>
            </w:pPr>
          </w:p>
        </w:tc>
      </w:tr>
      <w:tr w14:paraId="618071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17C6FF77">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5FAD3877">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449F9BEF">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大青沟村</w:t>
            </w:r>
          </w:p>
        </w:tc>
        <w:tc>
          <w:tcPr>
            <w:tcW w:w="1306" w:type="dxa"/>
            <w:vAlign w:val="center"/>
          </w:tcPr>
          <w:p w14:paraId="67A38453">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1C5FCA89">
            <w:pPr>
              <w:adjustRightInd/>
              <w:snapToGrid/>
              <w:spacing w:line="240" w:lineRule="auto"/>
              <w:ind w:firstLine="0" w:firstLineChars="0"/>
              <w:jc w:val="center"/>
              <w:rPr>
                <w:rFonts w:hint="eastAsia" w:ascii="黑体" w:hAnsi="宋体" w:eastAsia="黑体" w:cs="黑体"/>
                <w:kern w:val="0"/>
                <w:sz w:val="24"/>
                <w:szCs w:val="24"/>
                <w:lang w:bidi="ar"/>
              </w:rPr>
            </w:pPr>
          </w:p>
        </w:tc>
      </w:tr>
      <w:tr w14:paraId="18D313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7A80B8B6">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7014DF50">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431DBB47">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大西岔</w:t>
            </w:r>
          </w:p>
        </w:tc>
        <w:tc>
          <w:tcPr>
            <w:tcW w:w="1306" w:type="dxa"/>
            <w:vAlign w:val="center"/>
          </w:tcPr>
          <w:p w14:paraId="2B896DCD">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445E451A">
            <w:pPr>
              <w:adjustRightInd/>
              <w:snapToGrid/>
              <w:spacing w:line="240" w:lineRule="auto"/>
              <w:ind w:firstLine="0" w:firstLineChars="0"/>
              <w:jc w:val="center"/>
              <w:rPr>
                <w:rFonts w:hint="eastAsia" w:ascii="黑体" w:hAnsi="宋体" w:eastAsia="黑体" w:cs="黑体"/>
                <w:kern w:val="0"/>
                <w:sz w:val="24"/>
                <w:szCs w:val="24"/>
                <w:lang w:bidi="ar"/>
              </w:rPr>
            </w:pPr>
          </w:p>
        </w:tc>
      </w:tr>
      <w:tr w14:paraId="71A1CC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145A6C11">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4868F475">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5E36A139">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二道西岔</w:t>
            </w:r>
          </w:p>
        </w:tc>
        <w:tc>
          <w:tcPr>
            <w:tcW w:w="1306" w:type="dxa"/>
            <w:vAlign w:val="center"/>
          </w:tcPr>
          <w:p w14:paraId="113937E3">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55CEC0F7">
            <w:pPr>
              <w:adjustRightInd/>
              <w:snapToGrid/>
              <w:spacing w:line="240" w:lineRule="auto"/>
              <w:ind w:firstLine="0" w:firstLineChars="0"/>
              <w:jc w:val="center"/>
              <w:rPr>
                <w:rFonts w:hint="eastAsia" w:ascii="黑体" w:hAnsi="宋体" w:eastAsia="黑体" w:cs="黑体"/>
                <w:kern w:val="0"/>
                <w:sz w:val="24"/>
                <w:szCs w:val="24"/>
                <w:lang w:bidi="ar"/>
              </w:rPr>
            </w:pPr>
          </w:p>
        </w:tc>
      </w:tr>
      <w:tr w14:paraId="000B27E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54677CF6">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1E41F26">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67FF7535">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红石砬子</w:t>
            </w:r>
          </w:p>
        </w:tc>
        <w:tc>
          <w:tcPr>
            <w:tcW w:w="1306" w:type="dxa"/>
            <w:vAlign w:val="center"/>
          </w:tcPr>
          <w:p w14:paraId="50934D47">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754581CE">
            <w:pPr>
              <w:adjustRightInd/>
              <w:snapToGrid/>
              <w:spacing w:line="240" w:lineRule="auto"/>
              <w:ind w:firstLine="0" w:firstLineChars="0"/>
              <w:jc w:val="center"/>
              <w:rPr>
                <w:rFonts w:hint="eastAsia" w:ascii="黑体" w:hAnsi="宋体" w:eastAsia="黑体" w:cs="黑体"/>
                <w:kern w:val="0"/>
                <w:sz w:val="24"/>
                <w:szCs w:val="24"/>
                <w:lang w:bidi="ar"/>
              </w:rPr>
            </w:pPr>
          </w:p>
        </w:tc>
      </w:tr>
      <w:tr w14:paraId="2F25D4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6F5B6243">
            <w:pPr>
              <w:widowControl w:val="0"/>
              <w:adjustRightInd/>
              <w:snapToGrid/>
              <w:spacing w:line="240" w:lineRule="auto"/>
              <w:ind w:firstLine="0" w:firstLineChars="0"/>
              <w:jc w:val="center"/>
            </w:pPr>
          </w:p>
        </w:tc>
        <w:tc>
          <w:tcPr>
            <w:tcW w:w="1461" w:type="dxa"/>
            <w:vMerge w:val="continue"/>
            <w:vAlign w:val="center"/>
          </w:tcPr>
          <w:p w14:paraId="262C3563">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7AD83AD5">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虎沟</w:t>
            </w:r>
          </w:p>
        </w:tc>
        <w:tc>
          <w:tcPr>
            <w:tcW w:w="1306" w:type="dxa"/>
            <w:vAlign w:val="center"/>
          </w:tcPr>
          <w:p w14:paraId="4F0C3C5A">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4E070EA4">
            <w:pPr>
              <w:widowControl w:val="0"/>
              <w:adjustRightInd/>
              <w:snapToGrid/>
              <w:spacing w:line="240" w:lineRule="auto"/>
              <w:ind w:firstLine="0" w:firstLineChars="0"/>
              <w:jc w:val="center"/>
              <w:rPr>
                <w:rFonts w:ascii="仿宋" w:eastAsia="仿宋"/>
                <w:sz w:val="21"/>
                <w:szCs w:val="21"/>
              </w:rPr>
            </w:pPr>
          </w:p>
        </w:tc>
      </w:tr>
      <w:tr w14:paraId="2B7C8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400B9981">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54F4F934">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4BF00F82">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坎川沟</w:t>
            </w:r>
          </w:p>
        </w:tc>
        <w:tc>
          <w:tcPr>
            <w:tcW w:w="1306" w:type="dxa"/>
            <w:vAlign w:val="center"/>
          </w:tcPr>
          <w:p w14:paraId="5CD4D4DB">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3A1AB01E">
            <w:pPr>
              <w:widowControl w:val="0"/>
              <w:adjustRightInd/>
              <w:snapToGrid/>
              <w:spacing w:line="240" w:lineRule="auto"/>
              <w:ind w:firstLine="0" w:firstLineChars="0"/>
              <w:jc w:val="center"/>
              <w:rPr>
                <w:rFonts w:ascii="仿宋" w:eastAsia="仿宋"/>
                <w:sz w:val="21"/>
                <w:szCs w:val="21"/>
              </w:rPr>
            </w:pPr>
          </w:p>
        </w:tc>
      </w:tr>
      <w:tr w14:paraId="15EEE8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1DD6A498">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5AC91751">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59380772">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坎川沟村</w:t>
            </w:r>
          </w:p>
        </w:tc>
        <w:tc>
          <w:tcPr>
            <w:tcW w:w="1306" w:type="dxa"/>
            <w:vAlign w:val="center"/>
          </w:tcPr>
          <w:p w14:paraId="08FA5048">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12E623C6">
            <w:pPr>
              <w:widowControl w:val="0"/>
              <w:adjustRightInd/>
              <w:snapToGrid/>
              <w:spacing w:line="240" w:lineRule="auto"/>
              <w:ind w:firstLine="0" w:firstLineChars="0"/>
              <w:jc w:val="center"/>
              <w:rPr>
                <w:rFonts w:ascii="仿宋" w:eastAsia="仿宋"/>
                <w:sz w:val="21"/>
                <w:szCs w:val="21"/>
              </w:rPr>
            </w:pPr>
          </w:p>
        </w:tc>
      </w:tr>
      <w:tr w14:paraId="5CC98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354AF2D1">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C19EFF4">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34ED7484">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老仁沟</w:t>
            </w:r>
          </w:p>
        </w:tc>
        <w:tc>
          <w:tcPr>
            <w:tcW w:w="1306" w:type="dxa"/>
            <w:vAlign w:val="center"/>
          </w:tcPr>
          <w:p w14:paraId="23C8AFC2">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0E4138A8">
            <w:pPr>
              <w:widowControl w:val="0"/>
              <w:adjustRightInd/>
              <w:snapToGrid/>
              <w:spacing w:line="240" w:lineRule="auto"/>
              <w:ind w:firstLine="0" w:firstLineChars="0"/>
              <w:jc w:val="center"/>
              <w:rPr>
                <w:rFonts w:ascii="仿宋" w:eastAsia="仿宋"/>
                <w:sz w:val="21"/>
                <w:szCs w:val="21"/>
              </w:rPr>
            </w:pPr>
          </w:p>
        </w:tc>
      </w:tr>
      <w:tr w14:paraId="050632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579B06E9">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5FE99B41">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1874F870">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头道西岔</w:t>
            </w:r>
          </w:p>
        </w:tc>
        <w:tc>
          <w:tcPr>
            <w:tcW w:w="1306" w:type="dxa"/>
            <w:vAlign w:val="center"/>
          </w:tcPr>
          <w:p w14:paraId="5AE5D5F4">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增量型</w:t>
            </w:r>
          </w:p>
        </w:tc>
        <w:tc>
          <w:tcPr>
            <w:tcW w:w="1014" w:type="dxa"/>
            <w:vAlign w:val="center"/>
          </w:tcPr>
          <w:p w14:paraId="3CF2D04C">
            <w:pPr>
              <w:widowControl w:val="0"/>
              <w:adjustRightInd/>
              <w:snapToGrid/>
              <w:spacing w:line="240" w:lineRule="auto"/>
              <w:ind w:firstLine="0" w:firstLineChars="0"/>
              <w:jc w:val="center"/>
              <w:rPr>
                <w:rFonts w:ascii="仿宋" w:eastAsia="仿宋"/>
                <w:sz w:val="21"/>
                <w:szCs w:val="21"/>
              </w:rPr>
            </w:pPr>
          </w:p>
        </w:tc>
      </w:tr>
      <w:tr w14:paraId="50ED17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1" w:hRule="atLeast"/>
          <w:jc w:val="center"/>
        </w:trPr>
        <w:tc>
          <w:tcPr>
            <w:tcW w:w="1658" w:type="dxa"/>
            <w:vMerge w:val="continue"/>
            <w:vAlign w:val="center"/>
          </w:tcPr>
          <w:p w14:paraId="38EE8364">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A906FE5">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31C4EDBA">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柞树岭沟</w:t>
            </w:r>
          </w:p>
        </w:tc>
        <w:tc>
          <w:tcPr>
            <w:tcW w:w="1306" w:type="dxa"/>
            <w:vAlign w:val="center"/>
          </w:tcPr>
          <w:p w14:paraId="203E04C2">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71FC9C77">
            <w:pPr>
              <w:widowControl w:val="0"/>
              <w:adjustRightInd/>
              <w:snapToGrid/>
              <w:spacing w:line="240" w:lineRule="auto"/>
              <w:ind w:firstLine="0" w:firstLineChars="0"/>
              <w:jc w:val="center"/>
              <w:rPr>
                <w:rFonts w:ascii="仿宋" w:eastAsia="仿宋"/>
                <w:sz w:val="21"/>
                <w:szCs w:val="21"/>
              </w:rPr>
            </w:pPr>
          </w:p>
        </w:tc>
      </w:tr>
      <w:tr w14:paraId="111FA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restart"/>
            <w:vAlign w:val="center"/>
          </w:tcPr>
          <w:p w14:paraId="42C33F1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2</w:t>
            </w:r>
          </w:p>
        </w:tc>
        <w:tc>
          <w:tcPr>
            <w:tcW w:w="1461" w:type="dxa"/>
            <w:vMerge w:val="restart"/>
            <w:vAlign w:val="center"/>
          </w:tcPr>
          <w:p w14:paraId="0C7AFB81">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夹道子村</w:t>
            </w:r>
          </w:p>
        </w:tc>
        <w:tc>
          <w:tcPr>
            <w:tcW w:w="2858" w:type="dxa"/>
            <w:vAlign w:val="bottom"/>
          </w:tcPr>
          <w:p w14:paraId="2093FD03">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大冷沟</w:t>
            </w:r>
          </w:p>
        </w:tc>
        <w:tc>
          <w:tcPr>
            <w:tcW w:w="1306" w:type="dxa"/>
            <w:vAlign w:val="center"/>
          </w:tcPr>
          <w:p w14:paraId="307E3856">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3AB8EF0B">
            <w:pPr>
              <w:adjustRightInd/>
              <w:snapToGrid/>
              <w:spacing w:line="240" w:lineRule="auto"/>
              <w:ind w:firstLine="0" w:firstLineChars="0"/>
              <w:jc w:val="center"/>
              <w:rPr>
                <w:rFonts w:hint="eastAsia" w:ascii="黑体" w:hAnsi="宋体" w:eastAsia="黑体" w:cs="黑体"/>
                <w:kern w:val="0"/>
                <w:sz w:val="24"/>
                <w:szCs w:val="24"/>
                <w:lang w:bidi="ar"/>
              </w:rPr>
            </w:pPr>
          </w:p>
        </w:tc>
      </w:tr>
      <w:tr w14:paraId="66A84C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3265FEE4">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751E7781">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421D1519">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后夹道沟</w:t>
            </w:r>
          </w:p>
        </w:tc>
        <w:tc>
          <w:tcPr>
            <w:tcW w:w="1306" w:type="dxa"/>
            <w:vAlign w:val="center"/>
          </w:tcPr>
          <w:p w14:paraId="1253DA02">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0BC3B418">
            <w:pPr>
              <w:adjustRightInd/>
              <w:snapToGrid/>
              <w:spacing w:line="240" w:lineRule="auto"/>
              <w:ind w:firstLine="0" w:firstLineChars="0"/>
              <w:jc w:val="center"/>
              <w:rPr>
                <w:rFonts w:hint="eastAsia" w:ascii="黑体" w:hAnsi="宋体" w:eastAsia="黑体" w:cs="黑体"/>
                <w:kern w:val="0"/>
                <w:sz w:val="24"/>
                <w:szCs w:val="24"/>
                <w:lang w:bidi="ar"/>
              </w:rPr>
            </w:pPr>
          </w:p>
        </w:tc>
      </w:tr>
      <w:tr w14:paraId="066397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7B17CDD1">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0C9FB2DC">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1B9FA20A">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后夹道子</w:t>
            </w:r>
          </w:p>
        </w:tc>
        <w:tc>
          <w:tcPr>
            <w:tcW w:w="1306" w:type="dxa"/>
            <w:vAlign w:val="center"/>
          </w:tcPr>
          <w:p w14:paraId="01F04272">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49F78D3E">
            <w:pPr>
              <w:adjustRightInd/>
              <w:snapToGrid/>
              <w:spacing w:line="240" w:lineRule="auto"/>
              <w:ind w:firstLine="0" w:firstLineChars="0"/>
              <w:jc w:val="center"/>
              <w:rPr>
                <w:rFonts w:hint="eastAsia" w:ascii="黑体" w:hAnsi="宋体" w:eastAsia="黑体" w:cs="黑体"/>
                <w:kern w:val="0"/>
                <w:sz w:val="24"/>
                <w:szCs w:val="24"/>
                <w:lang w:bidi="ar"/>
              </w:rPr>
            </w:pPr>
          </w:p>
        </w:tc>
      </w:tr>
      <w:tr w14:paraId="1E6D2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7DC91B23">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393DB71E">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72763931">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夹道子村</w:t>
            </w:r>
          </w:p>
        </w:tc>
        <w:tc>
          <w:tcPr>
            <w:tcW w:w="1306" w:type="dxa"/>
            <w:vAlign w:val="center"/>
          </w:tcPr>
          <w:p w14:paraId="7ED0250E">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137C8D22">
            <w:pPr>
              <w:adjustRightInd/>
              <w:snapToGrid/>
              <w:spacing w:line="240" w:lineRule="auto"/>
              <w:ind w:firstLine="0" w:firstLineChars="0"/>
              <w:jc w:val="center"/>
              <w:rPr>
                <w:rFonts w:hint="eastAsia" w:ascii="黑体" w:hAnsi="宋体" w:eastAsia="黑体" w:cs="黑体"/>
                <w:kern w:val="0"/>
                <w:sz w:val="24"/>
                <w:szCs w:val="24"/>
                <w:lang w:bidi="ar"/>
              </w:rPr>
            </w:pPr>
          </w:p>
        </w:tc>
      </w:tr>
      <w:tr w14:paraId="79066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7A65E5D0">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56761044">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5F3FFA76">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砬子沟</w:t>
            </w:r>
          </w:p>
        </w:tc>
        <w:tc>
          <w:tcPr>
            <w:tcW w:w="1306" w:type="dxa"/>
            <w:vAlign w:val="center"/>
          </w:tcPr>
          <w:p w14:paraId="7992C200">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481EC24B">
            <w:pPr>
              <w:adjustRightInd/>
              <w:snapToGrid/>
              <w:spacing w:line="240" w:lineRule="auto"/>
              <w:ind w:firstLine="0" w:firstLineChars="0"/>
              <w:jc w:val="center"/>
              <w:rPr>
                <w:rFonts w:hint="eastAsia" w:ascii="黑体" w:hAnsi="宋体" w:eastAsia="黑体" w:cs="黑体"/>
                <w:kern w:val="0"/>
                <w:sz w:val="24"/>
                <w:szCs w:val="24"/>
                <w:lang w:bidi="ar"/>
              </w:rPr>
            </w:pPr>
          </w:p>
        </w:tc>
      </w:tr>
      <w:tr w14:paraId="62B930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64F14534">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389DAD9A">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5A14558A">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老龙头沟</w:t>
            </w:r>
          </w:p>
        </w:tc>
        <w:tc>
          <w:tcPr>
            <w:tcW w:w="1306" w:type="dxa"/>
            <w:vAlign w:val="center"/>
          </w:tcPr>
          <w:p w14:paraId="268E59A5">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6EDF7E8A">
            <w:pPr>
              <w:adjustRightInd/>
              <w:snapToGrid/>
              <w:spacing w:line="240" w:lineRule="auto"/>
              <w:ind w:firstLine="0" w:firstLineChars="0"/>
              <w:jc w:val="center"/>
              <w:rPr>
                <w:rFonts w:hint="eastAsia" w:ascii="黑体" w:hAnsi="宋体" w:eastAsia="黑体" w:cs="黑体"/>
                <w:kern w:val="0"/>
                <w:sz w:val="24"/>
                <w:szCs w:val="24"/>
                <w:lang w:bidi="ar"/>
              </w:rPr>
            </w:pPr>
          </w:p>
        </w:tc>
      </w:tr>
      <w:tr w14:paraId="216A79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0A9B85DC">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5705A058">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08E98D36">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马道沟</w:t>
            </w:r>
          </w:p>
        </w:tc>
        <w:tc>
          <w:tcPr>
            <w:tcW w:w="1306" w:type="dxa"/>
            <w:vAlign w:val="center"/>
          </w:tcPr>
          <w:p w14:paraId="417D1F60">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64633485">
            <w:pPr>
              <w:adjustRightInd/>
              <w:snapToGrid/>
              <w:spacing w:line="240" w:lineRule="auto"/>
              <w:ind w:firstLine="0" w:firstLineChars="0"/>
              <w:jc w:val="center"/>
              <w:rPr>
                <w:rFonts w:hint="eastAsia" w:ascii="黑体" w:hAnsi="宋体" w:eastAsia="黑体" w:cs="黑体"/>
                <w:kern w:val="0"/>
                <w:sz w:val="24"/>
                <w:szCs w:val="24"/>
                <w:lang w:bidi="ar"/>
              </w:rPr>
            </w:pPr>
          </w:p>
        </w:tc>
      </w:tr>
      <w:tr w14:paraId="56187F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077DB075">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384E59F9">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4FD7B25A">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前夹道沟</w:t>
            </w:r>
          </w:p>
        </w:tc>
        <w:tc>
          <w:tcPr>
            <w:tcW w:w="1306" w:type="dxa"/>
            <w:vAlign w:val="center"/>
          </w:tcPr>
          <w:p w14:paraId="2341686E">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7A48AE09">
            <w:pPr>
              <w:adjustRightInd/>
              <w:snapToGrid/>
              <w:spacing w:line="240" w:lineRule="auto"/>
              <w:ind w:firstLine="0" w:firstLineChars="0"/>
              <w:jc w:val="center"/>
              <w:rPr>
                <w:rFonts w:hint="eastAsia" w:ascii="黑体" w:hAnsi="宋体" w:eastAsia="黑体" w:cs="黑体"/>
                <w:kern w:val="0"/>
                <w:sz w:val="24"/>
                <w:szCs w:val="24"/>
                <w:lang w:bidi="ar"/>
              </w:rPr>
            </w:pPr>
          </w:p>
        </w:tc>
      </w:tr>
      <w:tr w14:paraId="47FE39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2E69B2BA">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12957F9B">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16DFFEF3">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隋家堡子</w:t>
            </w:r>
          </w:p>
        </w:tc>
        <w:tc>
          <w:tcPr>
            <w:tcW w:w="1306" w:type="dxa"/>
            <w:vAlign w:val="center"/>
          </w:tcPr>
          <w:p w14:paraId="3B8B6B02">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0A70A800">
            <w:pPr>
              <w:adjustRightInd/>
              <w:snapToGrid/>
              <w:spacing w:line="240" w:lineRule="auto"/>
              <w:ind w:firstLine="0" w:firstLineChars="0"/>
              <w:jc w:val="center"/>
              <w:rPr>
                <w:rFonts w:hint="eastAsia" w:ascii="黑体" w:hAnsi="宋体" w:eastAsia="黑体" w:cs="黑体"/>
                <w:kern w:val="0"/>
                <w:sz w:val="24"/>
                <w:szCs w:val="24"/>
                <w:lang w:bidi="ar"/>
              </w:rPr>
            </w:pPr>
          </w:p>
        </w:tc>
      </w:tr>
      <w:tr w14:paraId="60F7F7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123FAD68">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316D89DE">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19FF4517">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阎家沟</w:t>
            </w:r>
          </w:p>
        </w:tc>
        <w:tc>
          <w:tcPr>
            <w:tcW w:w="1306" w:type="dxa"/>
            <w:vAlign w:val="center"/>
          </w:tcPr>
          <w:p w14:paraId="7A927F14">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05360010">
            <w:pPr>
              <w:adjustRightInd/>
              <w:snapToGrid/>
              <w:spacing w:line="240" w:lineRule="auto"/>
              <w:ind w:firstLine="0" w:firstLineChars="0"/>
              <w:jc w:val="center"/>
              <w:rPr>
                <w:rFonts w:hint="eastAsia" w:ascii="黑体" w:hAnsi="宋体" w:eastAsia="黑体" w:cs="黑体"/>
                <w:kern w:val="0"/>
                <w:sz w:val="24"/>
                <w:szCs w:val="24"/>
                <w:lang w:bidi="ar"/>
              </w:rPr>
            </w:pPr>
          </w:p>
        </w:tc>
      </w:tr>
      <w:tr w14:paraId="01A73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restart"/>
            <w:vAlign w:val="center"/>
          </w:tcPr>
          <w:p w14:paraId="45740B1D">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3</w:t>
            </w:r>
          </w:p>
        </w:tc>
        <w:tc>
          <w:tcPr>
            <w:tcW w:w="1461" w:type="dxa"/>
            <w:vMerge w:val="restart"/>
            <w:vAlign w:val="center"/>
          </w:tcPr>
          <w:p w14:paraId="121B83E6">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老漫子村</w:t>
            </w:r>
          </w:p>
        </w:tc>
        <w:tc>
          <w:tcPr>
            <w:tcW w:w="2858" w:type="dxa"/>
            <w:vAlign w:val="bottom"/>
          </w:tcPr>
          <w:p w14:paraId="4D05A4EA">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大冷沟里</w:t>
            </w:r>
          </w:p>
        </w:tc>
        <w:tc>
          <w:tcPr>
            <w:tcW w:w="1306" w:type="dxa"/>
            <w:vAlign w:val="center"/>
          </w:tcPr>
          <w:p w14:paraId="79FFC22F">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38D6D377">
            <w:pPr>
              <w:adjustRightInd/>
              <w:snapToGrid/>
              <w:spacing w:line="240" w:lineRule="auto"/>
              <w:ind w:firstLine="0" w:firstLineChars="0"/>
              <w:jc w:val="center"/>
              <w:rPr>
                <w:rFonts w:hint="eastAsia" w:ascii="黑体" w:hAnsi="宋体" w:eastAsia="黑体" w:cs="黑体"/>
                <w:kern w:val="0"/>
                <w:sz w:val="24"/>
                <w:szCs w:val="24"/>
                <w:lang w:bidi="ar"/>
              </w:rPr>
            </w:pPr>
          </w:p>
        </w:tc>
      </w:tr>
      <w:tr w14:paraId="37139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1A3EB1EE">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52CB7E4C">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534BFB8D">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大庙</w:t>
            </w:r>
          </w:p>
        </w:tc>
        <w:tc>
          <w:tcPr>
            <w:tcW w:w="1306" w:type="dxa"/>
            <w:vAlign w:val="center"/>
          </w:tcPr>
          <w:p w14:paraId="55A10259">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5792079F">
            <w:pPr>
              <w:adjustRightInd/>
              <w:snapToGrid/>
              <w:spacing w:line="240" w:lineRule="auto"/>
              <w:ind w:firstLine="0" w:firstLineChars="0"/>
              <w:jc w:val="center"/>
              <w:rPr>
                <w:rFonts w:hint="eastAsia" w:ascii="黑体" w:hAnsi="宋体" w:eastAsia="黑体" w:cs="黑体"/>
                <w:kern w:val="0"/>
                <w:sz w:val="24"/>
                <w:szCs w:val="24"/>
                <w:lang w:bidi="ar"/>
              </w:rPr>
            </w:pPr>
          </w:p>
        </w:tc>
      </w:tr>
      <w:tr w14:paraId="171A18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0F2EFBEA">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37D76C0F">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0949E625">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姜家堡</w:t>
            </w:r>
          </w:p>
        </w:tc>
        <w:tc>
          <w:tcPr>
            <w:tcW w:w="1306" w:type="dxa"/>
            <w:vAlign w:val="center"/>
          </w:tcPr>
          <w:p w14:paraId="1F137DB9">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5ED02A57">
            <w:pPr>
              <w:adjustRightInd/>
              <w:snapToGrid/>
              <w:spacing w:line="240" w:lineRule="auto"/>
              <w:ind w:firstLine="0" w:firstLineChars="0"/>
              <w:jc w:val="center"/>
              <w:rPr>
                <w:rFonts w:hint="eastAsia" w:ascii="黑体" w:hAnsi="宋体" w:eastAsia="黑体" w:cs="黑体"/>
                <w:kern w:val="0"/>
                <w:sz w:val="24"/>
                <w:szCs w:val="24"/>
                <w:lang w:bidi="ar"/>
              </w:rPr>
            </w:pPr>
          </w:p>
        </w:tc>
      </w:tr>
      <w:tr w14:paraId="19EEC8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0B9805DF">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4FA2C46">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066EFD7C">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老漫子村</w:t>
            </w:r>
          </w:p>
        </w:tc>
        <w:tc>
          <w:tcPr>
            <w:tcW w:w="1306" w:type="dxa"/>
            <w:vAlign w:val="center"/>
          </w:tcPr>
          <w:p w14:paraId="2FA27B26">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7497248C">
            <w:pPr>
              <w:adjustRightInd/>
              <w:snapToGrid/>
              <w:spacing w:line="240" w:lineRule="auto"/>
              <w:ind w:firstLine="0" w:firstLineChars="0"/>
              <w:jc w:val="center"/>
              <w:rPr>
                <w:rFonts w:hint="eastAsia" w:ascii="黑体" w:hAnsi="宋体" w:eastAsia="黑体" w:cs="黑体"/>
                <w:kern w:val="0"/>
                <w:sz w:val="24"/>
                <w:szCs w:val="24"/>
                <w:lang w:bidi="ar"/>
              </w:rPr>
            </w:pPr>
          </w:p>
        </w:tc>
      </w:tr>
      <w:tr w14:paraId="089BA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609B8D12">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EAD8785">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7A8248CC">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马家崴子</w:t>
            </w:r>
          </w:p>
        </w:tc>
        <w:tc>
          <w:tcPr>
            <w:tcW w:w="1306" w:type="dxa"/>
            <w:vAlign w:val="center"/>
          </w:tcPr>
          <w:p w14:paraId="51394CC2">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增量型</w:t>
            </w:r>
          </w:p>
        </w:tc>
        <w:tc>
          <w:tcPr>
            <w:tcW w:w="1014" w:type="dxa"/>
            <w:vAlign w:val="center"/>
          </w:tcPr>
          <w:p w14:paraId="2D9D3B76">
            <w:pPr>
              <w:adjustRightInd/>
              <w:snapToGrid/>
              <w:spacing w:line="240" w:lineRule="auto"/>
              <w:ind w:firstLine="0" w:firstLineChars="0"/>
              <w:jc w:val="center"/>
              <w:rPr>
                <w:rFonts w:hint="eastAsia" w:ascii="黑体" w:hAnsi="宋体" w:eastAsia="黑体" w:cs="黑体"/>
                <w:kern w:val="0"/>
                <w:sz w:val="24"/>
                <w:szCs w:val="24"/>
                <w:lang w:bidi="ar"/>
              </w:rPr>
            </w:pPr>
          </w:p>
        </w:tc>
      </w:tr>
      <w:tr w14:paraId="6F03DA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3771401A">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70436365">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09FC5D90">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马蹄沟</w:t>
            </w:r>
          </w:p>
        </w:tc>
        <w:tc>
          <w:tcPr>
            <w:tcW w:w="1306" w:type="dxa"/>
            <w:vAlign w:val="center"/>
          </w:tcPr>
          <w:p w14:paraId="6F0462D7">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124D81E6">
            <w:pPr>
              <w:adjustRightInd/>
              <w:snapToGrid/>
              <w:spacing w:line="240" w:lineRule="auto"/>
              <w:ind w:firstLine="0" w:firstLineChars="0"/>
              <w:jc w:val="center"/>
              <w:rPr>
                <w:rFonts w:hint="eastAsia" w:ascii="黑体" w:hAnsi="宋体" w:eastAsia="黑体" w:cs="黑体"/>
                <w:kern w:val="0"/>
                <w:sz w:val="24"/>
                <w:szCs w:val="24"/>
                <w:lang w:bidi="ar"/>
              </w:rPr>
            </w:pPr>
          </w:p>
        </w:tc>
      </w:tr>
      <w:tr w14:paraId="2F53D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54528418">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70147CB8">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347592BC">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小坎川沟</w:t>
            </w:r>
          </w:p>
        </w:tc>
        <w:tc>
          <w:tcPr>
            <w:tcW w:w="1306" w:type="dxa"/>
            <w:vAlign w:val="center"/>
          </w:tcPr>
          <w:p w14:paraId="55E2856B">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3919E52E">
            <w:pPr>
              <w:adjustRightInd/>
              <w:snapToGrid/>
              <w:spacing w:line="240" w:lineRule="auto"/>
              <w:ind w:firstLine="0" w:firstLineChars="0"/>
              <w:jc w:val="center"/>
              <w:rPr>
                <w:rFonts w:hint="eastAsia" w:ascii="黑体" w:hAnsi="宋体" w:eastAsia="黑体" w:cs="黑体"/>
                <w:kern w:val="0"/>
                <w:sz w:val="24"/>
                <w:szCs w:val="24"/>
                <w:lang w:bidi="ar"/>
              </w:rPr>
            </w:pPr>
          </w:p>
        </w:tc>
      </w:tr>
      <w:tr w14:paraId="373196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658" w:type="dxa"/>
            <w:vMerge w:val="continue"/>
            <w:vAlign w:val="center"/>
          </w:tcPr>
          <w:p w14:paraId="4978B49D">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06932E67">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0E08788C">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小冷沟</w:t>
            </w:r>
          </w:p>
        </w:tc>
        <w:tc>
          <w:tcPr>
            <w:tcW w:w="1306" w:type="dxa"/>
            <w:vAlign w:val="center"/>
          </w:tcPr>
          <w:p w14:paraId="55AC7D24">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7E60F138">
            <w:pPr>
              <w:adjustRightInd/>
              <w:snapToGrid/>
              <w:spacing w:line="240" w:lineRule="auto"/>
              <w:ind w:firstLine="0" w:firstLineChars="0"/>
              <w:jc w:val="center"/>
              <w:rPr>
                <w:rFonts w:hint="eastAsia" w:ascii="黑体" w:hAnsi="宋体" w:eastAsia="黑体" w:cs="黑体"/>
                <w:kern w:val="0"/>
                <w:sz w:val="24"/>
                <w:szCs w:val="24"/>
                <w:lang w:bidi="ar"/>
              </w:rPr>
            </w:pPr>
          </w:p>
        </w:tc>
      </w:tr>
      <w:tr w14:paraId="0044FB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restart"/>
            <w:vAlign w:val="center"/>
          </w:tcPr>
          <w:p w14:paraId="5BD2D0D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4</w:t>
            </w:r>
          </w:p>
        </w:tc>
        <w:tc>
          <w:tcPr>
            <w:tcW w:w="1461" w:type="dxa"/>
            <w:vMerge w:val="restart"/>
            <w:vAlign w:val="center"/>
          </w:tcPr>
          <w:p w14:paraId="2539BD98">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梨树村</w:t>
            </w:r>
          </w:p>
        </w:tc>
        <w:tc>
          <w:tcPr>
            <w:tcW w:w="2858" w:type="dxa"/>
            <w:vAlign w:val="bottom"/>
          </w:tcPr>
          <w:p w14:paraId="1F7FAF7A">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大库仓沟</w:t>
            </w:r>
          </w:p>
        </w:tc>
        <w:tc>
          <w:tcPr>
            <w:tcW w:w="1306" w:type="dxa"/>
            <w:vAlign w:val="center"/>
          </w:tcPr>
          <w:p w14:paraId="5A47CFCC">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2A34F0E3">
            <w:pPr>
              <w:adjustRightInd/>
              <w:snapToGrid/>
              <w:spacing w:line="240" w:lineRule="auto"/>
              <w:ind w:firstLine="0" w:firstLineChars="0"/>
              <w:jc w:val="center"/>
              <w:rPr>
                <w:rFonts w:hint="eastAsia" w:ascii="黑体" w:hAnsi="宋体" w:eastAsia="黑体" w:cs="黑体"/>
                <w:kern w:val="0"/>
                <w:sz w:val="24"/>
                <w:szCs w:val="24"/>
                <w:lang w:bidi="ar"/>
              </w:rPr>
            </w:pPr>
          </w:p>
        </w:tc>
      </w:tr>
      <w:tr w14:paraId="300E7D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301E6272">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031E1381">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67FB782B">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大牛沟</w:t>
            </w:r>
          </w:p>
        </w:tc>
        <w:tc>
          <w:tcPr>
            <w:tcW w:w="1306" w:type="dxa"/>
            <w:vAlign w:val="center"/>
          </w:tcPr>
          <w:p w14:paraId="4E50439D">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1B543B62">
            <w:pPr>
              <w:adjustRightInd/>
              <w:snapToGrid/>
              <w:spacing w:line="240" w:lineRule="auto"/>
              <w:ind w:firstLine="0" w:firstLineChars="0"/>
              <w:jc w:val="center"/>
              <w:rPr>
                <w:rFonts w:hint="eastAsia" w:ascii="黑体" w:hAnsi="宋体" w:eastAsia="黑体" w:cs="黑体"/>
                <w:kern w:val="0"/>
                <w:sz w:val="24"/>
                <w:szCs w:val="24"/>
                <w:lang w:bidi="ar"/>
              </w:rPr>
            </w:pPr>
          </w:p>
        </w:tc>
      </w:tr>
      <w:tr w14:paraId="1F0502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EE507B1">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3E45CB18">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43BB9BA5">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大西岔</w:t>
            </w:r>
          </w:p>
        </w:tc>
        <w:tc>
          <w:tcPr>
            <w:tcW w:w="1306" w:type="dxa"/>
            <w:vAlign w:val="center"/>
          </w:tcPr>
          <w:p w14:paraId="69303EA7">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68FE4E11">
            <w:pPr>
              <w:adjustRightInd/>
              <w:snapToGrid/>
              <w:spacing w:line="240" w:lineRule="auto"/>
              <w:ind w:firstLine="0" w:firstLineChars="0"/>
              <w:jc w:val="center"/>
              <w:rPr>
                <w:rFonts w:hint="eastAsia" w:ascii="黑体" w:hAnsi="宋体" w:eastAsia="黑体" w:cs="黑体"/>
                <w:kern w:val="0"/>
                <w:sz w:val="24"/>
                <w:szCs w:val="24"/>
                <w:lang w:bidi="ar"/>
              </w:rPr>
            </w:pPr>
          </w:p>
        </w:tc>
      </w:tr>
      <w:tr w14:paraId="6AFD5D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D243D40">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4945FF88">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2AB1CA53">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二道梨树沟</w:t>
            </w:r>
          </w:p>
        </w:tc>
        <w:tc>
          <w:tcPr>
            <w:tcW w:w="1306" w:type="dxa"/>
            <w:vAlign w:val="center"/>
          </w:tcPr>
          <w:p w14:paraId="74A92C97">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35556C2B">
            <w:pPr>
              <w:adjustRightInd/>
              <w:snapToGrid/>
              <w:spacing w:line="240" w:lineRule="auto"/>
              <w:ind w:firstLine="0" w:firstLineChars="0"/>
              <w:jc w:val="center"/>
              <w:rPr>
                <w:rFonts w:hint="eastAsia" w:ascii="黑体" w:hAnsi="宋体" w:eastAsia="黑体" w:cs="黑体"/>
                <w:kern w:val="0"/>
                <w:sz w:val="24"/>
                <w:szCs w:val="24"/>
                <w:lang w:bidi="ar"/>
              </w:rPr>
            </w:pPr>
          </w:p>
        </w:tc>
      </w:tr>
      <w:tr w14:paraId="2DD204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3CDF8A2F">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0525D2F">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5644919E">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梨树沟村</w:t>
            </w:r>
          </w:p>
        </w:tc>
        <w:tc>
          <w:tcPr>
            <w:tcW w:w="1306" w:type="dxa"/>
            <w:vAlign w:val="center"/>
          </w:tcPr>
          <w:p w14:paraId="216286B5">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1A474EE5">
            <w:pPr>
              <w:adjustRightInd/>
              <w:snapToGrid/>
              <w:spacing w:line="240" w:lineRule="auto"/>
              <w:ind w:firstLine="0" w:firstLineChars="0"/>
              <w:jc w:val="center"/>
              <w:rPr>
                <w:rFonts w:hint="eastAsia" w:ascii="黑体" w:hAnsi="宋体" w:eastAsia="黑体" w:cs="黑体"/>
                <w:kern w:val="0"/>
                <w:sz w:val="24"/>
                <w:szCs w:val="24"/>
                <w:lang w:bidi="ar"/>
              </w:rPr>
            </w:pPr>
          </w:p>
        </w:tc>
      </w:tr>
      <w:tr w14:paraId="5DDF4B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C9351A8">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FEE344B">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2DA41366">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三道梨树沟</w:t>
            </w:r>
          </w:p>
        </w:tc>
        <w:tc>
          <w:tcPr>
            <w:tcW w:w="1306" w:type="dxa"/>
            <w:vAlign w:val="center"/>
          </w:tcPr>
          <w:p w14:paraId="7BB3077B">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增量型</w:t>
            </w:r>
          </w:p>
        </w:tc>
        <w:tc>
          <w:tcPr>
            <w:tcW w:w="1014" w:type="dxa"/>
            <w:vAlign w:val="center"/>
          </w:tcPr>
          <w:p w14:paraId="0DDCBF84">
            <w:pPr>
              <w:adjustRightInd/>
              <w:snapToGrid/>
              <w:spacing w:line="240" w:lineRule="auto"/>
              <w:ind w:firstLine="0" w:firstLineChars="0"/>
              <w:jc w:val="center"/>
              <w:rPr>
                <w:rFonts w:hint="eastAsia" w:ascii="黑体" w:hAnsi="宋体" w:eastAsia="黑体" w:cs="黑体"/>
                <w:kern w:val="0"/>
                <w:sz w:val="24"/>
                <w:szCs w:val="24"/>
                <w:lang w:bidi="ar"/>
              </w:rPr>
            </w:pPr>
          </w:p>
        </w:tc>
      </w:tr>
      <w:tr w14:paraId="228100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33685E39">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143BA01E">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7E70918C">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胜利村</w:t>
            </w:r>
          </w:p>
        </w:tc>
        <w:tc>
          <w:tcPr>
            <w:tcW w:w="1306" w:type="dxa"/>
            <w:vAlign w:val="center"/>
          </w:tcPr>
          <w:p w14:paraId="10D82EB3">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644865F7">
            <w:pPr>
              <w:adjustRightInd/>
              <w:snapToGrid/>
              <w:spacing w:line="240" w:lineRule="auto"/>
              <w:ind w:firstLine="0" w:firstLineChars="0"/>
              <w:jc w:val="center"/>
              <w:rPr>
                <w:rFonts w:hint="eastAsia" w:ascii="黑体" w:hAnsi="宋体" w:eastAsia="黑体" w:cs="黑体"/>
                <w:kern w:val="0"/>
                <w:sz w:val="24"/>
                <w:szCs w:val="24"/>
                <w:lang w:bidi="ar"/>
              </w:rPr>
            </w:pPr>
          </w:p>
        </w:tc>
      </w:tr>
      <w:tr w14:paraId="25F4D6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D8CEB49">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300E2319">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1FFAC599">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石垛沟</w:t>
            </w:r>
          </w:p>
        </w:tc>
        <w:tc>
          <w:tcPr>
            <w:tcW w:w="1306" w:type="dxa"/>
            <w:vAlign w:val="center"/>
          </w:tcPr>
          <w:p w14:paraId="1750F26E">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4A4F28C9">
            <w:pPr>
              <w:adjustRightInd/>
              <w:snapToGrid/>
              <w:spacing w:line="240" w:lineRule="auto"/>
              <w:ind w:firstLine="0" w:firstLineChars="0"/>
              <w:jc w:val="center"/>
              <w:rPr>
                <w:rFonts w:hint="eastAsia" w:ascii="黑体" w:hAnsi="宋体" w:eastAsia="黑体" w:cs="黑体"/>
                <w:kern w:val="0"/>
                <w:sz w:val="24"/>
                <w:szCs w:val="24"/>
                <w:lang w:bidi="ar"/>
              </w:rPr>
            </w:pPr>
          </w:p>
        </w:tc>
      </w:tr>
      <w:tr w14:paraId="505057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5AF09C4F">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58D66A17">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41BCB548">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趟子</w:t>
            </w:r>
          </w:p>
        </w:tc>
        <w:tc>
          <w:tcPr>
            <w:tcW w:w="1306" w:type="dxa"/>
            <w:vAlign w:val="center"/>
          </w:tcPr>
          <w:p w14:paraId="755ADDF9">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6C2C4079">
            <w:pPr>
              <w:adjustRightInd/>
              <w:snapToGrid/>
              <w:spacing w:line="240" w:lineRule="auto"/>
              <w:ind w:firstLine="0" w:firstLineChars="0"/>
              <w:jc w:val="center"/>
              <w:rPr>
                <w:rFonts w:hint="eastAsia" w:ascii="黑体" w:hAnsi="宋体" w:eastAsia="黑体" w:cs="黑体"/>
                <w:kern w:val="0"/>
                <w:sz w:val="24"/>
                <w:szCs w:val="24"/>
                <w:lang w:bidi="ar"/>
              </w:rPr>
            </w:pPr>
          </w:p>
        </w:tc>
      </w:tr>
      <w:tr w14:paraId="166E8C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9A57EFF">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443A4B2">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30FA2952">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王家街</w:t>
            </w:r>
          </w:p>
        </w:tc>
        <w:tc>
          <w:tcPr>
            <w:tcW w:w="1306" w:type="dxa"/>
            <w:vAlign w:val="center"/>
          </w:tcPr>
          <w:p w14:paraId="1CD752F4">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6FCF36CD">
            <w:pPr>
              <w:adjustRightInd/>
              <w:snapToGrid/>
              <w:spacing w:line="240" w:lineRule="auto"/>
              <w:ind w:firstLine="0" w:firstLineChars="0"/>
              <w:jc w:val="center"/>
              <w:rPr>
                <w:rFonts w:hint="eastAsia" w:ascii="黑体" w:hAnsi="宋体" w:eastAsia="黑体" w:cs="黑体"/>
                <w:kern w:val="0"/>
                <w:sz w:val="24"/>
                <w:szCs w:val="24"/>
                <w:lang w:bidi="ar"/>
              </w:rPr>
            </w:pPr>
          </w:p>
        </w:tc>
      </w:tr>
      <w:tr w14:paraId="0C53B2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19E323E">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7370EFE">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372A1F45">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小青沟</w:t>
            </w:r>
          </w:p>
        </w:tc>
        <w:tc>
          <w:tcPr>
            <w:tcW w:w="1306" w:type="dxa"/>
            <w:vAlign w:val="center"/>
          </w:tcPr>
          <w:p w14:paraId="039BD9B2">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510AF80A">
            <w:pPr>
              <w:adjustRightInd/>
              <w:snapToGrid/>
              <w:spacing w:line="240" w:lineRule="auto"/>
              <w:ind w:firstLine="0" w:firstLineChars="0"/>
              <w:jc w:val="center"/>
              <w:rPr>
                <w:rFonts w:hint="eastAsia" w:ascii="黑体" w:hAnsi="宋体" w:eastAsia="黑体" w:cs="黑体"/>
                <w:kern w:val="0"/>
                <w:sz w:val="24"/>
                <w:szCs w:val="24"/>
                <w:lang w:bidi="ar"/>
              </w:rPr>
            </w:pPr>
          </w:p>
        </w:tc>
      </w:tr>
      <w:tr w14:paraId="32B375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D118677">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5A984909">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6E5CD1C7">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小西岔</w:t>
            </w:r>
          </w:p>
        </w:tc>
        <w:tc>
          <w:tcPr>
            <w:tcW w:w="1306" w:type="dxa"/>
            <w:vAlign w:val="center"/>
          </w:tcPr>
          <w:p w14:paraId="017DC227">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26CE152C">
            <w:pPr>
              <w:adjustRightInd/>
              <w:snapToGrid/>
              <w:spacing w:line="240" w:lineRule="auto"/>
              <w:ind w:firstLine="0" w:firstLineChars="0"/>
              <w:jc w:val="center"/>
              <w:rPr>
                <w:rFonts w:hint="eastAsia" w:ascii="黑体" w:hAnsi="宋体" w:eastAsia="黑体" w:cs="黑体"/>
                <w:kern w:val="0"/>
                <w:sz w:val="24"/>
                <w:szCs w:val="24"/>
                <w:lang w:bidi="ar"/>
              </w:rPr>
            </w:pPr>
          </w:p>
        </w:tc>
      </w:tr>
      <w:tr w14:paraId="7C83C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restart"/>
            <w:vAlign w:val="center"/>
          </w:tcPr>
          <w:p w14:paraId="528BA9C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5</w:t>
            </w:r>
          </w:p>
        </w:tc>
        <w:tc>
          <w:tcPr>
            <w:tcW w:w="1461" w:type="dxa"/>
            <w:vMerge w:val="restart"/>
            <w:vAlign w:val="center"/>
          </w:tcPr>
          <w:p w14:paraId="104ED193">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龙泉村</w:t>
            </w:r>
          </w:p>
        </w:tc>
        <w:tc>
          <w:tcPr>
            <w:tcW w:w="2858" w:type="dxa"/>
            <w:vAlign w:val="bottom"/>
          </w:tcPr>
          <w:p w14:paraId="57C148FF">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白家街</w:t>
            </w:r>
          </w:p>
        </w:tc>
        <w:tc>
          <w:tcPr>
            <w:tcW w:w="1306" w:type="dxa"/>
            <w:vAlign w:val="center"/>
          </w:tcPr>
          <w:p w14:paraId="47E03142">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71637616">
            <w:pPr>
              <w:adjustRightInd/>
              <w:snapToGrid/>
              <w:spacing w:line="240" w:lineRule="auto"/>
              <w:ind w:firstLine="0" w:firstLineChars="0"/>
              <w:jc w:val="center"/>
              <w:rPr>
                <w:rFonts w:hint="eastAsia" w:ascii="黑体" w:hAnsi="宋体" w:eastAsia="黑体" w:cs="黑体"/>
                <w:kern w:val="0"/>
                <w:sz w:val="24"/>
                <w:szCs w:val="24"/>
                <w:lang w:bidi="ar"/>
              </w:rPr>
            </w:pPr>
          </w:p>
        </w:tc>
      </w:tr>
      <w:tr w14:paraId="22E07D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FADF49D">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1A73BBA1">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02A53284">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大东沟</w:t>
            </w:r>
          </w:p>
        </w:tc>
        <w:tc>
          <w:tcPr>
            <w:tcW w:w="1306" w:type="dxa"/>
            <w:vAlign w:val="center"/>
          </w:tcPr>
          <w:p w14:paraId="2517ED80">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41DC4047">
            <w:pPr>
              <w:adjustRightInd/>
              <w:snapToGrid/>
              <w:spacing w:line="240" w:lineRule="auto"/>
              <w:ind w:firstLine="0" w:firstLineChars="0"/>
              <w:jc w:val="center"/>
              <w:rPr>
                <w:rFonts w:hint="eastAsia" w:ascii="黑体" w:hAnsi="宋体" w:eastAsia="黑体" w:cs="黑体"/>
                <w:kern w:val="0"/>
                <w:sz w:val="24"/>
                <w:szCs w:val="24"/>
                <w:lang w:bidi="ar"/>
              </w:rPr>
            </w:pPr>
          </w:p>
        </w:tc>
      </w:tr>
      <w:tr w14:paraId="0713A8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27A3CF5">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2E93F71">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27D717C9">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狼洞沟门</w:t>
            </w:r>
          </w:p>
        </w:tc>
        <w:tc>
          <w:tcPr>
            <w:tcW w:w="1306" w:type="dxa"/>
            <w:vAlign w:val="center"/>
          </w:tcPr>
          <w:p w14:paraId="2F1284FA">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增量型</w:t>
            </w:r>
          </w:p>
        </w:tc>
        <w:tc>
          <w:tcPr>
            <w:tcW w:w="1014" w:type="dxa"/>
            <w:vAlign w:val="center"/>
          </w:tcPr>
          <w:p w14:paraId="7650B6AF">
            <w:pPr>
              <w:adjustRightInd/>
              <w:snapToGrid/>
              <w:spacing w:line="240" w:lineRule="auto"/>
              <w:ind w:firstLine="0" w:firstLineChars="0"/>
              <w:jc w:val="center"/>
              <w:rPr>
                <w:rFonts w:hint="eastAsia" w:ascii="黑体" w:hAnsi="宋体" w:eastAsia="黑体" w:cs="黑体"/>
                <w:kern w:val="0"/>
                <w:sz w:val="24"/>
                <w:szCs w:val="24"/>
                <w:lang w:bidi="ar"/>
              </w:rPr>
            </w:pPr>
          </w:p>
        </w:tc>
      </w:tr>
      <w:tr w14:paraId="67EC93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D61FEE5">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06AF17E8">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1A67E6DD">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龙泉村</w:t>
            </w:r>
          </w:p>
        </w:tc>
        <w:tc>
          <w:tcPr>
            <w:tcW w:w="1306" w:type="dxa"/>
            <w:vAlign w:val="center"/>
          </w:tcPr>
          <w:p w14:paraId="61F2DB50">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26CC44CA">
            <w:pPr>
              <w:adjustRightInd/>
              <w:snapToGrid/>
              <w:spacing w:line="240" w:lineRule="auto"/>
              <w:ind w:firstLine="0" w:firstLineChars="0"/>
              <w:jc w:val="center"/>
              <w:rPr>
                <w:rFonts w:hint="eastAsia" w:ascii="黑体" w:hAnsi="宋体" w:eastAsia="黑体" w:cs="黑体"/>
                <w:kern w:val="0"/>
                <w:sz w:val="24"/>
                <w:szCs w:val="24"/>
                <w:lang w:bidi="ar"/>
              </w:rPr>
            </w:pPr>
          </w:p>
        </w:tc>
      </w:tr>
      <w:tr w14:paraId="0CC23E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5AA0ADEB">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592EAFED">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2A470503">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热闹街</w:t>
            </w:r>
          </w:p>
        </w:tc>
        <w:tc>
          <w:tcPr>
            <w:tcW w:w="1306" w:type="dxa"/>
            <w:vAlign w:val="center"/>
          </w:tcPr>
          <w:p w14:paraId="2F51D3EC">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1862C3CB">
            <w:pPr>
              <w:adjustRightInd/>
              <w:snapToGrid/>
              <w:spacing w:line="240" w:lineRule="auto"/>
              <w:ind w:firstLine="0" w:firstLineChars="0"/>
              <w:jc w:val="center"/>
              <w:rPr>
                <w:rFonts w:hint="eastAsia" w:ascii="黑体" w:hAnsi="宋体" w:eastAsia="黑体" w:cs="黑体"/>
                <w:kern w:val="0"/>
                <w:sz w:val="24"/>
                <w:szCs w:val="24"/>
                <w:lang w:bidi="ar"/>
              </w:rPr>
            </w:pPr>
          </w:p>
        </w:tc>
      </w:tr>
      <w:tr w14:paraId="65E85F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638EDDE2">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5406FDBA">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3C5F2B8B">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山道阴</w:t>
            </w:r>
          </w:p>
        </w:tc>
        <w:tc>
          <w:tcPr>
            <w:tcW w:w="1306" w:type="dxa"/>
            <w:vAlign w:val="center"/>
          </w:tcPr>
          <w:p w14:paraId="27D76F0D">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28BAF303">
            <w:pPr>
              <w:adjustRightInd/>
              <w:snapToGrid/>
              <w:spacing w:line="240" w:lineRule="auto"/>
              <w:ind w:firstLine="0" w:firstLineChars="0"/>
              <w:jc w:val="center"/>
              <w:rPr>
                <w:rFonts w:hint="eastAsia" w:ascii="黑体" w:hAnsi="宋体" w:eastAsia="黑体" w:cs="黑体"/>
                <w:kern w:val="0"/>
                <w:sz w:val="24"/>
                <w:szCs w:val="24"/>
                <w:lang w:bidi="ar"/>
              </w:rPr>
            </w:pPr>
          </w:p>
        </w:tc>
      </w:tr>
      <w:tr w14:paraId="1ECCF0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00E9D53">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344E4A89">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751E6976">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上刘家</w:t>
            </w:r>
          </w:p>
        </w:tc>
        <w:tc>
          <w:tcPr>
            <w:tcW w:w="1306" w:type="dxa"/>
            <w:vAlign w:val="center"/>
          </w:tcPr>
          <w:p w14:paraId="37DE4833">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增量型</w:t>
            </w:r>
          </w:p>
        </w:tc>
        <w:tc>
          <w:tcPr>
            <w:tcW w:w="1014" w:type="dxa"/>
            <w:vAlign w:val="center"/>
          </w:tcPr>
          <w:p w14:paraId="7AE659BA">
            <w:pPr>
              <w:adjustRightInd/>
              <w:snapToGrid/>
              <w:spacing w:line="240" w:lineRule="auto"/>
              <w:ind w:firstLine="0" w:firstLineChars="0"/>
              <w:jc w:val="center"/>
              <w:rPr>
                <w:rFonts w:hint="eastAsia" w:ascii="黑体" w:hAnsi="宋体" w:eastAsia="黑体" w:cs="黑体"/>
                <w:kern w:val="0"/>
                <w:sz w:val="24"/>
                <w:szCs w:val="24"/>
                <w:lang w:bidi="ar"/>
              </w:rPr>
            </w:pPr>
          </w:p>
        </w:tc>
      </w:tr>
      <w:tr w14:paraId="4BCFDB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7DB7ECE">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4FC6A8D">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0BC6E8A6">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潭家沟</w:t>
            </w:r>
          </w:p>
        </w:tc>
        <w:tc>
          <w:tcPr>
            <w:tcW w:w="1306" w:type="dxa"/>
            <w:vAlign w:val="center"/>
          </w:tcPr>
          <w:p w14:paraId="29DCDA6B">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1BEFC574">
            <w:pPr>
              <w:adjustRightInd/>
              <w:snapToGrid/>
              <w:spacing w:line="240" w:lineRule="auto"/>
              <w:ind w:firstLine="0" w:firstLineChars="0"/>
              <w:jc w:val="center"/>
              <w:rPr>
                <w:rFonts w:hint="eastAsia" w:ascii="黑体" w:hAnsi="宋体" w:eastAsia="黑体" w:cs="黑体"/>
                <w:kern w:val="0"/>
                <w:sz w:val="24"/>
                <w:szCs w:val="24"/>
                <w:lang w:bidi="ar"/>
              </w:rPr>
            </w:pPr>
          </w:p>
        </w:tc>
      </w:tr>
      <w:tr w14:paraId="03090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5724C606">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5E41AB66">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2BF1DA06">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下刘家</w:t>
            </w:r>
          </w:p>
        </w:tc>
        <w:tc>
          <w:tcPr>
            <w:tcW w:w="1306" w:type="dxa"/>
            <w:vAlign w:val="center"/>
          </w:tcPr>
          <w:p w14:paraId="4F01D98C">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055802FF">
            <w:pPr>
              <w:adjustRightInd/>
              <w:snapToGrid/>
              <w:spacing w:line="240" w:lineRule="auto"/>
              <w:ind w:firstLine="0" w:firstLineChars="0"/>
              <w:jc w:val="center"/>
              <w:rPr>
                <w:rFonts w:hint="eastAsia" w:ascii="黑体" w:hAnsi="宋体" w:eastAsia="黑体" w:cs="黑体"/>
                <w:kern w:val="0"/>
                <w:sz w:val="24"/>
                <w:szCs w:val="24"/>
                <w:lang w:bidi="ar"/>
              </w:rPr>
            </w:pPr>
          </w:p>
        </w:tc>
      </w:tr>
      <w:tr w14:paraId="7F9D3F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DB534BD">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6496254F">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385F8548">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小东沟</w:t>
            </w:r>
          </w:p>
        </w:tc>
        <w:tc>
          <w:tcPr>
            <w:tcW w:w="1306" w:type="dxa"/>
            <w:vAlign w:val="center"/>
          </w:tcPr>
          <w:p w14:paraId="6B132AA1">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7C82B64E">
            <w:pPr>
              <w:adjustRightInd/>
              <w:snapToGrid/>
              <w:spacing w:line="240" w:lineRule="auto"/>
              <w:ind w:firstLine="0" w:firstLineChars="0"/>
              <w:jc w:val="center"/>
              <w:rPr>
                <w:rFonts w:hint="eastAsia" w:ascii="黑体" w:hAnsi="宋体" w:eastAsia="黑体" w:cs="黑体"/>
                <w:kern w:val="0"/>
                <w:sz w:val="24"/>
                <w:szCs w:val="24"/>
                <w:lang w:bidi="ar"/>
              </w:rPr>
            </w:pPr>
          </w:p>
        </w:tc>
      </w:tr>
      <w:tr w14:paraId="191649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367FC284">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3C8E8B1E">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56E58E7D">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小拐磨子村</w:t>
            </w:r>
          </w:p>
        </w:tc>
        <w:tc>
          <w:tcPr>
            <w:tcW w:w="1306" w:type="dxa"/>
            <w:vAlign w:val="center"/>
          </w:tcPr>
          <w:p w14:paraId="3BE8F7C2">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增量型</w:t>
            </w:r>
          </w:p>
        </w:tc>
        <w:tc>
          <w:tcPr>
            <w:tcW w:w="1014" w:type="dxa"/>
            <w:vAlign w:val="center"/>
          </w:tcPr>
          <w:p w14:paraId="2AF6B615">
            <w:pPr>
              <w:adjustRightInd/>
              <w:snapToGrid/>
              <w:spacing w:line="240" w:lineRule="auto"/>
              <w:ind w:firstLine="0" w:firstLineChars="0"/>
              <w:jc w:val="center"/>
              <w:rPr>
                <w:rFonts w:hint="eastAsia" w:ascii="黑体" w:hAnsi="宋体" w:eastAsia="黑体" w:cs="黑体"/>
                <w:kern w:val="0"/>
                <w:sz w:val="24"/>
                <w:szCs w:val="24"/>
                <w:lang w:bidi="ar"/>
              </w:rPr>
            </w:pPr>
          </w:p>
        </w:tc>
      </w:tr>
      <w:tr w14:paraId="3B3C9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restart"/>
            <w:vAlign w:val="center"/>
          </w:tcPr>
          <w:p w14:paraId="57E43FF5">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6</w:t>
            </w:r>
          </w:p>
        </w:tc>
        <w:tc>
          <w:tcPr>
            <w:tcW w:w="1461" w:type="dxa"/>
            <w:vMerge w:val="restart"/>
            <w:vAlign w:val="center"/>
          </w:tcPr>
          <w:p w14:paraId="201ECFEC">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普乐堡村</w:t>
            </w:r>
          </w:p>
        </w:tc>
        <w:tc>
          <w:tcPr>
            <w:tcW w:w="2858" w:type="dxa"/>
            <w:vAlign w:val="bottom"/>
          </w:tcPr>
          <w:p w14:paraId="17A1AE91">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狼洞沟</w:t>
            </w:r>
          </w:p>
        </w:tc>
        <w:tc>
          <w:tcPr>
            <w:tcW w:w="1306" w:type="dxa"/>
            <w:vAlign w:val="center"/>
          </w:tcPr>
          <w:p w14:paraId="1090371E">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55074A6E">
            <w:pPr>
              <w:adjustRightInd/>
              <w:snapToGrid/>
              <w:spacing w:line="240" w:lineRule="auto"/>
              <w:ind w:firstLine="0" w:firstLineChars="0"/>
              <w:jc w:val="center"/>
              <w:rPr>
                <w:rFonts w:hint="eastAsia" w:ascii="黑体" w:hAnsi="宋体" w:eastAsia="黑体" w:cs="黑体"/>
                <w:kern w:val="0"/>
                <w:sz w:val="24"/>
                <w:szCs w:val="24"/>
                <w:lang w:bidi="ar"/>
              </w:rPr>
            </w:pPr>
          </w:p>
        </w:tc>
      </w:tr>
      <w:tr w14:paraId="4B3D95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593BD8AA">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452E6600">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6E7CB8AA">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老牛圈沟</w:t>
            </w:r>
          </w:p>
        </w:tc>
        <w:tc>
          <w:tcPr>
            <w:tcW w:w="1306" w:type="dxa"/>
            <w:vAlign w:val="center"/>
          </w:tcPr>
          <w:p w14:paraId="29E674C2">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0328969F">
            <w:pPr>
              <w:adjustRightInd/>
              <w:snapToGrid/>
              <w:spacing w:line="240" w:lineRule="auto"/>
              <w:ind w:firstLine="0" w:firstLineChars="0"/>
              <w:jc w:val="center"/>
              <w:rPr>
                <w:rFonts w:hint="eastAsia" w:ascii="黑体" w:hAnsi="宋体" w:eastAsia="黑体" w:cs="黑体"/>
                <w:kern w:val="0"/>
                <w:sz w:val="24"/>
                <w:szCs w:val="24"/>
                <w:lang w:bidi="ar"/>
              </w:rPr>
            </w:pPr>
          </w:p>
        </w:tc>
      </w:tr>
      <w:tr w14:paraId="3A75B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67CE4F3">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0C7BDA2F">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49165FC4">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六人把</w:t>
            </w:r>
          </w:p>
        </w:tc>
        <w:tc>
          <w:tcPr>
            <w:tcW w:w="1306" w:type="dxa"/>
            <w:vAlign w:val="center"/>
          </w:tcPr>
          <w:p w14:paraId="4D5725E0">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0A055E22">
            <w:pPr>
              <w:adjustRightInd/>
              <w:snapToGrid/>
              <w:spacing w:line="240" w:lineRule="auto"/>
              <w:ind w:firstLine="0" w:firstLineChars="0"/>
              <w:jc w:val="center"/>
              <w:rPr>
                <w:rFonts w:hint="eastAsia" w:ascii="黑体" w:hAnsi="宋体" w:eastAsia="黑体" w:cs="黑体"/>
                <w:kern w:val="0"/>
                <w:sz w:val="24"/>
                <w:szCs w:val="24"/>
                <w:lang w:bidi="ar"/>
              </w:rPr>
            </w:pPr>
          </w:p>
        </w:tc>
      </w:tr>
      <w:tr w14:paraId="78D527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071A680">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BBD1B86">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2EC9023D">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牛毛沟</w:t>
            </w:r>
          </w:p>
        </w:tc>
        <w:tc>
          <w:tcPr>
            <w:tcW w:w="1306" w:type="dxa"/>
            <w:vAlign w:val="center"/>
          </w:tcPr>
          <w:p w14:paraId="37AE74B7">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778201E0">
            <w:pPr>
              <w:adjustRightInd/>
              <w:snapToGrid/>
              <w:spacing w:line="240" w:lineRule="auto"/>
              <w:ind w:firstLine="0" w:firstLineChars="0"/>
              <w:jc w:val="center"/>
              <w:rPr>
                <w:rFonts w:hint="eastAsia" w:ascii="黑体" w:hAnsi="宋体" w:eastAsia="黑体" w:cs="黑体"/>
                <w:kern w:val="0"/>
                <w:sz w:val="24"/>
                <w:szCs w:val="24"/>
                <w:lang w:bidi="ar"/>
              </w:rPr>
            </w:pPr>
          </w:p>
        </w:tc>
      </w:tr>
      <w:tr w14:paraId="653A2C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4CDE0643">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C1935E7">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6C83F837">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牛毛沟村</w:t>
            </w:r>
          </w:p>
        </w:tc>
        <w:tc>
          <w:tcPr>
            <w:tcW w:w="1306" w:type="dxa"/>
            <w:vAlign w:val="center"/>
          </w:tcPr>
          <w:p w14:paraId="26616B30">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1EE86691">
            <w:pPr>
              <w:adjustRightInd/>
              <w:snapToGrid/>
              <w:spacing w:line="240" w:lineRule="auto"/>
              <w:ind w:firstLine="0" w:firstLineChars="0"/>
              <w:jc w:val="center"/>
              <w:rPr>
                <w:rFonts w:hint="eastAsia" w:ascii="黑体" w:hAnsi="宋体" w:eastAsia="黑体" w:cs="黑体"/>
                <w:kern w:val="0"/>
                <w:sz w:val="24"/>
                <w:szCs w:val="24"/>
                <w:lang w:bidi="ar"/>
              </w:rPr>
            </w:pPr>
          </w:p>
        </w:tc>
      </w:tr>
      <w:tr w14:paraId="46C063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6AEE135D">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09DBAE09">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1D423D2E">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普乐堡村</w:t>
            </w:r>
          </w:p>
        </w:tc>
        <w:tc>
          <w:tcPr>
            <w:tcW w:w="1306" w:type="dxa"/>
            <w:vAlign w:val="center"/>
          </w:tcPr>
          <w:p w14:paraId="25351C84">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3653CC8C">
            <w:pPr>
              <w:adjustRightInd/>
              <w:snapToGrid/>
              <w:spacing w:line="240" w:lineRule="auto"/>
              <w:ind w:firstLine="0" w:firstLineChars="0"/>
              <w:jc w:val="center"/>
              <w:rPr>
                <w:rFonts w:hint="eastAsia" w:ascii="黑体" w:hAnsi="宋体" w:eastAsia="黑体" w:cs="黑体"/>
                <w:kern w:val="0"/>
                <w:sz w:val="24"/>
                <w:szCs w:val="24"/>
                <w:lang w:bidi="ar"/>
              </w:rPr>
            </w:pPr>
          </w:p>
        </w:tc>
      </w:tr>
      <w:tr w14:paraId="33B60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815BC94">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330DDF02">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7EBBEC16">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西岔</w:t>
            </w:r>
          </w:p>
        </w:tc>
        <w:tc>
          <w:tcPr>
            <w:tcW w:w="1306" w:type="dxa"/>
            <w:vAlign w:val="center"/>
          </w:tcPr>
          <w:p w14:paraId="1E1FE2D9">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6715C24E">
            <w:pPr>
              <w:adjustRightInd/>
              <w:snapToGrid/>
              <w:spacing w:line="240" w:lineRule="auto"/>
              <w:ind w:firstLine="0" w:firstLineChars="0"/>
              <w:jc w:val="center"/>
              <w:rPr>
                <w:rFonts w:hint="eastAsia" w:ascii="黑体" w:hAnsi="宋体" w:eastAsia="黑体" w:cs="黑体"/>
                <w:kern w:val="0"/>
                <w:sz w:val="24"/>
                <w:szCs w:val="24"/>
                <w:lang w:bidi="ar"/>
              </w:rPr>
            </w:pPr>
          </w:p>
        </w:tc>
      </w:tr>
      <w:tr w14:paraId="35ABE3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52C98179">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8007BCD">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422406A7">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小库仓沟</w:t>
            </w:r>
          </w:p>
        </w:tc>
        <w:tc>
          <w:tcPr>
            <w:tcW w:w="1306" w:type="dxa"/>
            <w:vAlign w:val="center"/>
          </w:tcPr>
          <w:p w14:paraId="667AB6D7">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340D0544">
            <w:pPr>
              <w:adjustRightInd/>
              <w:snapToGrid/>
              <w:spacing w:line="240" w:lineRule="auto"/>
              <w:ind w:firstLine="0" w:firstLineChars="0"/>
              <w:jc w:val="center"/>
              <w:rPr>
                <w:rFonts w:hint="eastAsia" w:ascii="黑体" w:hAnsi="宋体" w:eastAsia="黑体" w:cs="黑体"/>
                <w:kern w:val="0"/>
                <w:sz w:val="24"/>
                <w:szCs w:val="24"/>
                <w:lang w:bidi="ar"/>
              </w:rPr>
            </w:pPr>
          </w:p>
        </w:tc>
      </w:tr>
      <w:tr w14:paraId="2713AC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restart"/>
            <w:vAlign w:val="center"/>
          </w:tcPr>
          <w:p w14:paraId="39FECE20">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7</w:t>
            </w:r>
          </w:p>
        </w:tc>
        <w:tc>
          <w:tcPr>
            <w:tcW w:w="1461" w:type="dxa"/>
            <w:vMerge w:val="restart"/>
            <w:vAlign w:val="center"/>
          </w:tcPr>
          <w:p w14:paraId="64D4D6BB">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瓦房村</w:t>
            </w:r>
          </w:p>
        </w:tc>
        <w:tc>
          <w:tcPr>
            <w:tcW w:w="2858" w:type="dxa"/>
            <w:vAlign w:val="bottom"/>
          </w:tcPr>
          <w:p w14:paraId="60416EEB">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常家街</w:t>
            </w:r>
          </w:p>
        </w:tc>
        <w:tc>
          <w:tcPr>
            <w:tcW w:w="1306" w:type="dxa"/>
            <w:vAlign w:val="center"/>
          </w:tcPr>
          <w:p w14:paraId="0EDCAEE4">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5148FC08">
            <w:pPr>
              <w:adjustRightInd/>
              <w:snapToGrid/>
              <w:spacing w:line="240" w:lineRule="auto"/>
              <w:ind w:firstLine="0" w:firstLineChars="0"/>
              <w:jc w:val="center"/>
              <w:rPr>
                <w:rFonts w:hint="eastAsia" w:ascii="黑体" w:hAnsi="宋体" w:eastAsia="黑体" w:cs="黑体"/>
                <w:kern w:val="0"/>
                <w:sz w:val="24"/>
                <w:szCs w:val="24"/>
                <w:lang w:bidi="ar"/>
              </w:rPr>
            </w:pPr>
          </w:p>
        </w:tc>
      </w:tr>
      <w:tr w14:paraId="51687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7401DA07">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445562BE">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60D8FF88">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大关门砬子</w:t>
            </w:r>
          </w:p>
        </w:tc>
        <w:tc>
          <w:tcPr>
            <w:tcW w:w="1306" w:type="dxa"/>
            <w:vAlign w:val="center"/>
          </w:tcPr>
          <w:p w14:paraId="62FBD04C">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5E8FFC03">
            <w:pPr>
              <w:adjustRightInd/>
              <w:snapToGrid/>
              <w:spacing w:line="240" w:lineRule="auto"/>
              <w:ind w:firstLine="0" w:firstLineChars="0"/>
              <w:jc w:val="center"/>
              <w:rPr>
                <w:rFonts w:hint="eastAsia" w:ascii="黑体" w:hAnsi="宋体" w:eastAsia="黑体" w:cs="黑体"/>
                <w:kern w:val="0"/>
                <w:sz w:val="24"/>
                <w:szCs w:val="24"/>
                <w:lang w:bidi="ar"/>
              </w:rPr>
            </w:pPr>
          </w:p>
        </w:tc>
      </w:tr>
      <w:tr w14:paraId="57D66E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5E72044">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044993D4">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5B822E2D">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邓家街</w:t>
            </w:r>
          </w:p>
        </w:tc>
        <w:tc>
          <w:tcPr>
            <w:tcW w:w="1306" w:type="dxa"/>
            <w:vAlign w:val="center"/>
          </w:tcPr>
          <w:p w14:paraId="381F2165">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196E2893">
            <w:pPr>
              <w:adjustRightInd/>
              <w:snapToGrid/>
              <w:spacing w:line="240" w:lineRule="auto"/>
              <w:ind w:firstLine="0" w:firstLineChars="0"/>
              <w:jc w:val="center"/>
              <w:rPr>
                <w:rFonts w:hint="eastAsia" w:ascii="黑体" w:hAnsi="宋体" w:eastAsia="黑体" w:cs="黑体"/>
                <w:kern w:val="0"/>
                <w:sz w:val="24"/>
                <w:szCs w:val="24"/>
                <w:lang w:bidi="ar"/>
              </w:rPr>
            </w:pPr>
          </w:p>
        </w:tc>
      </w:tr>
      <w:tr w14:paraId="76BB9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EE481DF">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4E50259">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1F99A166">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丁家沟</w:t>
            </w:r>
          </w:p>
        </w:tc>
        <w:tc>
          <w:tcPr>
            <w:tcW w:w="1306" w:type="dxa"/>
            <w:vAlign w:val="center"/>
          </w:tcPr>
          <w:p w14:paraId="41164840">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5637F01F">
            <w:pPr>
              <w:adjustRightInd/>
              <w:snapToGrid/>
              <w:spacing w:line="240" w:lineRule="auto"/>
              <w:ind w:firstLine="0" w:firstLineChars="0"/>
              <w:jc w:val="center"/>
              <w:rPr>
                <w:rFonts w:hint="eastAsia" w:ascii="黑体" w:hAnsi="宋体" w:eastAsia="黑体" w:cs="黑体"/>
                <w:kern w:val="0"/>
                <w:sz w:val="24"/>
                <w:szCs w:val="24"/>
                <w:lang w:bidi="ar"/>
              </w:rPr>
            </w:pPr>
          </w:p>
        </w:tc>
      </w:tr>
      <w:tr w14:paraId="5543FD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015DE0E">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0DD5E97">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1C9D7A54">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东台子</w:t>
            </w:r>
          </w:p>
        </w:tc>
        <w:tc>
          <w:tcPr>
            <w:tcW w:w="1306" w:type="dxa"/>
            <w:vAlign w:val="center"/>
          </w:tcPr>
          <w:p w14:paraId="267C780F">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327D314F">
            <w:pPr>
              <w:adjustRightInd/>
              <w:snapToGrid/>
              <w:spacing w:line="240" w:lineRule="auto"/>
              <w:ind w:firstLine="0" w:firstLineChars="0"/>
              <w:jc w:val="center"/>
              <w:rPr>
                <w:rFonts w:hint="eastAsia" w:ascii="黑体" w:hAnsi="宋体" w:eastAsia="黑体" w:cs="黑体"/>
                <w:kern w:val="0"/>
                <w:sz w:val="24"/>
                <w:szCs w:val="24"/>
                <w:lang w:bidi="ar"/>
              </w:rPr>
            </w:pPr>
          </w:p>
        </w:tc>
      </w:tr>
      <w:tr w14:paraId="6185C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11DD9A8E">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4BA91B69">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497C7DF2">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宁家沟</w:t>
            </w:r>
          </w:p>
        </w:tc>
        <w:tc>
          <w:tcPr>
            <w:tcW w:w="1306" w:type="dxa"/>
            <w:vAlign w:val="center"/>
          </w:tcPr>
          <w:p w14:paraId="00DDAD06">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6318B916">
            <w:pPr>
              <w:adjustRightInd/>
              <w:snapToGrid/>
              <w:spacing w:line="240" w:lineRule="auto"/>
              <w:ind w:firstLine="0" w:firstLineChars="0"/>
              <w:jc w:val="center"/>
              <w:rPr>
                <w:rFonts w:hint="eastAsia" w:ascii="黑体" w:hAnsi="宋体" w:eastAsia="黑体" w:cs="黑体"/>
                <w:kern w:val="0"/>
                <w:sz w:val="24"/>
                <w:szCs w:val="24"/>
                <w:lang w:bidi="ar"/>
              </w:rPr>
            </w:pPr>
          </w:p>
        </w:tc>
      </w:tr>
      <w:tr w14:paraId="5542BA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BFDAB39">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5AF1652D">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3912F358">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牛毛岭子</w:t>
            </w:r>
          </w:p>
        </w:tc>
        <w:tc>
          <w:tcPr>
            <w:tcW w:w="1306" w:type="dxa"/>
            <w:vAlign w:val="center"/>
          </w:tcPr>
          <w:p w14:paraId="0A9F79AE">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增量型</w:t>
            </w:r>
          </w:p>
        </w:tc>
        <w:tc>
          <w:tcPr>
            <w:tcW w:w="1014" w:type="dxa"/>
            <w:vAlign w:val="center"/>
          </w:tcPr>
          <w:p w14:paraId="4E1A2288">
            <w:pPr>
              <w:adjustRightInd/>
              <w:snapToGrid/>
              <w:spacing w:line="240" w:lineRule="auto"/>
              <w:ind w:firstLine="0" w:firstLineChars="0"/>
              <w:jc w:val="center"/>
              <w:rPr>
                <w:rFonts w:hint="eastAsia" w:ascii="黑体" w:hAnsi="宋体" w:eastAsia="黑体" w:cs="黑体"/>
                <w:kern w:val="0"/>
                <w:sz w:val="24"/>
                <w:szCs w:val="24"/>
                <w:lang w:bidi="ar"/>
              </w:rPr>
            </w:pPr>
          </w:p>
        </w:tc>
      </w:tr>
      <w:tr w14:paraId="6BDF60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E82218A">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5129D613">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462D8625">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炮台子</w:t>
            </w:r>
          </w:p>
        </w:tc>
        <w:tc>
          <w:tcPr>
            <w:tcW w:w="1306" w:type="dxa"/>
            <w:vAlign w:val="center"/>
          </w:tcPr>
          <w:p w14:paraId="4DDEC60B">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02ADD8D3">
            <w:pPr>
              <w:adjustRightInd/>
              <w:snapToGrid/>
              <w:spacing w:line="240" w:lineRule="auto"/>
              <w:ind w:firstLine="0" w:firstLineChars="0"/>
              <w:jc w:val="center"/>
              <w:rPr>
                <w:rFonts w:hint="eastAsia" w:ascii="黑体" w:hAnsi="宋体" w:eastAsia="黑体" w:cs="黑体"/>
                <w:kern w:val="0"/>
                <w:sz w:val="24"/>
                <w:szCs w:val="24"/>
                <w:lang w:bidi="ar"/>
              </w:rPr>
            </w:pPr>
          </w:p>
        </w:tc>
      </w:tr>
      <w:tr w14:paraId="7273E3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29F10089">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CAD6FD8">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53167900">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瓦房村</w:t>
            </w:r>
          </w:p>
        </w:tc>
        <w:tc>
          <w:tcPr>
            <w:tcW w:w="1306" w:type="dxa"/>
            <w:vAlign w:val="center"/>
          </w:tcPr>
          <w:p w14:paraId="0CD9CC9A">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27712E3D">
            <w:pPr>
              <w:adjustRightInd/>
              <w:snapToGrid/>
              <w:spacing w:line="240" w:lineRule="auto"/>
              <w:ind w:firstLine="0" w:firstLineChars="0"/>
              <w:jc w:val="center"/>
              <w:rPr>
                <w:rFonts w:hint="eastAsia" w:ascii="黑体" w:hAnsi="宋体" w:eastAsia="黑体" w:cs="黑体"/>
                <w:kern w:val="0"/>
                <w:sz w:val="24"/>
                <w:szCs w:val="24"/>
                <w:lang w:bidi="ar"/>
              </w:rPr>
            </w:pPr>
          </w:p>
        </w:tc>
      </w:tr>
      <w:tr w14:paraId="797A4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5216C2F1">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20F086F0">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69B9D7FD">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小关门砬子</w:t>
            </w:r>
          </w:p>
        </w:tc>
        <w:tc>
          <w:tcPr>
            <w:tcW w:w="1306" w:type="dxa"/>
            <w:vAlign w:val="center"/>
          </w:tcPr>
          <w:p w14:paraId="10FA9377">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0E6D3D7B">
            <w:pPr>
              <w:adjustRightInd/>
              <w:snapToGrid/>
              <w:spacing w:line="240" w:lineRule="auto"/>
              <w:ind w:firstLine="0" w:firstLineChars="0"/>
              <w:jc w:val="center"/>
              <w:rPr>
                <w:rFonts w:hint="eastAsia" w:ascii="黑体" w:hAnsi="宋体" w:eastAsia="黑体" w:cs="黑体"/>
                <w:kern w:val="0"/>
                <w:sz w:val="24"/>
                <w:szCs w:val="24"/>
                <w:lang w:bidi="ar"/>
              </w:rPr>
            </w:pPr>
          </w:p>
        </w:tc>
      </w:tr>
      <w:tr w14:paraId="0DE71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6" w:hRule="atLeast"/>
          <w:jc w:val="center"/>
        </w:trPr>
        <w:tc>
          <w:tcPr>
            <w:tcW w:w="1658" w:type="dxa"/>
            <w:vMerge w:val="continue"/>
            <w:vAlign w:val="center"/>
          </w:tcPr>
          <w:p w14:paraId="07037219">
            <w:pPr>
              <w:widowControl w:val="0"/>
              <w:adjustRightInd/>
              <w:snapToGrid/>
              <w:spacing w:line="240" w:lineRule="auto"/>
              <w:ind w:firstLine="0" w:firstLineChars="0"/>
              <w:jc w:val="center"/>
              <w:rPr>
                <w:rFonts w:ascii="仿宋" w:eastAsia="仿宋"/>
                <w:sz w:val="21"/>
                <w:szCs w:val="21"/>
              </w:rPr>
            </w:pPr>
          </w:p>
        </w:tc>
        <w:tc>
          <w:tcPr>
            <w:tcW w:w="1461" w:type="dxa"/>
            <w:vMerge w:val="continue"/>
            <w:vAlign w:val="center"/>
          </w:tcPr>
          <w:p w14:paraId="4C6DB0EB">
            <w:pPr>
              <w:widowControl w:val="0"/>
              <w:adjustRightInd/>
              <w:snapToGrid/>
              <w:spacing w:line="240" w:lineRule="auto"/>
              <w:ind w:firstLine="0" w:firstLineChars="0"/>
              <w:jc w:val="center"/>
              <w:rPr>
                <w:rFonts w:hint="eastAsia" w:ascii="仿宋" w:hAnsi="仿宋" w:eastAsia="仿宋" w:cs="仿宋"/>
                <w:kern w:val="0"/>
                <w:sz w:val="20"/>
                <w:szCs w:val="21"/>
              </w:rPr>
            </w:pPr>
          </w:p>
        </w:tc>
        <w:tc>
          <w:tcPr>
            <w:tcW w:w="2858" w:type="dxa"/>
            <w:vAlign w:val="bottom"/>
          </w:tcPr>
          <w:p w14:paraId="6DE5F1A7">
            <w:pPr>
              <w:widowControl w:val="0"/>
              <w:adjustRightInd/>
              <w:snapToGrid/>
              <w:spacing w:line="240" w:lineRule="auto"/>
              <w:ind w:firstLine="0" w:firstLineChars="0"/>
              <w:jc w:val="center"/>
              <w:rPr>
                <w:rFonts w:hint="eastAsia" w:ascii="仿宋" w:hAnsi="仿宋" w:eastAsia="仿宋" w:cs="仿宋"/>
                <w:kern w:val="0"/>
                <w:sz w:val="20"/>
                <w:szCs w:val="21"/>
              </w:rPr>
            </w:pPr>
            <w:r>
              <w:rPr>
                <w:rFonts w:ascii="仿宋" w:hAnsi="仿宋" w:eastAsia="仿宋" w:cs="仿宋"/>
                <w:kern w:val="0"/>
                <w:sz w:val="20"/>
                <w:szCs w:val="21"/>
              </w:rPr>
              <w:t>尹家沟</w:t>
            </w:r>
          </w:p>
        </w:tc>
        <w:tc>
          <w:tcPr>
            <w:tcW w:w="1306" w:type="dxa"/>
            <w:vAlign w:val="center"/>
          </w:tcPr>
          <w:p w14:paraId="4B62B315">
            <w:pPr>
              <w:widowControl w:val="0"/>
              <w:adjustRightInd/>
              <w:snapToGrid/>
              <w:spacing w:line="240" w:lineRule="auto"/>
              <w:ind w:firstLine="0" w:firstLineChars="0"/>
              <w:jc w:val="center"/>
              <w:rPr>
                <w:rFonts w:hint="eastAsia" w:ascii="仿宋" w:hAnsi="仿宋" w:eastAsia="仿宋" w:cs="仿宋"/>
                <w:kern w:val="0"/>
                <w:sz w:val="20"/>
                <w:szCs w:val="21"/>
              </w:rPr>
            </w:pPr>
            <w:r>
              <w:rPr>
                <w:rFonts w:hint="eastAsia" w:ascii="仿宋" w:hAnsi="仿宋" w:eastAsia="仿宋" w:cs="仿宋"/>
                <w:kern w:val="0"/>
                <w:sz w:val="20"/>
                <w:szCs w:val="21"/>
              </w:rPr>
              <w:t>等量型</w:t>
            </w:r>
          </w:p>
        </w:tc>
        <w:tc>
          <w:tcPr>
            <w:tcW w:w="1014" w:type="dxa"/>
            <w:vAlign w:val="center"/>
          </w:tcPr>
          <w:p w14:paraId="4435733D">
            <w:pPr>
              <w:adjustRightInd/>
              <w:snapToGrid/>
              <w:spacing w:line="240" w:lineRule="auto"/>
              <w:ind w:firstLine="0" w:firstLineChars="0"/>
              <w:jc w:val="center"/>
              <w:rPr>
                <w:rFonts w:hint="eastAsia" w:ascii="黑体" w:hAnsi="宋体" w:eastAsia="黑体" w:cs="黑体"/>
                <w:kern w:val="0"/>
                <w:sz w:val="24"/>
                <w:szCs w:val="24"/>
                <w:lang w:bidi="ar"/>
              </w:rPr>
            </w:pPr>
          </w:p>
        </w:tc>
      </w:tr>
    </w:tbl>
    <w:p w14:paraId="4CF03C76">
      <w:pPr>
        <w:rPr>
          <w:rFonts w:hint="eastAsia"/>
        </w:rPr>
      </w:pPr>
    </w:p>
    <w:p w14:paraId="63B64CFA">
      <w:r>
        <w:rPr>
          <w:rFonts w:hint="eastAsia"/>
        </w:rPr>
        <w:t>增量型</w:t>
      </w:r>
      <w:r>
        <w:t>原则上是指有新增建设用地指标的中心村或其</w:t>
      </w:r>
      <w:r>
        <w:rPr>
          <w:rFonts w:hint="eastAsia"/>
        </w:rPr>
        <w:t>他自然村。该型自然村是村内一二三产业融合与人口集中安置的重要承载空间；是行政村内新增建设用地指标的主要投放空间；是行政村内增减挂钩流量指标调入区。</w:t>
      </w:r>
    </w:p>
    <w:p w14:paraId="63B408AE">
      <w:r>
        <w:rPr>
          <w:rFonts w:hint="eastAsia"/>
        </w:rPr>
        <w:t>等量型</w:t>
      </w:r>
      <w:r>
        <w:t>原则上是指在自然村内部进行建设用地等量增</w:t>
      </w:r>
      <w:r>
        <w:rPr>
          <w:rFonts w:hint="eastAsia"/>
        </w:rPr>
        <w:t>减的村庄。该型自然村通过整理零散用地、盘活闲置低效用地、实施增减挂钩等方式，实现村庄用地布局优化和有机更新。</w:t>
      </w:r>
    </w:p>
    <w:p w14:paraId="0CBDF0B4">
      <w:pPr>
        <w:pStyle w:val="3"/>
        <w:bidi w:val="0"/>
      </w:pPr>
      <w:bookmarkStart w:id="83" w:name="_Toc31013"/>
      <w:bookmarkStart w:id="84" w:name="_Toc152937229"/>
      <w:bookmarkStart w:id="85" w:name="_Toc17995"/>
      <w:bookmarkStart w:id="86" w:name="_Toc152937205"/>
      <w:r>
        <w:rPr>
          <w:rFonts w:hint="eastAsia"/>
        </w:rPr>
        <w:t>“通则式”村庄规划管理要求</w:t>
      </w:r>
      <w:bookmarkEnd w:id="83"/>
      <w:bookmarkEnd w:id="84"/>
      <w:bookmarkEnd w:id="85"/>
    </w:p>
    <w:p w14:paraId="6DC7D5AC">
      <w:pPr>
        <w:pStyle w:val="4"/>
        <w:bidi w:val="0"/>
        <w:rPr>
          <w:rFonts w:hint="eastAsia"/>
        </w:rPr>
      </w:pPr>
      <w:r>
        <w:rPr>
          <w:rFonts w:hint="eastAsia"/>
        </w:rPr>
        <w:t>管理要求</w:t>
      </w:r>
    </w:p>
    <w:p w14:paraId="265D0EBD">
      <w:pPr>
        <w:rPr>
          <w:rFonts w:cs="仿宋_GB2312"/>
          <w:szCs w:val="32"/>
          <w:lang w:bidi="ar"/>
        </w:rPr>
      </w:pPr>
      <w:r>
        <w:rPr>
          <w:rFonts w:hint="eastAsia" w:cs="仿宋_GB2312"/>
          <w:szCs w:val="32"/>
          <w:lang w:bidi="ar"/>
        </w:rPr>
        <w:t>按照管理需求和编制深度，将村庄规划分为实用性村庄规划、“通则式”村庄规划和“通则式”村庄管控指引三种类型。有乡村产业发展需求需要进行适度开发建设，以及推进农村人居环境整治力度大的村庄，编制实用性村庄规划，通过规划引领村庄发展和建设。实用性村庄规划编制应按照《辽宁省村庄规划编制导则(试行)》。近期不进行开发建设或产业发展、建设需求较少的城郊融合类与整治提升类村庄，在乡镇级国土空间规划中编制“通则式”村庄规划，规划普乐堡镇老漫子村、夹道子村、大青沟村均编制“通则式”村庄规划。“通则式”村庄规划编制以行政村为单元，明确村庄耕地保护、生态保护、建设管控、历史文化保护等基本内容。满足村庄基本的建设管控需求和核发乡村建设规划许可的条件。</w:t>
      </w:r>
    </w:p>
    <w:p w14:paraId="5B0B27D3">
      <w:pPr>
        <w:pStyle w:val="4"/>
        <w:bidi w:val="0"/>
        <w:rPr>
          <w:rFonts w:hint="eastAsia"/>
        </w:rPr>
      </w:pPr>
      <w:r>
        <w:rPr>
          <w:rFonts w:hint="eastAsia"/>
        </w:rPr>
        <w:t>底线管控</w:t>
      </w:r>
    </w:p>
    <w:p w14:paraId="5603A836">
      <w:pPr>
        <w:jc w:val="left"/>
        <w:rPr>
          <w:rFonts w:cs="仿宋_GB2312"/>
          <w:szCs w:val="32"/>
          <w:lang w:bidi="ar"/>
        </w:rPr>
      </w:pPr>
      <w:r>
        <w:rPr>
          <w:rFonts w:hint="eastAsia" w:cs="仿宋_GB2312"/>
          <w:szCs w:val="32"/>
          <w:lang w:bidi="ar"/>
        </w:rPr>
        <w:t>耕地保护管控。坚持最严格的耕地保护制度，严格落实永久基本农田管控。坚决防止永久基本农田“非农化”。国家和省级以上重大建设项目和保障人民群众生命安全的建设项目选址确实无法避开永久基本农田的，须经省级以上自然资源主管部门组织论证。</w:t>
      </w:r>
    </w:p>
    <w:p w14:paraId="6559024C">
      <w:pPr>
        <w:jc w:val="left"/>
        <w:rPr>
          <w:rFonts w:cs="仿宋_GB2312"/>
          <w:szCs w:val="32"/>
          <w:lang w:bidi="ar"/>
        </w:rPr>
      </w:pPr>
      <w:r>
        <w:rPr>
          <w:rFonts w:hint="eastAsia" w:cs="仿宋_GB2312"/>
          <w:szCs w:val="32"/>
          <w:lang w:bidi="ar"/>
        </w:rPr>
        <w:t>生态保护管控。严格落实生态保护红线管控，确保生态保护红线落地准确、边界清晰。生态保护红线原则上按禁止开发区域的要求进行管理。严禁不符合主体功能定位的各类开发活动，严禁任意改变用途，确保生态功能不降低、面积不减少、性质不改变。</w:t>
      </w:r>
    </w:p>
    <w:p w14:paraId="22B9FFEB">
      <w:pPr>
        <w:jc w:val="left"/>
        <w:rPr>
          <w:rFonts w:cs="仿宋_GB2312"/>
          <w:szCs w:val="32"/>
          <w:lang w:bidi="ar"/>
        </w:rPr>
      </w:pPr>
      <w:r>
        <w:rPr>
          <w:rFonts w:hint="eastAsia" w:cs="仿宋_GB2312"/>
          <w:szCs w:val="32"/>
          <w:lang w:bidi="ar"/>
        </w:rPr>
        <w:t>村庄建设边界。在村庄建设边界内实行“村庄规划+乡村建设规划许可”的管控方式。严格实行建设用地总量与强度双控，强化村庄建设边界对开发建设行为的刚性约束作用。</w:t>
      </w:r>
    </w:p>
    <w:p w14:paraId="549B99D6">
      <w:pPr>
        <w:jc w:val="left"/>
        <w:rPr>
          <w:rFonts w:cs="仿宋_GB2312"/>
          <w:szCs w:val="32"/>
          <w:lang w:bidi="ar"/>
        </w:rPr>
      </w:pPr>
      <w:r>
        <w:rPr>
          <w:rFonts w:hint="eastAsia" w:cs="仿宋_GB2312"/>
          <w:szCs w:val="32"/>
          <w:lang w:bidi="ar"/>
        </w:rPr>
        <w:t>防灾减灾管控。农业生产和村庄建设应避让洪涝风险控制线和地质灾害高易发区，加强对风险极高区域的防灾减灾救灾设施建设，有效降低灾害影响，提高村庄安全防护能力和水平。加强崩塌和泥石流地质灾害隐患点分期防治，加强警示、监测和预报。实施工程治理，中远期防治工作以生物工程为主。</w:t>
      </w:r>
    </w:p>
    <w:p w14:paraId="70697ACF">
      <w:pPr>
        <w:jc w:val="left"/>
        <w:rPr>
          <w:rFonts w:cs="仿宋_GB2312"/>
          <w:szCs w:val="32"/>
          <w:lang w:bidi="ar"/>
        </w:rPr>
      </w:pPr>
      <w:r>
        <w:rPr>
          <w:rFonts w:cs="仿宋_GB2312"/>
          <w:szCs w:val="32"/>
          <w:lang w:bidi="ar"/>
        </w:rPr>
        <w:t>历史文化保护管控。按照真实性、完整性的保护要求，根据保护对象的级别和类型，分类保护历史文化遗产。对文物保护单位，要不改变文物原状，重点保护其本体及其周边环境，大力实施原址保护，加强预防性保护、日常保养和保护修缮。</w:t>
      </w:r>
    </w:p>
    <w:p w14:paraId="19994FC3">
      <w:pPr>
        <w:pStyle w:val="4"/>
        <w:bidi w:val="0"/>
        <w:rPr>
          <w:rFonts w:hint="eastAsia"/>
        </w:rPr>
      </w:pPr>
      <w:r>
        <w:rPr>
          <w:rFonts w:hint="eastAsia"/>
        </w:rPr>
        <w:t>建设指引</w:t>
      </w:r>
    </w:p>
    <w:p w14:paraId="2995A95C">
      <w:pPr>
        <w:rPr>
          <w:lang w:bidi="ar"/>
        </w:rPr>
      </w:pPr>
      <w:r>
        <w:rPr>
          <w:rFonts w:hint="eastAsia"/>
          <w:lang w:bidi="ar"/>
        </w:rPr>
        <w:t>农房建设管控指引。严格落实“一户一宅”政策，从严控制农村居民超用地标准建房，新申请的农村宅基地，每户不得超过辽宁省规定的宅基地面积。鼓励农村宅基地、经营性建设用地向村委会所在地的自然村适度集中。合理控制农房建筑层高和总高度，原则上层高不宜低于2.8米；单层平屋顶住房主体总高度不宜超过3.5米，多层住房主体总高度不宜超过12米；农村新型社区以联排式底层住宅为主，总层数控制在2—3层。</w:t>
      </w:r>
    </w:p>
    <w:p w14:paraId="6D8EE6C4">
      <w:pPr>
        <w:rPr>
          <w:rFonts w:hint="eastAsia" w:ascii="仿宋_GB2312" w:hAnsi="仿宋_GB2312"/>
          <w:szCs w:val="24"/>
        </w:rPr>
      </w:pPr>
      <w:r>
        <w:rPr>
          <w:rFonts w:hint="eastAsia" w:ascii="仿宋_GB2312" w:hAnsi="仿宋_GB2312"/>
          <w:szCs w:val="24"/>
        </w:rPr>
        <w:t>公共服务设施配置指引。根据乡村类型差异化制定公共服务要素配置标准。应配置功能综合、相对完善的乡村公共服务体系，结合乡村振兴建设，强化电商物流等生产性服务保障；整治提升类村庄应补足必要的公共服务设施，满足现代农村生产生活需求；已确定近期整体搬迁撤并的村庄，原则上不予增建，计划远期整体搬迁撤并以及渐进式搬迁撤并的村庄，酌情降低设施的配置标准。</w:t>
      </w:r>
    </w:p>
    <w:p w14:paraId="1E37DDD3">
      <w:pPr>
        <w:rPr>
          <w:rFonts w:hint="eastAsia" w:ascii="仿宋_GB2312" w:hAnsi="仿宋_GB2312"/>
          <w:szCs w:val="24"/>
        </w:rPr>
      </w:pPr>
      <w:r>
        <w:rPr>
          <w:rFonts w:hint="eastAsia" w:ascii="仿宋_GB2312" w:hAnsi="仿宋_GB2312"/>
          <w:szCs w:val="24"/>
        </w:rPr>
        <w:t>农村基础设施配套指引。加强农村公路养护和安全管理，推动与沿线物流节点、乡村旅游景区等一体化建设；健全县、乡、村三级农村物流服务体系，建设村级寄递物流综合服务站。公用设施配置根据乡村类型差异化制定配置标准。公用设施可结合乡村振兴发展需求适度超前配置，鼓励有条件地区多村共建共享公用设施；整治提升类和搬迁撤并类村庄的公用设施设置应以保障基本生活需求为重点；城郊融合类村庄公用设施的建设应充分考虑与城镇公用设施互联互通。对于因旅游、产业发展等吸引外来人口规模较大的村庄，应适度提高公用设施配建标乡村产业用地规划布局指引。</w:t>
      </w:r>
    </w:p>
    <w:p w14:paraId="60459B6D">
      <w:pPr>
        <w:rPr>
          <w:rFonts w:hint="eastAsia" w:ascii="仿宋_GB2312" w:hAnsi="仿宋_GB2312"/>
          <w:szCs w:val="24"/>
        </w:rPr>
      </w:pPr>
      <w:r>
        <w:rPr>
          <w:rFonts w:hint="eastAsia" w:ascii="仿宋_GB2312" w:hAnsi="仿宋_GB2312"/>
          <w:szCs w:val="24"/>
        </w:rPr>
        <w:t>乡村产业用地规划布局指引。统筹一二三产业空间布局，以农业为依托延伸产业链条，优化配置农村二三产业发展空间。引导农产品初加工、产地直销等产业在村庄区位优势区域合理布局、适度集中。合理保障农产品加工流通、电子商务、冷链物流、乡村旅游、休闲农业、民宿经济等新产业新业态用地需求。农村一二三产业融合发展涉及的工业、商业等经营性项目应优先利用空闲地、村庄内部其他用地等闲置低效建设用地，鼓励对依法登记的村庄建设用地进行混合利用。</w:t>
      </w:r>
    </w:p>
    <w:p w14:paraId="69689224">
      <w:pPr>
        <w:rPr>
          <w:rFonts w:hint="eastAsia" w:ascii="仿宋_GB2312" w:hAnsi="仿宋_GB2312"/>
          <w:szCs w:val="24"/>
        </w:rPr>
      </w:pPr>
      <w:r>
        <w:rPr>
          <w:rFonts w:hint="eastAsia" w:ascii="仿宋_GB2312" w:hAnsi="仿宋_GB2312"/>
          <w:szCs w:val="24"/>
        </w:rPr>
        <w:t>村庄建筑风貌与农村人居环境整治指引。充分尊重自然本底、原有肌理，按照适度集中原则，统筹安排居住、产业、公共服务、景观绿化等空间布局，满足新时代农民生产生活需要。新建农房按照适用、经济、绿色、美观的原则，注重使用乡土材料，突出地域特征，建筑结构以砖混结构为主，屋顶多采用平屋顶式样，合理搭配墙面、台阶、门窗等部位材料和色彩、注重墙体环保节能。公共建筑风貌注重与村域环境和农房建筑风貌相协调，打造简洁、美观、大气、实用的公共建筑风貌。以建设宜居宜业和美乡村为目标，全面提升农村人居环境质量。积极推进农村生活垃圾治理，强化垃圾就地分类和资源化利用。梯次推进农村生活污水</w:t>
      </w:r>
      <w:r>
        <w:rPr>
          <w:rFonts w:hint="eastAsia" w:ascii="仿宋_GB2312" w:hAnsi="仿宋_GB2312"/>
          <w:szCs w:val="24"/>
          <w:lang w:val="en-US" w:eastAsia="zh-CN"/>
        </w:rPr>
        <w:t>治理</w:t>
      </w:r>
      <w:r>
        <w:rPr>
          <w:rFonts w:hint="eastAsia" w:ascii="仿宋_GB2312" w:hAnsi="仿宋_GB2312"/>
          <w:szCs w:val="24"/>
        </w:rPr>
        <w:t>，逐步消除农村黑臭水体，加强农村饮用水水源地保护。综合提升田水路林村风貌，促进村庄形态与自然环境相得益彰。</w:t>
      </w:r>
    </w:p>
    <w:p w14:paraId="6BBB5E58">
      <w:pPr>
        <w:pStyle w:val="3"/>
        <w:bidi w:val="0"/>
      </w:pPr>
      <w:bookmarkStart w:id="87" w:name="_Toc24258"/>
      <w:bookmarkStart w:id="88" w:name="_Toc265"/>
      <w:r>
        <w:t>产业</w:t>
      </w:r>
      <w:bookmarkEnd w:id="86"/>
      <w:r>
        <w:rPr>
          <w:rFonts w:hint="eastAsia"/>
        </w:rPr>
        <w:t>布局</w:t>
      </w:r>
      <w:bookmarkEnd w:id="87"/>
      <w:bookmarkEnd w:id="88"/>
    </w:p>
    <w:p w14:paraId="0E1F4C0F">
      <w:pPr>
        <w:pStyle w:val="4"/>
        <w:bidi w:val="0"/>
        <w:rPr>
          <w:rFonts w:hint="eastAsia"/>
        </w:rPr>
      </w:pPr>
      <w:r>
        <w:t>产业</w:t>
      </w:r>
      <w:r>
        <w:rPr>
          <w:rFonts w:hint="eastAsia"/>
        </w:rPr>
        <w:t>发展策略</w:t>
      </w:r>
    </w:p>
    <w:p w14:paraId="61B5991D">
      <w:r>
        <w:rPr>
          <w:rFonts w:hint="eastAsia"/>
        </w:rPr>
        <w:t>把握乡村振兴的契机，以“特色农业”为根基，</w:t>
      </w:r>
      <w:r>
        <w:t>以“三产融合”为目标，依托</w:t>
      </w:r>
      <w:r>
        <w:rPr>
          <w:rFonts w:hint="eastAsia"/>
        </w:rPr>
        <w:t>一产，发挥农业优势，充分利用农业资源；壮大二产，依托现有资源，以特色农产品加工资源为招商引资发展倾向；催生三产，挖掘农耕文化、历史文化和民族文化资源，发展镇域旅游、打造特色农业旅游品牌线路。</w:t>
      </w:r>
    </w:p>
    <w:p w14:paraId="0EBFDA2F">
      <w:r>
        <w:rPr>
          <w:rFonts w:hint="eastAsia"/>
        </w:rPr>
        <w:t>稳定粮食生产能力。稳定粮食播种面积，保障粮食安全，坚决制止耕地“非农化”，防止耕地“非粮化”；大力培育种植大户、家庭农场、专业农业合作社等经营主体，积极发展多种形式的适度规模化种植。积极开展土地整治，提升耕地质量。全面发挥农业科技示范主体作用，加速农业科技成果转化，提升农业现代化水平。有计划地扩大高效农业种植面积、发展以无公害为主的生态农业，建立绿色农业、示范农业等农业观光体验基地。</w:t>
      </w:r>
    </w:p>
    <w:p w14:paraId="7121FF15">
      <w:r>
        <w:rPr>
          <w:rFonts w:hint="eastAsia"/>
        </w:rPr>
        <w:t>以农副产品的精深加工和绿色食品加工为主要方向，拓展工业发展空间，建设仓储物流区及相关服务业发展。</w:t>
      </w:r>
    </w:p>
    <w:p w14:paraId="03A1C360">
      <w:r>
        <w:rPr>
          <w:rFonts w:hint="eastAsia"/>
        </w:rPr>
        <w:t>促进镇域传统服务业向现代服务业转型升级。重点发展特色旅游业，以发展“民宿经济”为牵动，推动衍生民宿游、采摘游、美食游、观光游、垂钓游等系列产品；依托普乐堡镇文物保护单位，融合文化旅游产业，全面提升乡村旅游品质。</w:t>
      </w:r>
    </w:p>
    <w:p w14:paraId="6FD0DDB0">
      <w:pPr>
        <w:pStyle w:val="4"/>
        <w:bidi w:val="0"/>
        <w:rPr>
          <w:rFonts w:hint="eastAsia"/>
        </w:rPr>
      </w:pPr>
      <w:r>
        <w:t>产业空间布局</w:t>
      </w:r>
    </w:p>
    <w:p w14:paraId="3AD5A266">
      <w:r>
        <w:rPr>
          <w:rFonts w:hint="eastAsia"/>
        </w:rPr>
        <w:t>根据产业基础、资源条件、交通区位以及未来的发展趋势，普乐堡镇应逐步构建形成“1</w:t>
      </w:r>
      <w:r>
        <w:t>+1+1”产业体系</w:t>
      </w:r>
      <w:r>
        <w:rPr>
          <w:rFonts w:hint="eastAsia"/>
        </w:rPr>
        <w:t>。</w:t>
      </w:r>
    </w:p>
    <w:p w14:paraId="30C3E777">
      <w:r>
        <w:rPr>
          <w:rFonts w:hint="eastAsia"/>
        </w:rPr>
        <w:t>“1</w:t>
      </w:r>
      <w:r>
        <w:t>”——以</w:t>
      </w:r>
      <w:r>
        <w:rPr>
          <w:rFonts w:hint="eastAsia"/>
        </w:rPr>
        <w:t>特色旅游</w:t>
      </w:r>
      <w:r>
        <w:t>为核心；</w:t>
      </w:r>
    </w:p>
    <w:p w14:paraId="669393D9">
      <w:r>
        <w:rPr>
          <w:rFonts w:hint="eastAsia"/>
        </w:rPr>
        <w:t>“</w:t>
      </w:r>
      <w:r>
        <w:t>1”——以</w:t>
      </w:r>
      <w:r>
        <w:rPr>
          <w:rFonts w:hint="eastAsia"/>
        </w:rPr>
        <w:t>特色农产品</w:t>
      </w:r>
      <w:r>
        <w:t>为</w:t>
      </w:r>
      <w:r>
        <w:rPr>
          <w:rFonts w:hint="eastAsia"/>
        </w:rPr>
        <w:t>动力</w:t>
      </w:r>
      <w:r>
        <w:t>；</w:t>
      </w:r>
    </w:p>
    <w:p w14:paraId="469BE0F2">
      <w:r>
        <w:rPr>
          <w:rFonts w:hint="eastAsia"/>
        </w:rPr>
        <w:t>“1</w:t>
      </w:r>
      <w:r>
        <w:t>”——以生态旅游产业为支撑。</w:t>
      </w:r>
      <w:bookmarkStart w:id="89" w:name="_Hlk131008380"/>
    </w:p>
    <w:p w14:paraId="65117A14">
      <w:r>
        <w:rPr>
          <w:rFonts w:hint="eastAsia"/>
        </w:rPr>
        <w:t>巩固现有支柱产业，将普乐堡镇建成桓仁满族自治县的重要的特色农产品加工基地。规划普乐堡镇一二三产业融合发展，构建以现代农业为基础、以特色农产品为主导，以生态农业旅游为特色的产业发展体系，形成商贸服务中心、精品棚菜区、特色农产品区、特色旅游体验区有机镶嵌的产业布局。</w:t>
      </w:r>
    </w:p>
    <w:p w14:paraId="6A854D1F">
      <w:r>
        <w:rPr>
          <w:rFonts w:hint="eastAsia"/>
        </w:rPr>
        <w:t>特色农产品</w:t>
      </w:r>
      <w:r>
        <w:t>区</w:t>
      </w:r>
      <w:r>
        <w:rPr>
          <w:rFonts w:hint="eastAsia"/>
        </w:rPr>
        <w:t>。</w:t>
      </w:r>
      <w:r>
        <w:t>以农副产品的精深加工和</w:t>
      </w:r>
      <w:r>
        <w:rPr>
          <w:rFonts w:hint="eastAsia"/>
        </w:rPr>
        <w:t>粮食</w:t>
      </w:r>
      <w:r>
        <w:t>加工为主要方向，拓展发展空间，建设仓储物流区及相关服务业发展，构建产业发展群。</w:t>
      </w:r>
    </w:p>
    <w:p w14:paraId="16EC81C5">
      <w:r>
        <w:t>精品</w:t>
      </w:r>
      <w:r>
        <w:rPr>
          <w:rFonts w:hint="eastAsia"/>
        </w:rPr>
        <w:t>蔬菜区。做精品棚菜，叫响</w:t>
      </w:r>
      <w:r>
        <w:t>品牌。发展高效农业的同时与生态农业、休闲农业与农业观光带有机融合。</w:t>
      </w:r>
    </w:p>
    <w:p w14:paraId="0A3B1E70">
      <w:r>
        <w:t>商贸服务中心</w:t>
      </w:r>
      <w:r>
        <w:rPr>
          <w:rFonts w:hint="eastAsia"/>
        </w:rPr>
        <w:t>。</w:t>
      </w:r>
      <w:r>
        <w:t>围绕</w:t>
      </w:r>
      <w:r>
        <w:rPr>
          <w:rFonts w:hint="eastAsia"/>
        </w:rPr>
        <w:t>镇中心区</w:t>
      </w:r>
      <w:r>
        <w:t>发展第三产业，建设公共服务设施以及配套商贸服务，促进经济与人口集聚。</w:t>
      </w:r>
    </w:p>
    <w:p w14:paraId="190B6730">
      <w:r>
        <w:rPr>
          <w:rFonts w:hint="eastAsia"/>
        </w:rPr>
        <w:t>特色旅游体验区。依托普乐堡镇自然风光、生态环境、农业景观、革命老区、历史文保单位等资源，重点发展生态旅游、农业旅游及配套服务等功能，明确强化自然与历史文化资源活化利用。</w:t>
      </w:r>
    </w:p>
    <w:tbl>
      <w:tblPr>
        <w:tblStyle w:val="13"/>
        <w:tblpPr w:leftFromText="180" w:rightFromText="180" w:vertAnchor="text" w:horzAnchor="page" w:tblpX="1782" w:tblpYSpec="outside"/>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577"/>
      </w:tblGrid>
      <w:tr w14:paraId="530158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7" w:type="dxa"/>
          </w:tcPr>
          <w:p w14:paraId="65824E43">
            <w:pPr>
              <w:pStyle w:val="7"/>
              <w:ind w:firstLine="0" w:firstLineChars="0"/>
              <w:jc w:val="center"/>
            </w:pPr>
            <w:r>
              <w:rPr>
                <w:rFonts w:hint="eastAsia"/>
              </w:rPr>
              <w:t>专栏2：产业建设项目</w:t>
            </w:r>
          </w:p>
        </w:tc>
      </w:tr>
      <w:tr w14:paraId="6689B5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577" w:type="dxa"/>
          </w:tcPr>
          <w:p w14:paraId="75ADF401">
            <w:pPr>
              <w:spacing w:line="276" w:lineRule="auto"/>
              <w:jc w:val="left"/>
            </w:pPr>
            <w:r>
              <w:rPr>
                <w:rFonts w:hint="eastAsia"/>
              </w:rPr>
              <w:t>优质稻米，食用菌产业农产品加工项目、道地药材产业基地建设项目、大青沟村灵芝、黑木耳基地建设项目、梨树村智慧农业项目、龙泉村中华蜂养殖基地项目</w:t>
            </w:r>
          </w:p>
          <w:p w14:paraId="2D76B6B6">
            <w:pPr>
              <w:spacing w:line="276" w:lineRule="auto"/>
              <w:jc w:val="left"/>
            </w:pPr>
            <w:r>
              <w:rPr>
                <w:rFonts w:hint="eastAsia"/>
              </w:rPr>
              <w:t>井下及选厂综合改造（普乐堡矿业技改项目）、普乐堡镇硅矿项目、松花石、版画产业园项目、</w:t>
            </w:r>
          </w:p>
          <w:p w14:paraId="3E4C30C5">
            <w:pPr>
              <w:spacing w:line="276" w:lineRule="auto"/>
              <w:jc w:val="left"/>
            </w:pPr>
            <w:r>
              <w:rPr>
                <w:rFonts w:hint="eastAsia"/>
              </w:rPr>
              <w:t>普乐堡镇镇区各村组新建广场项目、普乐堡镇美丽乡村项目、普乐堡镇特色农产品加工项目、农业采摘园建设项目、龙头山山地经济融合发展示范园建设项目、普乐堡镇食品深加工项目</w:t>
            </w:r>
          </w:p>
          <w:p w14:paraId="0BF7C871">
            <w:pPr>
              <w:spacing w:line="276" w:lineRule="auto"/>
              <w:jc w:val="left"/>
            </w:pPr>
            <w:r>
              <w:rPr>
                <w:rFonts w:hint="eastAsia"/>
              </w:rPr>
              <w:t>旅游设施相关配套项目、大雅河漂流景区建设提升项目、大雅河漂流景区停车场建设项目、龙溪谷景区建设提升项目、风电场29台发电机组开发高山风电平方米观光游览旅游项目、瓦房水库休闲旅游项目、牛毛大山狩猎场项目、牛毛大山综合性旅游景区建设项目、中共南满省委机关遗址红色旅游开发建设项目、大青沟村清泉山田园综合体项目、花脖山旅游开发项目、桓仁青山谷温泉康养旅游度假区项目、静心岛旅游休闲度假项目、龙头沟生态旅游项目、</w:t>
            </w:r>
          </w:p>
          <w:p w14:paraId="3BD1467B">
            <w:pPr>
              <w:spacing w:line="276" w:lineRule="auto"/>
              <w:jc w:val="left"/>
              <w:rPr>
                <w:rFonts w:hint="eastAsia" w:ascii="仿宋_GB2312" w:hAnsi="仿宋_GB2312"/>
                <w:szCs w:val="24"/>
              </w:rPr>
            </w:pPr>
            <w:r>
              <w:rPr>
                <w:rFonts w:hint="eastAsia"/>
              </w:rPr>
              <w:t>老漫子村、大青沟村和梨树村民俗田园综合体项目、桓仁青山谷温泉度假项目、大雅河文旅产业示范带建设项目、地图村文化体验项目</w:t>
            </w:r>
          </w:p>
        </w:tc>
      </w:tr>
    </w:tbl>
    <w:p w14:paraId="4C0C65C6">
      <w:pPr>
        <w:ind w:firstLine="0" w:firstLineChars="0"/>
      </w:pPr>
    </w:p>
    <w:bookmarkEnd w:id="89"/>
    <w:p w14:paraId="12A93D4A">
      <w:pPr>
        <w:pStyle w:val="3"/>
        <w:bidi w:val="0"/>
      </w:pPr>
      <w:bookmarkStart w:id="90" w:name="_Toc29250"/>
      <w:bookmarkStart w:id="91" w:name="_Toc152937206"/>
      <w:bookmarkStart w:id="92" w:name="_Toc24731"/>
      <w:bookmarkStart w:id="93" w:name="_Toc133419342"/>
      <w:r>
        <w:rPr>
          <w:rFonts w:hint="eastAsia"/>
        </w:rPr>
        <w:t>景观风貌管控</w:t>
      </w:r>
      <w:bookmarkEnd w:id="90"/>
      <w:bookmarkEnd w:id="91"/>
      <w:bookmarkEnd w:id="92"/>
    </w:p>
    <w:p w14:paraId="01A109FE">
      <w:pPr>
        <w:pStyle w:val="4"/>
        <w:bidi w:val="0"/>
        <w:rPr>
          <w:rFonts w:hint="eastAsia"/>
        </w:rPr>
      </w:pPr>
      <w:r>
        <w:t>魅力国土空间特色引导</w:t>
      </w:r>
    </w:p>
    <w:p w14:paraId="1A08FB0A">
      <w:r>
        <w:t>依托</w:t>
      </w:r>
      <w:r>
        <w:rPr>
          <w:rFonts w:hint="eastAsia"/>
        </w:rPr>
        <w:t>普乐堡镇水、林、田、村自然资源要素为依托</w:t>
      </w:r>
      <w:r>
        <w:t>，</w:t>
      </w:r>
      <w:r>
        <w:rPr>
          <w:rFonts w:hint="eastAsia"/>
        </w:rPr>
        <w:t>以丰富的历史文化元素为特色，确定“村嵌水田里间、镇融古今文化中”的景观风貌定位。</w:t>
      </w:r>
    </w:p>
    <w:p w14:paraId="65937716">
      <w:pPr>
        <w:pStyle w:val="4"/>
        <w:bidi w:val="0"/>
        <w:rPr>
          <w:rFonts w:hint="eastAsia"/>
        </w:rPr>
      </w:pPr>
      <w:r>
        <w:rPr>
          <w:rFonts w:hint="eastAsia"/>
        </w:rPr>
        <w:t>城乡风貌分区</w:t>
      </w:r>
    </w:p>
    <w:p w14:paraId="654C8522">
      <w:r>
        <w:t>城镇风貌</w:t>
      </w:r>
      <w:r>
        <w:rPr>
          <w:rFonts w:hint="eastAsia"/>
        </w:rPr>
        <w:t>区。普乐堡镇镇中心区</w:t>
      </w:r>
      <w:r>
        <w:t>是城镇风貌格局塑造和管控的重点地区。遵循</w:t>
      </w:r>
      <w:r>
        <w:rPr>
          <w:rFonts w:hint="eastAsia"/>
        </w:rPr>
        <w:t>“</w:t>
      </w:r>
      <w:r>
        <w:t>聚团化、多元化</w:t>
      </w:r>
      <w:r>
        <w:rPr>
          <w:rFonts w:hint="eastAsia"/>
        </w:rPr>
        <w:t>”</w:t>
      </w:r>
      <w:r>
        <w:t>的原则，推动</w:t>
      </w:r>
      <w:r>
        <w:rPr>
          <w:rFonts w:hint="eastAsia"/>
        </w:rPr>
        <w:t>城镇</w:t>
      </w:r>
      <w:r>
        <w:t>组团式、链条式发展。各组团应注重保护空间特色，维护镇区组团聚集性，形成多元化的人文空间，严格控制新建高层建筑。</w:t>
      </w:r>
    </w:p>
    <w:p w14:paraId="439C4E5B">
      <w:r>
        <w:rPr>
          <w:rFonts w:hint="eastAsia"/>
        </w:rPr>
        <w:t>宜居村庄风貌区。除镇中心区以外的其他居民点以整洁有序，舒适宜居为目标，突出地域建筑特色，展现东北地区乡村传统风貌。充分尊重乡村地区的自然生态环境、地方文脉，结合民风民俗，保留历史的空间记忆，使用乡土材料，展示地方文化与民居特色。</w:t>
      </w:r>
    </w:p>
    <w:p w14:paraId="5E76CD34">
      <w:r>
        <w:rPr>
          <w:rFonts w:hint="eastAsia"/>
        </w:rPr>
        <w:t>田园乡野风貌区。凸显广袤农田景观，展现原生乡土特征，推进高标准农田建设，打造现代农业景观风貌。</w:t>
      </w:r>
    </w:p>
    <w:p w14:paraId="0EAB1D0F">
      <w:r>
        <w:rPr>
          <w:rFonts w:hint="eastAsia"/>
        </w:rPr>
        <w:t>沿河景观风貌区。加强水域河流岸线治理，打造大雅河沿河生态景观带，建设滨河景观节点，构建自然流域景观轴线风貌区。</w:t>
      </w:r>
    </w:p>
    <w:p w14:paraId="558681C5">
      <w:r>
        <w:rPr>
          <w:rFonts w:hint="eastAsia"/>
        </w:rPr>
        <w:t>生态山林风貌区。保持原始地形地貌，加强森林植被保护，适度发展林下经济，维护果园、林地、农田等景观的原真性，突出生态涵养的功能，结合特色休闲旅游，体系其山水林田交相辉映的景观魅力。</w:t>
      </w:r>
    </w:p>
    <w:p w14:paraId="242D3AAF">
      <w:pPr>
        <w:pStyle w:val="4"/>
        <w:bidi w:val="0"/>
        <w:rPr>
          <w:rFonts w:hint="eastAsia"/>
        </w:rPr>
      </w:pPr>
      <w:r>
        <w:rPr>
          <w:rFonts w:hint="eastAsia"/>
        </w:rPr>
        <w:t>景观风貌管控</w:t>
      </w:r>
    </w:p>
    <w:p w14:paraId="7631166D">
      <w:r>
        <w:rPr>
          <w:rFonts w:hint="eastAsia"/>
        </w:rPr>
        <w:t>重视城乡融合的城镇环境。延续普乐堡镇当地的生态环境，并注重自身的传统肌理和空间格局，保留历史的空间记忆。展现城乡融合的深度与生命力。依托镇域开放空间生态网络的建立，平衡土地开发与环境保育。结合自身优势资源，打造商业、旅游、生态、文化、产业等不同功能和空间形态的空间特色，赋予当地鲜明的地</w:t>
      </w:r>
      <w:r>
        <w:rPr>
          <w:rFonts w:hint="eastAsia"/>
        </w:rPr>
        <w:tab/>
      </w:r>
      <w:r>
        <w:rPr>
          <w:rFonts w:hint="eastAsia"/>
        </w:rPr>
        <w:t>方特征，创建城镇品牌，展现城乡新风貌。</w:t>
      </w:r>
    </w:p>
    <w:p w14:paraId="54363F0B">
      <w:r>
        <w:rPr>
          <w:rFonts w:hint="eastAsia"/>
        </w:rPr>
        <w:t>营造精彩的水岸生活。充分利用现有水系潜力，塑造普乐堡镇宜居城镇魅力，打造滨水旅游休闲空间，满足旅游业发展及人们与生俱来的亲水的天性，安排层次丰富以及精彩多样的水岸空间和活动，提供滨水旅游城镇悠闲的生活方式。</w:t>
      </w:r>
    </w:p>
    <w:p w14:paraId="401D751E">
      <w:pPr>
        <w:pStyle w:val="3"/>
        <w:bidi w:val="0"/>
      </w:pPr>
      <w:bookmarkStart w:id="94" w:name="_Toc152937207"/>
      <w:bookmarkStart w:id="95" w:name="_Toc32536"/>
      <w:bookmarkStart w:id="96" w:name="_Toc133419363"/>
      <w:bookmarkStart w:id="97" w:name="_Toc6276"/>
      <w:r>
        <w:t>全域旅游</w:t>
      </w:r>
      <w:bookmarkEnd w:id="94"/>
      <w:bookmarkEnd w:id="95"/>
      <w:bookmarkEnd w:id="96"/>
      <w:bookmarkEnd w:id="97"/>
    </w:p>
    <w:p w14:paraId="4522DDDC">
      <w:pPr>
        <w:pStyle w:val="4"/>
        <w:bidi w:val="0"/>
        <w:rPr>
          <w:rFonts w:hint="eastAsia"/>
        </w:rPr>
      </w:pPr>
      <w:r>
        <w:t>旅游</w:t>
      </w:r>
      <w:r>
        <w:rPr>
          <w:rFonts w:hint="eastAsia"/>
        </w:rPr>
        <w:t>发展目标</w:t>
      </w:r>
    </w:p>
    <w:p w14:paraId="65A61238">
      <w:r>
        <w:rPr>
          <w:rFonts w:hint="eastAsia"/>
        </w:rPr>
        <w:t>普乐堡镇以大雅河风光旅游为龙头，全面整合开发旅游资源，并把农业融入旅游产业，做强做大大雅河湿地风光与普乐堡人文景观连成的旅游经济带。塑造旅游品牌，深度挖掘经典文化和历史文化元素，提升区域旅游产品的综合品牌效应，打造亲子游乐、历史、观赏、休闲为一体的文化旅游产业</w:t>
      </w:r>
      <w:r>
        <w:t>。</w:t>
      </w:r>
    </w:p>
    <w:p w14:paraId="2F15CB42">
      <w:pPr>
        <w:pStyle w:val="4"/>
        <w:bidi w:val="0"/>
        <w:rPr>
          <w:rFonts w:hint="eastAsia"/>
        </w:rPr>
      </w:pPr>
      <w:r>
        <w:rPr>
          <w:rFonts w:hint="eastAsia"/>
        </w:rPr>
        <w:t>旅游发展策略</w:t>
      </w:r>
    </w:p>
    <w:p w14:paraId="72235F71">
      <w:r>
        <w:rPr>
          <w:rFonts w:hint="eastAsia"/>
        </w:rPr>
        <w:t>利用良好的生态资源，加快推进旅游环线、生态旅游区等项目建设，大力发展乡村旅游、徒步、探险、体验、养生养老、医疗服务等旅游衍生产业以及民宿、康养地产等配套产业，打造具有特色的休闲、旅游、观光、体验为一体乡村旅游产业带，加快乡村旅游开发建设。</w:t>
      </w:r>
    </w:p>
    <w:p w14:paraId="5211624B">
      <w:pPr>
        <w:pStyle w:val="4"/>
        <w:bidi w:val="0"/>
        <w:rPr>
          <w:rFonts w:hint="eastAsia"/>
        </w:rPr>
      </w:pPr>
      <w:r>
        <w:rPr>
          <w:rFonts w:hint="eastAsia"/>
        </w:rPr>
        <w:t>完善旅游服务支撑体系</w:t>
      </w:r>
    </w:p>
    <w:p w14:paraId="7FF4B4FA">
      <w:r>
        <w:rPr>
          <w:rFonts w:hint="eastAsia"/>
        </w:rPr>
        <w:t>推动全域旅游基础设施建设。打造“小镇客厅”等旅游服务综合体，加快旅游公共服务体系建设，重点提升通景公路、标牌标识、旅游厕所、停车场和景区环境，推进旅游自驾服务中心、旅游集散服务中心、导游服务中心建设。构建旅游交通网络。加快推进旅游购物场所建设。加快旅游景区气象灾害预测、旅游预警预报、旅游宣传综合信息发布设施建设，促进旅游与多部门的信息共享。</w:t>
      </w:r>
    </w:p>
    <w:p w14:paraId="69CFE3F0">
      <w:r>
        <w:rPr>
          <w:rFonts w:hint="eastAsia"/>
        </w:rPr>
        <w:t>推动全域旅游智慧化。加快</w:t>
      </w:r>
      <w:r>
        <w:t>5G布局重点涉旅场所，提升旅游信息服务能力；建立旅游信息基础数据平台，收集、整理旅游统计数据，有效开展旅游统计分析、预测和监督；建立游客信息服务体系，利用移动互联网、云计算等新技术，发挥微信公众号平台作用，建立旅游信息化营销体系，拓展新的旅游营销方式，开展针对性强的旅游营销，建立旅游信息化管理体系，实现旅游监管全覆盖。</w:t>
      </w:r>
    </w:p>
    <w:p w14:paraId="6768579C">
      <w:pPr>
        <w:pStyle w:val="2"/>
        <w:bidi w:val="0"/>
        <w:rPr>
          <w:rFonts w:hint="eastAsia"/>
        </w:rPr>
      </w:pPr>
      <w:bookmarkStart w:id="98" w:name="_Toc1412"/>
      <w:bookmarkStart w:id="99" w:name="_Toc152937221"/>
      <w:bookmarkStart w:id="100" w:name="_Toc6873"/>
      <w:bookmarkStart w:id="101" w:name="_Toc381730"/>
      <w:bookmarkStart w:id="102" w:name="_Toc152937208"/>
      <w:r>
        <w:rPr>
          <w:rFonts w:hint="eastAsia"/>
        </w:rPr>
        <w:t>国土空间保障支撑体系</w:t>
      </w:r>
      <w:bookmarkEnd w:id="98"/>
      <w:bookmarkEnd w:id="99"/>
      <w:bookmarkEnd w:id="100"/>
    </w:p>
    <w:p w14:paraId="28F5EB51">
      <w:pPr>
        <w:pStyle w:val="3"/>
        <w:bidi w:val="0"/>
        <w:rPr>
          <w:rFonts w:hint="eastAsia"/>
        </w:rPr>
      </w:pPr>
      <w:bookmarkStart w:id="103" w:name="_Toc16423"/>
      <w:bookmarkStart w:id="104" w:name="_Toc11871"/>
      <w:bookmarkStart w:id="105" w:name="_Toc152937222"/>
      <w:r>
        <w:rPr>
          <w:rFonts w:hint="eastAsia"/>
        </w:rPr>
        <w:t>公共服务设施</w:t>
      </w:r>
      <w:bookmarkEnd w:id="103"/>
      <w:bookmarkEnd w:id="104"/>
      <w:bookmarkEnd w:id="105"/>
    </w:p>
    <w:p w14:paraId="7D514EA0">
      <w:pPr>
        <w:pStyle w:val="4"/>
        <w:bidi w:val="0"/>
        <w:rPr>
          <w:rFonts w:hint="eastAsia"/>
        </w:rPr>
      </w:pPr>
      <w:r>
        <w:rPr>
          <w:rFonts w:hint="eastAsia"/>
        </w:rPr>
        <w:t>城乡社区生活圈体系构建</w:t>
      </w:r>
    </w:p>
    <w:p w14:paraId="334245EA">
      <w:pPr>
        <w:jc w:val="left"/>
        <w:rPr>
          <w:rFonts w:hint="eastAsia" w:ascii="仿宋_GB2312" w:hAnsi="仿宋_GB2312"/>
          <w:szCs w:val="24"/>
        </w:rPr>
      </w:pPr>
      <w:r>
        <w:rPr>
          <w:rFonts w:hint="eastAsia" w:ascii="仿宋_GB2312" w:hAnsi="仿宋_GB2312"/>
          <w:szCs w:val="24"/>
        </w:rPr>
        <w:t>构建城镇社区生活圈——乡村社区生活圈两级结构，完善普乐堡镇公共服务设施。</w:t>
      </w:r>
    </w:p>
    <w:p w14:paraId="1080EA2B">
      <w:pPr>
        <w:jc w:val="left"/>
        <w:rPr>
          <w:rFonts w:hint="eastAsia" w:ascii="仿宋_GB2312" w:hAnsi="仿宋_GB2312"/>
          <w:szCs w:val="24"/>
        </w:rPr>
      </w:pPr>
      <w:r>
        <w:rPr>
          <w:rFonts w:hint="eastAsia" w:ascii="仿宋_GB2312" w:hAnsi="仿宋_GB2312"/>
          <w:szCs w:val="24"/>
        </w:rPr>
        <w:t>城镇社区生活圈。规划围绕镇中心区构建“半小时”城镇社区生活圈，配置面向全体居民内容丰富、规模适宜的各类服务要素，统筹配建城镇级公共服务设施，适当引导人口集聚，提升就业和创新能力，推进跨区域公共服务设施共享，满足居民日常生活需求。</w:t>
      </w:r>
    </w:p>
    <w:p w14:paraId="3CA42406">
      <w:pPr>
        <w:jc w:val="left"/>
        <w:rPr>
          <w:rFonts w:hint="eastAsia" w:ascii="仿宋_GB2312" w:hAnsi="仿宋_GB2312"/>
          <w:szCs w:val="24"/>
        </w:rPr>
      </w:pPr>
      <w:r>
        <w:rPr>
          <w:rFonts w:hint="eastAsia" w:ascii="仿宋_GB2312" w:hAnsi="仿宋_GB2312"/>
          <w:szCs w:val="24"/>
        </w:rPr>
        <w:t>乡村社区生活圈。按照15分钟步行可达的空间尺度构建乡村社区生活圈，区分步行15分钟、5—10分钟两个层级配置公共服务设施，完善就近服务，营造全龄友好、环境优美、设施配套、活力多元的乡村社区生活圈。依托村委会所在地的中心村，按照15分钟交通可达的空间尺度构建乡村社区生活圈，合理配置满足就近服务需求的公共服务设施，并注重与相邻村庄实现服务共享，营造生产生活服务便利化的乡村社区生活圈。</w:t>
      </w:r>
    </w:p>
    <w:p w14:paraId="0006E10F">
      <w:pPr>
        <w:pStyle w:val="4"/>
        <w:bidi w:val="0"/>
        <w:rPr>
          <w:rFonts w:hint="eastAsia"/>
        </w:rPr>
      </w:pPr>
      <w:r>
        <w:rPr>
          <w:rFonts w:hint="eastAsia"/>
        </w:rPr>
        <w:t>提升公共服务设施水平</w:t>
      </w:r>
    </w:p>
    <w:p w14:paraId="22F4BEFD">
      <w:pPr>
        <w:jc w:val="left"/>
        <w:rPr>
          <w:rFonts w:hint="eastAsia" w:ascii="仿宋_GB2312" w:hAnsi="仿宋_GB2312"/>
          <w:szCs w:val="24"/>
        </w:rPr>
      </w:pPr>
      <w:r>
        <w:rPr>
          <w:rFonts w:hint="eastAsia" w:ascii="仿宋_GB2312" w:hAnsi="仿宋_GB2312"/>
          <w:szCs w:val="24"/>
        </w:rPr>
        <w:t>行政管理设施。镇中心区保留现有镇政府、派出所等行政办公场所。规划积极改善镇政府的建设环境及内部设施，提高镇政府的服务水平。各行政村保留现状各村村委会，规划根据各村实际情况，增加村务室等行政管理设施。</w:t>
      </w:r>
    </w:p>
    <w:p w14:paraId="224FAEC7">
      <w:pPr>
        <w:jc w:val="left"/>
        <w:rPr>
          <w:rFonts w:hint="eastAsia" w:ascii="仿宋_GB2312" w:hAnsi="仿宋_GB2312"/>
          <w:szCs w:val="24"/>
        </w:rPr>
      </w:pPr>
      <w:r>
        <w:rPr>
          <w:rFonts w:hint="eastAsia" w:ascii="仿宋_GB2312" w:hAnsi="仿宋_GB2312"/>
          <w:szCs w:val="24"/>
        </w:rPr>
        <w:t>教育设施。促进学前教育普惠安全优质发展，增加学前教育资源供给，优化布局，扩大普惠性幼儿园覆盖率。推进义务教育向优质普惠迈进，完善义务教育和高中阶段教育体系，保留镇域内教育设施用地。推进闲置教育设施向文化、体育、养老设施转型改造。</w:t>
      </w:r>
    </w:p>
    <w:p w14:paraId="65F0D89D">
      <w:pPr>
        <w:jc w:val="left"/>
        <w:rPr>
          <w:rFonts w:hint="eastAsia" w:ascii="仿宋_GB2312" w:hAnsi="仿宋_GB2312"/>
          <w:szCs w:val="24"/>
        </w:rPr>
      </w:pPr>
      <w:r>
        <w:rPr>
          <w:rFonts w:hint="eastAsia" w:ascii="仿宋_GB2312" w:hAnsi="仿宋_GB2312"/>
          <w:szCs w:val="24"/>
        </w:rPr>
        <w:t>医疗卫生设施。高标准配置医疗卫生设施，建立乡镇级医疗卫生设施诊疗体系。构建以乡镇卫生院为中心，村级卫生所为补充的卫生网络系统。基本建成覆盖镇域、功能齐全完善的医疗救治、疾病预防控制体系。中心村及一般村按照一村一室进行配置村级卫生室，对现有村庄卫生室进行提升。</w:t>
      </w:r>
    </w:p>
    <w:p w14:paraId="63B2F472">
      <w:pPr>
        <w:jc w:val="left"/>
        <w:rPr>
          <w:rFonts w:hint="eastAsia" w:ascii="仿宋_GB2312" w:hAnsi="仿宋_GB2312"/>
          <w:szCs w:val="24"/>
        </w:rPr>
      </w:pPr>
      <w:r>
        <w:rPr>
          <w:rFonts w:hint="eastAsia" w:ascii="仿宋_GB2312" w:hAnsi="仿宋_GB2312"/>
          <w:szCs w:val="24"/>
        </w:rPr>
        <w:t>文化活动设施。建立供给丰富、均衡高效的文化服务体系，扩大公共文化服务有效供给，实现城乡文化服务互联互通。中心村设置包括文化活动室、农家书屋、特色民俗活动点等，服务周边村民。一般村结合村委会综合设置。</w:t>
      </w:r>
    </w:p>
    <w:p w14:paraId="6358AB74">
      <w:pPr>
        <w:jc w:val="left"/>
        <w:rPr>
          <w:rFonts w:hint="eastAsia" w:ascii="仿宋_GB2312" w:hAnsi="仿宋_GB2312"/>
          <w:szCs w:val="24"/>
        </w:rPr>
      </w:pPr>
      <w:r>
        <w:rPr>
          <w:rFonts w:hint="eastAsia" w:ascii="仿宋_GB2312" w:hAnsi="仿宋_GB2312"/>
          <w:szCs w:val="24"/>
        </w:rPr>
        <w:t>体育设施。建立体系完善、惠及大众的全民健身公共服务体系。推动学校体育设施向社会开放，鼓励公园绿地、滨水空间及其他开敞空间提供体育健身服务功能。中心村及一般村可结合文化活动室布置健身广场。</w:t>
      </w:r>
    </w:p>
    <w:p w14:paraId="5BB66C83">
      <w:pPr>
        <w:jc w:val="left"/>
        <w:rPr>
          <w:rFonts w:hint="eastAsia" w:ascii="仿宋_GB2312" w:hAnsi="仿宋_GB2312"/>
          <w:szCs w:val="24"/>
        </w:rPr>
      </w:pPr>
      <w:r>
        <w:rPr>
          <w:rFonts w:hint="eastAsia" w:ascii="仿宋_GB2312" w:hAnsi="仿宋_GB2312"/>
          <w:szCs w:val="24"/>
        </w:rPr>
        <w:t>社会福利设施。提升社会保障水平，坚持普惠性、保基本、均等化、可持续、高标准建设社会保障服务设施。中心村结合村委会以及闲置校舍建设镇级、村级幸福院、老年人日间照料中心、老年活动室。一般村结合村委会以及闲置校舍综合设置老年人活动室、养老服务设施站点等。</w:t>
      </w:r>
    </w:p>
    <w:p w14:paraId="006DC299">
      <w:pPr>
        <w:jc w:val="left"/>
        <w:rPr>
          <w:rFonts w:hint="eastAsia" w:ascii="仿宋_GB2312" w:hAnsi="仿宋_GB2312"/>
          <w:szCs w:val="24"/>
        </w:rPr>
      </w:pPr>
      <w:r>
        <w:rPr>
          <w:rFonts w:hint="eastAsia" w:ascii="仿宋_GB2312" w:hAnsi="仿宋_GB2312"/>
          <w:szCs w:val="24"/>
        </w:rPr>
        <w:t>商业服务设施。加强城乡商业配套服务，建立以镇中心区为核心的城乡商业服务体系。保留各行政村内便民农家店，结合村庄实际情况建设便民农家店、金融电信点、快递投放点等，服务周边村民。</w:t>
      </w:r>
    </w:p>
    <w:p w14:paraId="0DCF155E">
      <w:pPr>
        <w:jc w:val="left"/>
        <w:rPr>
          <w:rFonts w:hint="eastAsia" w:ascii="仿宋_GB2312" w:hAnsi="仿宋_GB2312"/>
          <w:szCs w:val="24"/>
        </w:rPr>
      </w:pPr>
      <w:r>
        <w:rPr>
          <w:rFonts w:hint="eastAsia"/>
        </w:rPr>
        <w:t>殡葬设施。</w:t>
      </w:r>
      <w:r>
        <w:rPr>
          <w:rFonts w:hint="eastAsia" w:ascii="仿宋" w:hAnsi="仿宋" w:eastAsia="仿宋"/>
          <w:szCs w:val="32"/>
        </w:rPr>
        <w:t>规划建设桓仁满族自治县普乐堡镇普乐堡村公益性公墓，按照“因地制宜、量力而行、尽力而为”的原则推进农村公益性公墓建设，利用村集体建设用地、林地、荒地、废弃地、改造农村散坟集中安葬点等作为公益性公墓建设用地。</w:t>
      </w:r>
    </w:p>
    <w:p w14:paraId="5C7369F3">
      <w:pPr>
        <w:pStyle w:val="3"/>
        <w:bidi w:val="0"/>
        <w:rPr>
          <w:rFonts w:hint="eastAsia"/>
        </w:rPr>
      </w:pPr>
      <w:bookmarkStart w:id="106" w:name="_Toc133419355"/>
      <w:bookmarkStart w:id="107" w:name="_Toc6703"/>
      <w:bookmarkStart w:id="108" w:name="_Toc152937223"/>
      <w:bookmarkStart w:id="109" w:name="_Toc26745"/>
      <w:r>
        <w:t>综合交通设施</w:t>
      </w:r>
      <w:bookmarkEnd w:id="106"/>
      <w:bookmarkEnd w:id="107"/>
      <w:bookmarkEnd w:id="108"/>
      <w:bookmarkEnd w:id="109"/>
    </w:p>
    <w:p w14:paraId="52B47A76">
      <w:pPr>
        <w:pStyle w:val="4"/>
        <w:bidi w:val="0"/>
        <w:rPr>
          <w:rFonts w:hint="eastAsia"/>
        </w:rPr>
      </w:pPr>
      <w:r>
        <w:t>综合交通发展目标</w:t>
      </w:r>
    </w:p>
    <w:p w14:paraId="70CAE7AB">
      <w:r>
        <w:t>建立</w:t>
      </w:r>
      <w:r>
        <w:rPr>
          <w:rFonts w:hint="eastAsia"/>
        </w:rPr>
        <w:t>与普乐堡镇经济和社会发展相适应的道路交通体系和交通网络，为普乐堡镇社会经济发展提供良好交通条件；完善道路等级体系，加快普乐堡镇与各乡镇之间的道路交通建设，增强对外联系；加速各村之间的道路建设，为各村经济建设提供保障；建设高效的道路管理机制，促进道路管理水平的提高</w:t>
      </w:r>
      <w:r>
        <w:t>。</w:t>
      </w:r>
    </w:p>
    <w:p w14:paraId="33266D0E">
      <w:pPr>
        <w:pStyle w:val="4"/>
        <w:bidi w:val="0"/>
        <w:rPr>
          <w:rFonts w:hint="eastAsia"/>
        </w:rPr>
      </w:pPr>
      <w:r>
        <w:t>构建镇域综合交通网络体系</w:t>
      </w:r>
    </w:p>
    <w:bookmarkEnd w:id="101"/>
    <w:p w14:paraId="64327525">
      <w:bookmarkStart w:id="110" w:name="_Toc152937224"/>
      <w:r>
        <w:rPr>
          <w:rFonts w:hint="eastAsia"/>
        </w:rPr>
        <w:t>以高等级公路为重点，加强交通设施建设，完善综合运输体系。全面提高镇域内公路道路等级，提升各级道路水平，道路红线控制宽度为30米；乡道、村道达到三级以上标准。乡级以上公路全部实现黑色化，加大桥梁、涵洞等设施的建设。</w:t>
      </w:r>
      <w:r>
        <w:tab/>
      </w:r>
    </w:p>
    <w:p w14:paraId="7EC4FC15">
      <w:r>
        <w:rPr>
          <w:rFonts w:hint="eastAsia"/>
        </w:rPr>
        <w:t>慢行交通系统。依托自然格局，构建多层次、网络化、开放性的城镇慢行系统。依托城镇道路网布设的慢行系统主体网，依托城镇公园、绿道建设的休闲型慢行系统和依托城镇街巷建设的街巷型慢行系统构成的慢行系统辅助网。改善步行和自行车出行环境，优先保障人行和骑行路权，促进步行舒适便捷、骑行安全通达。</w:t>
      </w:r>
    </w:p>
    <w:p w14:paraId="6607A431">
      <w:r>
        <w:rPr>
          <w:rFonts w:hint="eastAsia"/>
        </w:rPr>
        <w:t>乡村道路交通。完善村庄内部道路网，对村庄内部道路全面进行硬化改造。村庄内部道路网按照干路、支路、宅间路三级进行设置。其中，干路道路红线宽度为8-12米，支路道路红线宽度5-7米，宅间路道路红线宽度为3-4米。完善由村道和田间道组成的田间道路系统。结合农用地整理和高标准农田建设，将连接自然村与田块之间农业机械通行的农村道路适度硬化改造为村道，将连接田块与田块之间的农村道路适度改造升级为田间道。田间道路路幅宽度不超过8 米。</w:t>
      </w:r>
    </w:p>
    <w:p w14:paraId="4E32E1AA">
      <w:r>
        <w:rPr>
          <w:rFonts w:hint="eastAsia"/>
        </w:rPr>
        <w:t>交通设施规划。面向城镇各功能片区，建立以配建为主、路外停车为辅、路内停车为补充的公共停车供应体系，优先在客运站等交通场站和人流、车流集中场所设置社会停车场，鼓励建筑工程按标准配建地面公共停车位，探索城镇集中绿地建设与社会停车场建设相结合，保障静态交通设施多元化供给。加强各村的公共交通建设，保障公共交通的畅通。保留镇域内现状加油站。远期结合电动汽车和新能源汽车发展，将公共停车场作为新能源汽车充电站。提升商业、办公等场所配建停车场以及社会公共停车场的充电桩配建比例。</w:t>
      </w:r>
    </w:p>
    <w:p w14:paraId="110805E3">
      <w:pPr>
        <w:pStyle w:val="3"/>
        <w:bidi w:val="0"/>
        <w:rPr>
          <w:rFonts w:hint="eastAsia"/>
        </w:rPr>
      </w:pPr>
      <w:bookmarkStart w:id="111" w:name="_Toc16840"/>
      <w:bookmarkStart w:id="112" w:name="_Toc24840"/>
      <w:r>
        <w:rPr>
          <w:rFonts w:hint="eastAsia"/>
        </w:rPr>
        <w:t>市政基础设施</w:t>
      </w:r>
      <w:bookmarkEnd w:id="110"/>
      <w:bookmarkEnd w:id="111"/>
      <w:bookmarkEnd w:id="112"/>
    </w:p>
    <w:p w14:paraId="7BD681BF">
      <w:pPr>
        <w:pStyle w:val="4"/>
        <w:bidi w:val="0"/>
        <w:rPr>
          <w:rFonts w:hint="eastAsia"/>
        </w:rPr>
      </w:pPr>
      <w:r>
        <w:rPr>
          <w:rFonts w:hint="eastAsia"/>
        </w:rPr>
        <w:t>给水设施规划</w:t>
      </w:r>
    </w:p>
    <w:p w14:paraId="6F3C63A3">
      <w:r>
        <w:rPr>
          <w:rFonts w:hint="eastAsia"/>
        </w:rPr>
        <w:t>规划完善普乐堡镇镇域内自来水管网。各村屯根据本地的供水水源情况，建设满足本地发展需求的自来水供应系统。供应镇区及周边村庄的生产生活用水。供水水源以浅层地下水为主，水源引自深水井。加强水源保护与供水安全。完善镇域内自来水管网。各村屯根据本地的供水水源情况，建设满足本地发展需求的自来水供应系统。</w:t>
      </w:r>
    </w:p>
    <w:p w14:paraId="7AC749BD">
      <w:r>
        <w:rPr>
          <w:rFonts w:hint="eastAsia"/>
        </w:rPr>
        <w:t>合理分配水资源的使用，保证基本生活用水、重点工业用水、菜田、高产农田用水为原则，缓解供需矛盾。积极采取节水措施，减少工业用水消耗，加强水资源的循环使用和中水利用，农业用水采取先进的喷滴灌技术，走以节水求发展的经济建设之路。</w:t>
      </w:r>
    </w:p>
    <w:p w14:paraId="4A64DCA8">
      <w:r>
        <w:rPr>
          <w:rFonts w:hint="eastAsia"/>
        </w:rPr>
        <w:t>镇域供水按集中供水方案考虑各项设施的总体布局，重点保护好水源。为了缓解用水供需紧张的矛盾，积极开发新水源，增加供水量，推进节约用水、污水处理回用。</w:t>
      </w:r>
    </w:p>
    <w:p w14:paraId="1A7202C2">
      <w:pPr>
        <w:pStyle w:val="4"/>
        <w:bidi w:val="0"/>
        <w:rPr>
          <w:rFonts w:hint="eastAsia"/>
        </w:rPr>
      </w:pPr>
      <w:bookmarkStart w:id="113" w:name="_Toc381737"/>
      <w:r>
        <w:t>排水</w:t>
      </w:r>
      <w:r>
        <w:rPr>
          <w:rFonts w:hint="eastAsia"/>
        </w:rPr>
        <w:t>设施</w:t>
      </w:r>
      <w:bookmarkEnd w:id="113"/>
      <w:r>
        <w:t>规划</w:t>
      </w:r>
    </w:p>
    <w:p w14:paraId="22E08B45">
      <w:pPr>
        <w:jc w:val="left"/>
      </w:pPr>
      <w:r>
        <w:rPr>
          <w:rFonts w:hint="eastAsia" w:ascii="仿宋_GB2312" w:hAnsi="仿宋_GB2312"/>
          <w:szCs w:val="24"/>
        </w:rPr>
        <w:t>规划排水体制采用雨污分流制。远期各村屯可结合实际情况建设污水处理设施。对于集中建设的村屯，污水可排至污水处理设施进行集中处理。对于居住较为分散、地形地貌复杂的村庄，宜就地就近、选择合适方式收集处理农户生活污水。一般情况下，集中式可采用如氧化沟、生物塘、人工湿地、生物滤池等设施，分散式可采用如三格式化粪池等设施。镇域内结合各自地形特点、排放水体等条件，完善雨水排放系统。镇中心区按分流制规划布置雨水管渠，提升排水防涝能力。</w:t>
      </w:r>
    </w:p>
    <w:p w14:paraId="1B4B91C9">
      <w:pPr>
        <w:pStyle w:val="4"/>
        <w:bidi w:val="0"/>
        <w:rPr>
          <w:rFonts w:hint="eastAsia"/>
        </w:rPr>
      </w:pPr>
      <w:r>
        <w:t>供电</w:t>
      </w:r>
      <w:r>
        <w:rPr>
          <w:rFonts w:hint="eastAsia"/>
        </w:rPr>
        <w:t>设施</w:t>
      </w:r>
      <w:r>
        <w:t>规划</w:t>
      </w:r>
    </w:p>
    <w:p w14:paraId="3D249CF1">
      <w:r>
        <w:rPr>
          <w:rFonts w:hint="eastAsia"/>
        </w:rPr>
        <w:t>完善镇域电网系统，缩短中压电网供电半径，远期根据实际情况，对满载过载的线路进行改造，线路架设应尽可能做到采用双回线或与高压配电线同杆架设，进行调度自动化工程的建设和配网改造工程</w:t>
      </w:r>
      <w:r>
        <w:t>。</w:t>
      </w:r>
    </w:p>
    <w:p w14:paraId="40A5A9FC">
      <w:pPr>
        <w:pStyle w:val="4"/>
        <w:bidi w:val="0"/>
        <w:rPr>
          <w:rFonts w:hint="eastAsia"/>
        </w:rPr>
      </w:pPr>
      <w:r>
        <w:t>通信</w:t>
      </w:r>
      <w:r>
        <w:rPr>
          <w:rFonts w:hint="eastAsia"/>
        </w:rPr>
        <w:t>设施</w:t>
      </w:r>
      <w:r>
        <w:t>规划</w:t>
      </w:r>
    </w:p>
    <w:p w14:paraId="2E76F99F">
      <w:r>
        <w:rPr>
          <w:rFonts w:hint="eastAsia"/>
        </w:rPr>
        <w:t>通信接入普乐堡镇电信局，优化城镇骨干网络，加快通信基站建设，建成高速、泛在、融合、安全的立体信息通信网络。邮政业务网在镇中心区内可结合公建统一布置。主要街道的现状架空通信线路近期保留远期全部采用地下通信管道方式敷设，支路可采取架空电缆。电力、电信线要按照各一边、互不干扰的原则安排。一般电信线在道路的西侧或北侧敷设。</w:t>
      </w:r>
    </w:p>
    <w:p w14:paraId="255310C5">
      <w:pPr>
        <w:pStyle w:val="4"/>
        <w:bidi w:val="0"/>
        <w:rPr>
          <w:rFonts w:hint="eastAsia"/>
        </w:rPr>
      </w:pPr>
      <w:bookmarkStart w:id="114" w:name="_Toc381734"/>
      <w:bookmarkStart w:id="115" w:name="_Toc381733"/>
      <w:r>
        <w:t>燃气</w:t>
      </w:r>
      <w:r>
        <w:rPr>
          <w:rFonts w:hint="eastAsia"/>
        </w:rPr>
        <w:t>设施</w:t>
      </w:r>
      <w:bookmarkEnd w:id="114"/>
      <w:r>
        <w:t>规划</w:t>
      </w:r>
    </w:p>
    <w:p w14:paraId="7EB71E65">
      <w:r>
        <w:rPr>
          <w:rFonts w:hint="eastAsia"/>
        </w:rPr>
        <w:t>供气气源选择液化石油气，各村燃烧罐装液化气为主，以电能为辅助能源。可考虑与其他形式的清洁能源相结合，如太阳能、风能、沼气等，建设节约型社会，提高能源的使用效率。</w:t>
      </w:r>
    </w:p>
    <w:p w14:paraId="5215F7CF">
      <w:pPr>
        <w:pStyle w:val="4"/>
        <w:bidi w:val="0"/>
        <w:rPr>
          <w:rFonts w:hint="eastAsia"/>
        </w:rPr>
      </w:pPr>
      <w:r>
        <w:t>供热</w:t>
      </w:r>
      <w:r>
        <w:rPr>
          <w:rFonts w:hint="eastAsia"/>
        </w:rPr>
        <w:t>设施</w:t>
      </w:r>
      <w:bookmarkEnd w:id="115"/>
      <w:r>
        <w:t>规划</w:t>
      </w:r>
    </w:p>
    <w:p w14:paraId="2FD0A86D">
      <w:r>
        <w:rPr>
          <w:rFonts w:hint="eastAsia"/>
        </w:rPr>
        <w:t>镇区采取区域集中供热方式，采用分区式混合管网，环状与枝状相结合。各村屯采用分散区域供暖形式，管道采用钢管，沿镇区道路埋地敷设。主干管应靠近大型用户和热负荷集中的地区。尽可能不穿过铁路、河流及主要公路</w:t>
      </w:r>
      <w:r>
        <w:t>。</w:t>
      </w:r>
    </w:p>
    <w:p w14:paraId="72DA2A79">
      <w:pPr>
        <w:pStyle w:val="4"/>
        <w:bidi w:val="0"/>
        <w:rPr>
          <w:rFonts w:hint="eastAsia"/>
        </w:rPr>
      </w:pPr>
      <w:bookmarkStart w:id="116" w:name="_Toc381738"/>
      <w:r>
        <w:t>环卫</w:t>
      </w:r>
      <w:bookmarkEnd w:id="116"/>
      <w:r>
        <w:rPr>
          <w:rFonts w:hint="eastAsia"/>
        </w:rPr>
        <w:t>设施</w:t>
      </w:r>
      <w:r>
        <w:t>规划</w:t>
      </w:r>
    </w:p>
    <w:p w14:paraId="369C4BBC">
      <w:bookmarkStart w:id="117" w:name="_Toc133419357"/>
      <w:bookmarkStart w:id="118" w:name="_Toc152937225"/>
      <w:r>
        <w:rPr>
          <w:rFonts w:hint="eastAsia"/>
        </w:rPr>
        <w:t>规划普乐堡镇采用“户分类、村收集、镇运转、县处理”的模式，实现环境卫生城乡一体化布局。居民将产生的生活垃圾按照四类分类收集，各村设立分类垃圾贮存站，各村庄规划一处分类垃圾收集点，将各类垃圾集中运输到桓仁满族自治县垃圾处理场处置。</w:t>
      </w:r>
    </w:p>
    <w:p w14:paraId="251234CE">
      <w:r>
        <w:rPr>
          <w:rFonts w:hint="eastAsia"/>
        </w:rPr>
        <w:t>中心村均按照城镇标准配置相应环卫设施，一般村推动环卫清扫与环境保洁相结合，统一进行固体废弃物的排放与处理，严格执行废弃物管理和监督；各村的垃圾收集和清运应做到按时、保量；垃圾箱及公共厕所设置应符合合理的服务范围和半径；为缩短运距，统筹安排垃圾填埋场。</w:t>
      </w:r>
    </w:p>
    <w:p w14:paraId="46807D94">
      <w:pPr>
        <w:rPr>
          <w:szCs w:val="32"/>
          <w:lang w:bidi="ar"/>
        </w:rPr>
      </w:pPr>
      <w:r>
        <w:rPr>
          <w:rFonts w:hint="eastAsia"/>
          <w:szCs w:val="32"/>
          <w:lang w:bidi="ar"/>
        </w:rPr>
        <w:t>有毒有害垃圾实行定期或预约收运，根据危险废物类别交由有相应危废经营许可资质的单位进行无害化处置。危险废物焚烧处理设施应满足《危险废物焚烧污染控制标准》（</w:t>
      </w:r>
      <w:r>
        <w:rPr>
          <w:szCs w:val="32"/>
          <w:lang w:bidi="ar"/>
        </w:rPr>
        <w:t>GB18484-2020</w:t>
      </w:r>
      <w:r>
        <w:rPr>
          <w:rFonts w:hint="eastAsia"/>
          <w:szCs w:val="32"/>
          <w:lang w:bidi="ar"/>
        </w:rPr>
        <w:t>）及修改单要求，危险废物安全处置率</w:t>
      </w:r>
      <w:r>
        <w:rPr>
          <w:szCs w:val="32"/>
          <w:lang w:bidi="ar"/>
        </w:rPr>
        <w:t>100%</w:t>
      </w:r>
      <w:r>
        <w:rPr>
          <w:rFonts w:hint="eastAsia"/>
          <w:szCs w:val="32"/>
          <w:lang w:bidi="ar"/>
        </w:rPr>
        <w:t>。</w:t>
      </w:r>
    </w:p>
    <w:p w14:paraId="4A5E8030">
      <w:pPr>
        <w:rPr>
          <w:szCs w:val="32"/>
        </w:rPr>
      </w:pPr>
      <w:r>
        <w:rPr>
          <w:szCs w:val="32"/>
        </w:rPr>
        <w:t>全方位打造</w:t>
      </w:r>
      <w:r>
        <w:rPr>
          <w:rFonts w:hint="eastAsia"/>
          <w:szCs w:val="32"/>
        </w:rPr>
        <w:t>“</w:t>
      </w:r>
      <w:r>
        <w:rPr>
          <w:szCs w:val="32"/>
        </w:rPr>
        <w:t>智慧环卫</w:t>
      </w:r>
      <w:r>
        <w:rPr>
          <w:rFonts w:hint="eastAsia"/>
          <w:szCs w:val="32"/>
        </w:rPr>
        <w:t>”</w:t>
      </w:r>
      <w:r>
        <w:rPr>
          <w:szCs w:val="32"/>
        </w:rPr>
        <w:t>，实现日常办公</w:t>
      </w:r>
      <w:r>
        <w:rPr>
          <w:rFonts w:hint="eastAsia"/>
          <w:szCs w:val="32"/>
        </w:rPr>
        <w:t>“</w:t>
      </w:r>
      <w:r>
        <w:rPr>
          <w:szCs w:val="32"/>
        </w:rPr>
        <w:t>网络化</w:t>
      </w:r>
      <w:r>
        <w:rPr>
          <w:rFonts w:hint="eastAsia"/>
          <w:szCs w:val="32"/>
        </w:rPr>
        <w:t>”</w:t>
      </w:r>
      <w:r>
        <w:rPr>
          <w:szCs w:val="32"/>
        </w:rPr>
        <w:t>，机械作业</w:t>
      </w:r>
      <w:r>
        <w:rPr>
          <w:rFonts w:hint="eastAsia"/>
          <w:szCs w:val="32"/>
        </w:rPr>
        <w:t>“</w:t>
      </w:r>
      <w:r>
        <w:rPr>
          <w:szCs w:val="32"/>
        </w:rPr>
        <w:t>信息化</w:t>
      </w:r>
      <w:r>
        <w:rPr>
          <w:rFonts w:hint="eastAsia"/>
          <w:szCs w:val="32"/>
        </w:rPr>
        <w:t>”</w:t>
      </w:r>
      <w:r>
        <w:rPr>
          <w:szCs w:val="32"/>
        </w:rPr>
        <w:t>，保洁质量</w:t>
      </w:r>
      <w:r>
        <w:rPr>
          <w:rFonts w:hint="eastAsia"/>
          <w:szCs w:val="32"/>
        </w:rPr>
        <w:t>“</w:t>
      </w:r>
      <w:r>
        <w:rPr>
          <w:szCs w:val="32"/>
        </w:rPr>
        <w:t>透明化</w:t>
      </w:r>
      <w:r>
        <w:rPr>
          <w:rFonts w:hint="eastAsia"/>
          <w:szCs w:val="32"/>
        </w:rPr>
        <w:t>”</w:t>
      </w:r>
      <w:r>
        <w:rPr>
          <w:szCs w:val="32"/>
        </w:rPr>
        <w:t>，应急迎检</w:t>
      </w:r>
      <w:r>
        <w:rPr>
          <w:rFonts w:hint="eastAsia"/>
          <w:szCs w:val="32"/>
        </w:rPr>
        <w:t>“</w:t>
      </w:r>
      <w:r>
        <w:rPr>
          <w:szCs w:val="32"/>
        </w:rPr>
        <w:t>快捷化</w:t>
      </w:r>
      <w:r>
        <w:rPr>
          <w:rFonts w:hint="eastAsia"/>
          <w:szCs w:val="32"/>
        </w:rPr>
        <w:t>”</w:t>
      </w:r>
      <w:r>
        <w:rPr>
          <w:szCs w:val="32"/>
        </w:rPr>
        <w:t>，信息功能</w:t>
      </w:r>
      <w:r>
        <w:rPr>
          <w:rFonts w:hint="eastAsia"/>
          <w:szCs w:val="32"/>
        </w:rPr>
        <w:t>“</w:t>
      </w:r>
      <w:r>
        <w:rPr>
          <w:szCs w:val="32"/>
        </w:rPr>
        <w:t>共享化</w:t>
      </w:r>
      <w:r>
        <w:rPr>
          <w:rFonts w:hint="eastAsia"/>
          <w:szCs w:val="32"/>
        </w:rPr>
        <w:t>”</w:t>
      </w:r>
      <w:r>
        <w:rPr>
          <w:szCs w:val="32"/>
        </w:rPr>
        <w:t>。</w:t>
      </w:r>
    </w:p>
    <w:p w14:paraId="2668A115">
      <w:pPr>
        <w:pStyle w:val="3"/>
        <w:bidi w:val="0"/>
        <w:rPr>
          <w:rFonts w:hint="eastAsia"/>
        </w:rPr>
      </w:pPr>
      <w:bookmarkStart w:id="119" w:name="_Toc29753"/>
      <w:bookmarkStart w:id="120" w:name="_Toc12110"/>
      <w:r>
        <w:rPr>
          <w:rFonts w:hint="eastAsia"/>
        </w:rPr>
        <w:t>防灾减灾设施</w:t>
      </w:r>
      <w:bookmarkEnd w:id="117"/>
      <w:bookmarkEnd w:id="118"/>
      <w:bookmarkEnd w:id="119"/>
      <w:bookmarkEnd w:id="120"/>
    </w:p>
    <w:p w14:paraId="16F86ED5">
      <w:pPr>
        <w:pStyle w:val="4"/>
        <w:bidi w:val="0"/>
        <w:rPr>
          <w:rFonts w:hint="eastAsia"/>
        </w:rPr>
      </w:pPr>
      <w:r>
        <w:rPr>
          <w:rFonts w:hint="eastAsia"/>
        </w:rPr>
        <w:t>防洪规划</w:t>
      </w:r>
    </w:p>
    <w:p w14:paraId="53C0B0CD">
      <w:bookmarkStart w:id="121" w:name="_Hlk131263270"/>
      <w:r>
        <w:rPr>
          <w:rFonts w:hint="eastAsia"/>
          <w:u w:val="single"/>
        </w:rPr>
        <w:t>规划确定普乐堡镇镇域内大雅河防洪标准为100</w:t>
      </w:r>
      <w:r>
        <w:rPr>
          <w:u w:val="single"/>
        </w:rPr>
        <w:t>年一遇</w:t>
      </w:r>
      <w:r>
        <w:t>。</w:t>
      </w:r>
      <w:r>
        <w:rPr>
          <w:rFonts w:hint="eastAsia"/>
        </w:rPr>
        <w:t>洪水预防从流域的治理入手，按照“上蓄水、中圈堤、下利</w:t>
      </w:r>
      <w:r>
        <w:rPr>
          <w:rFonts w:hint="eastAsia"/>
          <w:lang w:val="en-US" w:eastAsia="zh-CN"/>
        </w:rPr>
        <w:t>泄</w:t>
      </w:r>
      <w:bookmarkStart w:id="209" w:name="_GoBack"/>
      <w:bookmarkEnd w:id="209"/>
      <w:r>
        <w:rPr>
          <w:rFonts w:hint="eastAsia"/>
        </w:rPr>
        <w:t>”原则，主要河流上游地区“以蓄为主”，进一步做好植树造林等水土保持工作。加强洪水控制工程，规划对河流进行整治，修建堤坝，清理河道，保证城镇安全。推动沿河岸线以及靠近村庄和镇区的节点地段进行有效的绿化景观设计，起到景观与防洪的双重效果。提升河流附近道路标高，兼顾防洪堤坝。沿河一侧局部地段，采取筑堤与拆迁相结合的措施，解决防洪防涝问题。</w:t>
      </w:r>
    </w:p>
    <w:bookmarkEnd w:id="121"/>
    <w:p w14:paraId="224B96FE">
      <w:pPr>
        <w:pStyle w:val="4"/>
        <w:bidi w:val="0"/>
        <w:rPr>
          <w:rFonts w:hint="eastAsia"/>
        </w:rPr>
      </w:pPr>
      <w:bookmarkStart w:id="122" w:name="_Hlk131263279"/>
      <w:r>
        <w:rPr>
          <w:rFonts w:hint="eastAsia"/>
        </w:rPr>
        <w:t>消防规划</w:t>
      </w:r>
    </w:p>
    <w:bookmarkEnd w:id="122"/>
    <w:p w14:paraId="48EC650A">
      <w:r>
        <w:t>贯彻</w:t>
      </w:r>
      <w:r>
        <w:rPr>
          <w:rFonts w:hint="eastAsia"/>
        </w:rPr>
        <w:t>“</w:t>
      </w:r>
      <w:r>
        <w:t>预防为主，防消结合</w:t>
      </w:r>
      <w:r>
        <w:rPr>
          <w:rFonts w:hint="eastAsia"/>
        </w:rPr>
        <w:t>”</w:t>
      </w:r>
      <w:r>
        <w:t>的消防工作方针，推进消防建设和市政消防水源建设，合理划分消防责任区。</w:t>
      </w:r>
      <w:r>
        <w:rPr>
          <w:rFonts w:hint="eastAsia"/>
        </w:rPr>
        <w:t>加强镇区消防站建设</w:t>
      </w:r>
      <w:r>
        <w:t>，</w:t>
      </w:r>
      <w:r>
        <w:rPr>
          <w:rFonts w:hint="eastAsia"/>
        </w:rPr>
        <w:t>中心镇区设立二级普通消防站，保持</w:t>
      </w:r>
      <w:r>
        <w:t>相应的人员和车辆</w:t>
      </w:r>
      <w:r>
        <w:rPr>
          <w:rFonts w:hint="eastAsia"/>
        </w:rPr>
        <w:t>的</w:t>
      </w:r>
      <w:r>
        <w:t>配备，服务于整个镇区及周边地区，同时兼顾森林防火。消防给水系统与城镇给水系统一致，沿路供水管线不超过120米设一处消火栓。</w:t>
      </w:r>
      <w:r>
        <w:rPr>
          <w:rFonts w:hint="eastAsia"/>
        </w:rPr>
        <w:t>在工业区、大型公共建筑和供水低压区内设置消防水池，以保证消防用水所需流量。</w:t>
      </w:r>
    </w:p>
    <w:p w14:paraId="2FED1783">
      <w:r>
        <w:t>强化消防通信设施建设。消防通信消防站应与全镇消防指挥中心建立可靠的有线通信、无线通信联系；消防无线通信系统应按专用通信网设置,并能与其它通信网连接，设置无线通讯基地台，保证线路、通信信号畅通。</w:t>
      </w:r>
    </w:p>
    <w:p w14:paraId="35ABBF21">
      <w:pPr>
        <w:pStyle w:val="4"/>
        <w:bidi w:val="0"/>
        <w:rPr>
          <w:rFonts w:hint="eastAsia"/>
        </w:rPr>
      </w:pPr>
      <w:r>
        <w:rPr>
          <w:rFonts w:hint="eastAsia"/>
        </w:rPr>
        <w:t>人防规划</w:t>
      </w:r>
    </w:p>
    <w:p w14:paraId="18D013DB">
      <w:r>
        <w:rPr>
          <w:rFonts w:hint="eastAsia"/>
        </w:rPr>
        <w:t>构建应急避难体系。充分考虑当地易发多发灾害事故，以及人口分布、土地资源、经济条件等实际情况，规范应急避难场所类型划分，选择适宜级别和类型的应急避难场所进行规划建设，设置满足避难需求的必要功能区，实行分级分类配置设施设备和物资。到2025年，初步形成乡镇、村应急避难场所布局体系，乡村应急避难场所覆盖范围进一步扩大。到2035年，实现满足城乡人口避难需求的应急避难场所全覆盖。</w:t>
      </w:r>
    </w:p>
    <w:p w14:paraId="01967B40">
      <w:r>
        <w:rPr>
          <w:rFonts w:hint="eastAsia"/>
        </w:rPr>
        <w:t>完善生命线保障与应急物资储备。提高交通运输网络的综合应急保障能力，加强公共交通安全防控，建立交通安全应急处置机制。提升给水、供电、供气等生命线廊道综合抗灾能力，结合综合管廊建设，提升主干生命线系统安全保障能力，适度提高生命线工程的冗余度。推进应急物资储备系统建设，形成救灾物资、生活必需品、医药物资和能源物资储备库网络体系，推进综合应急物资及防汛抗旱储备仓库等应急物资储备建设项目。</w:t>
      </w:r>
      <w:r>
        <w:rPr>
          <w:rFonts w:hint="eastAsia"/>
          <w:u w:val="single"/>
        </w:rPr>
        <w:t>到2035年，避难场所人均避难面积不低于2.5平方米</w:t>
      </w:r>
      <w:r>
        <w:rPr>
          <w:rFonts w:hint="eastAsia"/>
        </w:rPr>
        <w:t>，逐步构建城乡救灾物资储备网络体系。</w:t>
      </w:r>
    </w:p>
    <w:p w14:paraId="0502ECB1">
      <w:r>
        <w:rPr>
          <w:rFonts w:hint="eastAsia"/>
        </w:rPr>
        <w:t>提高人防保障水平。健全人防基础设施，提升疏散和综合救援能力。新建民用建筑，按照国家有关规定修建战时可用于防空的地下室。</w:t>
      </w:r>
      <w:r>
        <w:rPr>
          <w:rFonts w:hint="eastAsia"/>
          <w:u w:val="single"/>
        </w:rPr>
        <w:t>至2035年，人防人均面积超过2.0平方米，</w:t>
      </w:r>
      <w:r>
        <w:rPr>
          <w:rFonts w:hint="eastAsia"/>
        </w:rPr>
        <w:t>建成布局合理、种类齐全、功能配套、连片成网、数量充裕的人防工程体系和点、线、面相结合的整体格局。</w:t>
      </w:r>
    </w:p>
    <w:p w14:paraId="5C3EFCBF">
      <w:pPr>
        <w:pStyle w:val="4"/>
        <w:bidi w:val="0"/>
        <w:rPr>
          <w:rFonts w:hint="eastAsia"/>
        </w:rPr>
      </w:pPr>
      <w:r>
        <w:t>抗震减灾</w:t>
      </w:r>
    </w:p>
    <w:p w14:paraId="7773046E">
      <w:r>
        <w:rPr>
          <w:rFonts w:hint="eastAsia"/>
        </w:rPr>
        <w:t>提高防震抗震能力。依据地震重点监视防御区抗震防灾专项规划，适度提高重要设施、灾害高风险地段抗震设防等级。</w:t>
      </w:r>
      <w:r>
        <w:rPr>
          <w:rFonts w:hint="eastAsia"/>
          <w:u w:val="single"/>
        </w:rPr>
        <w:t>新建建筑物和构筑物均按地震烈度7度设防。一般建设工程按照中国地震动参数区划图所确定的抗震设防要求进行抗震设防；对学校、卫生院等人员密集场所的建设工程，按照高于当地房屋建筑的抗震设防要求进行设计和施工，采取有效措施，增强抗震设防能力。重大建设工程和可能发生严重次生灾害的建设工程，按照有关规定进行地震安全性评价，并按照经审定的地震安全性评价报告所确定的抗震设防要求进行抗震设防，加强辖区内地震断裂带探查与危险性评估工作。</w:t>
      </w:r>
    </w:p>
    <w:p w14:paraId="127DF722">
      <w:bookmarkStart w:id="123" w:name="_Hlk131265944"/>
      <w:r>
        <w:rPr>
          <w:rFonts w:hint="eastAsia"/>
        </w:rPr>
        <w:t>道路宽度、建筑面积要考虑抗震防震要求，加强建成区内绿地、广场系统的建设，确保广场、道路、绿地等开敞空间不被占用，为避震疏散提供交通及疏散用地，消除次生灾害隐患。以普乐堡镇人民政府为核心，建立全镇防震减灾指挥中心，加强对建设工程抗震设防的管理</w:t>
      </w:r>
      <w:r>
        <w:t>。</w:t>
      </w:r>
    </w:p>
    <w:bookmarkEnd w:id="123"/>
    <w:p w14:paraId="057EA0E8">
      <w:pPr>
        <w:pStyle w:val="4"/>
        <w:bidi w:val="0"/>
        <w:rPr>
          <w:rFonts w:hint="eastAsia"/>
        </w:rPr>
      </w:pPr>
      <w:bookmarkStart w:id="124" w:name="_Hlk131266021"/>
      <w:r>
        <w:t>气象灾害防御</w:t>
      </w:r>
    </w:p>
    <w:p w14:paraId="65EF97AE">
      <w:r>
        <w:rPr>
          <w:rFonts w:hint="eastAsia"/>
        </w:rPr>
        <w:t>气象灾害防治。构建严密高效的气象灾害防御支撑体系，强化气象监测预警。科学编制气象防灾减灾专项规划，划定气象灾害风险分区，分区分类制定气象灾害应急预案。对于干旱灾害应增强水土涵养和抗旱能力，提高农业供水保障能力；洪涝灾害应考虑结合生态廊道构建疏通水系，增加蓄滞洪空间。采用工程与非工程相结合措施，全方位提高应对暴雨洪涝、极端干旱等气象灾害防御能力。落实辽宁省2022年气象监测预警补短板工程重要气象观测设施用地保障，涉及安全的重大规划与重点工程建设、生态建设、重大区域经济开发项目和大型太阳能、风能等气候资源开发利用、保护项目建设前要开展气候可行性论证，科学规范评估气象灾害及气候变化对重大规划工程可能产生的影响，发挥气候可行性论证在合理利用气候资源和防灾避灾减灾方面趋利避害的重要作用。开展气象探测环境保护等专项研究，保护气象探测环境，保障气象探测工作的顺利进行，将气象灾害防御、国家监测环境保护的要求纳入到规划的强制性内容。</w:t>
      </w:r>
      <w:bookmarkEnd w:id="124"/>
    </w:p>
    <w:p w14:paraId="339ADF47">
      <w:pPr>
        <w:pStyle w:val="4"/>
        <w:bidi w:val="0"/>
        <w:rPr>
          <w:rFonts w:hint="eastAsia"/>
        </w:rPr>
      </w:pPr>
      <w:bookmarkStart w:id="125" w:name="_Hlk133412565"/>
      <w:r>
        <w:rPr>
          <w:rFonts w:hint="eastAsia"/>
        </w:rPr>
        <w:t>卫生防控防治规划</w:t>
      </w:r>
    </w:p>
    <w:bookmarkEnd w:id="125"/>
    <w:p w14:paraId="5774844D">
      <w:bookmarkStart w:id="126" w:name="_Hlk133412580"/>
      <w:r>
        <w:rPr>
          <w:rFonts w:hint="eastAsia"/>
        </w:rPr>
        <w:t>建立以“镇-村”防控分区联防联控机制，落实分级响应、分区管控措施和要求，开展城镇健康安全单元建设，针对日常健康和卫生应急配置医疗救治、集中隔离、物资储备分发、应急公共服务和基础等必要的设施，以及紧急情况时能提供的应急医疗、基本生活保障物资分发场地。</w:t>
      </w:r>
      <w:bookmarkEnd w:id="126"/>
    </w:p>
    <w:p w14:paraId="2C047230">
      <w:pPr>
        <w:pStyle w:val="4"/>
        <w:bidi w:val="0"/>
        <w:rPr>
          <w:rFonts w:hint="eastAsia"/>
        </w:rPr>
      </w:pPr>
      <w:bookmarkStart w:id="127" w:name="_Hlk131266047"/>
      <w:r>
        <w:rPr>
          <w:rFonts w:hint="eastAsia"/>
        </w:rPr>
        <w:t>城镇</w:t>
      </w:r>
      <w:r>
        <w:t>安全风险防控</w:t>
      </w:r>
    </w:p>
    <w:bookmarkEnd w:id="127"/>
    <w:p w14:paraId="419D6AB6">
      <w:bookmarkStart w:id="128" w:name="_Hlk131266057"/>
      <w:bookmarkStart w:id="129" w:name="_Hlk131412776"/>
      <w:r>
        <w:t>易燃易爆危险品场所或设施应设置在</w:t>
      </w:r>
      <w:r>
        <w:rPr>
          <w:rFonts w:hint="eastAsia"/>
        </w:rPr>
        <w:t>建成区</w:t>
      </w:r>
      <w:r>
        <w:t>的边缘或相对独立的安全地带；大、中型易燃易爆危险品场所或设施应设置在建设用地边缘的独立安全地区，不得设置在</w:t>
      </w:r>
      <w:r>
        <w:rPr>
          <w:rFonts w:hint="eastAsia"/>
        </w:rPr>
        <w:t>城镇</w:t>
      </w:r>
      <w:r>
        <w:t>常年主导风向的上风向、主要水源的上游或其他危及公共安全的地区。对周边地区有重大安全影响的易燃易爆危险品场所或设施，应设置防灾缓冲地带和可靠的安全设施。</w:t>
      </w:r>
    </w:p>
    <w:bookmarkEnd w:id="128"/>
    <w:bookmarkEnd w:id="129"/>
    <w:p w14:paraId="4F13A8B3">
      <w:pPr>
        <w:pStyle w:val="2"/>
        <w:bidi w:val="0"/>
        <w:rPr>
          <w:rFonts w:hint="eastAsia"/>
        </w:rPr>
      </w:pPr>
      <w:bookmarkStart w:id="130" w:name="_Toc152937218"/>
      <w:bookmarkStart w:id="131" w:name="_Toc2427"/>
      <w:bookmarkStart w:id="132" w:name="_Toc4025"/>
      <w:r>
        <w:rPr>
          <w:rFonts w:hint="eastAsia"/>
        </w:rPr>
        <w:t>国土综合整治和生态修复</w:t>
      </w:r>
      <w:bookmarkEnd w:id="130"/>
      <w:bookmarkEnd w:id="131"/>
      <w:bookmarkEnd w:id="132"/>
    </w:p>
    <w:p w14:paraId="403BBA09">
      <w:pPr>
        <w:pStyle w:val="3"/>
        <w:bidi w:val="0"/>
        <w:rPr>
          <w:rFonts w:hint="eastAsia"/>
        </w:rPr>
      </w:pPr>
      <w:bookmarkStart w:id="133" w:name="_Toc6897"/>
      <w:bookmarkStart w:id="134" w:name="_Toc152937219"/>
      <w:bookmarkStart w:id="135" w:name="_Toc25511"/>
      <w:r>
        <w:t>生态修复</w:t>
      </w:r>
      <w:bookmarkEnd w:id="133"/>
      <w:bookmarkEnd w:id="134"/>
      <w:bookmarkEnd w:id="135"/>
    </w:p>
    <w:p w14:paraId="4E5CD165">
      <w:pPr>
        <w:pStyle w:val="4"/>
        <w:bidi w:val="0"/>
        <w:rPr>
          <w:rFonts w:hint="eastAsia"/>
        </w:rPr>
      </w:pPr>
      <w:r>
        <w:t>山水林田湖草</w:t>
      </w:r>
      <w:r>
        <w:rPr>
          <w:rFonts w:hint="eastAsia"/>
        </w:rPr>
        <w:t>一体化生态修复</w:t>
      </w:r>
    </w:p>
    <w:p w14:paraId="59D9FFA2">
      <w:r>
        <w:t>加强土地污染防治，积极推进污染土地阻控修复，严格落实重金属总量控制制度，新、改、扩建涉重金属重点行业建设项目，污染物排放实施等量或倍量替代，加强重点企业土壤环境监管，土壤污染重点监管单位要严格控制有毒有害物质排放，落实土壤污染隐患排查和自行监测制度，及时采取技术管理措施消除隐患。土壤污染地区建设农田生态沟渠、污水净化池等设施，净化地表径流及农田灌排水，开展典型流域农业面源污染综合治理。加强重金属污染土地治理，优化种植结构。</w:t>
      </w:r>
    </w:p>
    <w:p w14:paraId="1B30D1EE">
      <w:r>
        <w:rPr>
          <w:rFonts w:hint="eastAsia"/>
        </w:rPr>
        <w:t>推进水环境和水生态修复工程，加强镇域范围内大雅河（普乐堡镇段）河道治理工程，实施农田防护林建设，河道及堤防岸坡治理、人工湿地建设等治理措施，推进水系连通及农村水系综合整治，保障河道水质达标，促进生态修复，保障农村灌溉安全。</w:t>
      </w:r>
    </w:p>
    <w:p w14:paraId="3AF25667">
      <w:r>
        <w:rPr>
          <w:rFonts w:hint="eastAsia"/>
        </w:rPr>
        <w:t>加强湿地生态系统保护修复，通过实施湿地恢复与综合治理工程，改善湿地生态质量，提高湿地生态系统完整性和稳定性。推进小微湿地建设，开展湿地公园建设，打造生态景观水系，改善河流水质。</w:t>
      </w:r>
    </w:p>
    <w:p w14:paraId="7DE97712"/>
    <w:p w14:paraId="0089DC96">
      <w:pPr>
        <w:pStyle w:val="4"/>
        <w:bidi w:val="0"/>
        <w:rPr>
          <w:rFonts w:hint="eastAsia"/>
        </w:rPr>
      </w:pPr>
      <w:r>
        <w:rPr>
          <w:rFonts w:hint="eastAsia"/>
        </w:rPr>
        <w:t>重大自然灾害生态修复</w:t>
      </w:r>
    </w:p>
    <w:p w14:paraId="43E02176">
      <w:r>
        <w:rPr>
          <w:rFonts w:hint="eastAsia"/>
        </w:rPr>
        <w:t>对</w:t>
      </w:r>
      <w:r>
        <w:t>重大自然灾害损毁土地</w:t>
      </w:r>
      <w:r>
        <w:rPr>
          <w:rFonts w:hint="eastAsia"/>
        </w:rPr>
        <w:t>进行</w:t>
      </w:r>
      <w:r>
        <w:t>评价</w:t>
      </w:r>
      <w:r>
        <w:rPr>
          <w:rFonts w:hint="eastAsia"/>
        </w:rPr>
        <w:t>并</w:t>
      </w:r>
      <w:r>
        <w:t>分类，对可复垦利用的土地，</w:t>
      </w:r>
      <w:r>
        <w:rPr>
          <w:rFonts w:hint="eastAsia"/>
        </w:rPr>
        <w:t>实施</w:t>
      </w:r>
      <w:r>
        <w:t>复垦</w:t>
      </w:r>
      <w:r>
        <w:rPr>
          <w:rFonts w:hint="eastAsia"/>
        </w:rPr>
        <w:t>工程</w:t>
      </w:r>
      <w:r>
        <w:t>。加强耕地抗灾能力建设，减少耕地灾毁数量。</w:t>
      </w:r>
      <w:r>
        <w:rPr>
          <w:rFonts w:hint="eastAsia"/>
        </w:rPr>
        <w:t>采取工程措施对损毁土地内的田、水、路及受损的生态环境等进行整治和恢复，使损毁土地恢复生态功能。</w:t>
      </w:r>
    </w:p>
    <w:p w14:paraId="087083D6">
      <w:pPr>
        <w:pStyle w:val="4"/>
        <w:bidi w:val="0"/>
        <w:rPr>
          <w:rFonts w:hint="eastAsia"/>
        </w:rPr>
      </w:pPr>
      <w:r>
        <w:rPr>
          <w:rFonts w:hint="eastAsia"/>
        </w:rPr>
        <w:t>工矿生态修复</w:t>
      </w:r>
    </w:p>
    <w:p w14:paraId="5F7E711F">
      <w:pPr>
        <w:pStyle w:val="7"/>
        <w:spacing w:after="0"/>
      </w:pPr>
      <w:r>
        <w:rPr>
          <w:rFonts w:hint="eastAsia"/>
        </w:rPr>
        <w:t>有序实施矿产闲置地复垦，加快环境治理。鼓励采</w:t>
      </w:r>
    </w:p>
    <w:p w14:paraId="10C69DF0">
      <w:pPr>
        <w:pStyle w:val="7"/>
        <w:spacing w:after="0"/>
        <w:ind w:firstLine="0" w:firstLineChars="0"/>
      </w:pPr>
      <w:r>
        <w:rPr>
          <w:rFonts w:hint="eastAsia"/>
        </w:rPr>
        <w:t>矿用地综合修复利用，盘活采矿用地存量建设用地，合理利用废弃采矿用地。</w:t>
      </w:r>
    </w:p>
    <w:p w14:paraId="2EA5B457">
      <w:pPr>
        <w:pStyle w:val="3"/>
        <w:bidi w:val="0"/>
        <w:rPr>
          <w:rFonts w:hint="eastAsia"/>
        </w:rPr>
      </w:pPr>
      <w:bookmarkStart w:id="136" w:name="_Toc2383"/>
      <w:bookmarkStart w:id="137" w:name="_Toc26686"/>
      <w:bookmarkStart w:id="138" w:name="_Toc152937220"/>
      <w:r>
        <w:rPr>
          <w:rFonts w:hint="eastAsia"/>
        </w:rPr>
        <w:t>国土综合整治</w:t>
      </w:r>
      <w:bookmarkEnd w:id="136"/>
      <w:bookmarkEnd w:id="137"/>
      <w:bookmarkEnd w:id="138"/>
    </w:p>
    <w:p w14:paraId="26043145">
      <w:pPr>
        <w:pStyle w:val="4"/>
        <w:bidi w:val="0"/>
        <w:rPr>
          <w:rFonts w:hint="eastAsia"/>
        </w:rPr>
      </w:pPr>
      <w:r>
        <w:rPr>
          <w:rFonts w:hint="eastAsia"/>
        </w:rPr>
        <w:t>积极实施农用地综合整治</w:t>
      </w:r>
    </w:p>
    <w:p w14:paraId="09E2D85F">
      <w:pPr>
        <w:rPr>
          <w:szCs w:val="28"/>
        </w:rPr>
      </w:pPr>
      <w:bookmarkStart w:id="139" w:name="_Hlk151908821"/>
      <w:r>
        <w:rPr>
          <w:rFonts w:hint="eastAsia"/>
        </w:rPr>
        <w:t>统筹推进高标准农田建设、撂荒耕地整治、耕地后备资源开发、退化土壤改良修复等，完善农田基础设施条件，提高耕地质量和连片度，为推进农业现代化建设奠定空间基础，重点提升优质潜力区的农田质量和耕作条件，培植地域特色农业、休闲农业。</w:t>
      </w:r>
      <w:bookmarkEnd w:id="139"/>
    </w:p>
    <w:p w14:paraId="5E935FBE">
      <w:pPr>
        <w:pStyle w:val="4"/>
        <w:bidi w:val="0"/>
        <w:rPr>
          <w:rFonts w:hint="eastAsia"/>
        </w:rPr>
      </w:pPr>
      <w:r>
        <w:rPr>
          <w:rFonts w:hint="eastAsia"/>
        </w:rPr>
        <w:t>稳步开展农村建设用地整治</w:t>
      </w:r>
    </w:p>
    <w:p w14:paraId="56CCF4CF">
      <w:r>
        <w:rPr>
          <w:rFonts w:hint="eastAsia"/>
        </w:rPr>
        <w:t>顺应村庄演变趋势，有序开展镇域乡村闲置集体建设用地、闲置宅基地、村庄空闲地、厂矿废弃地、道路改线废弃地、农业生产与村庄建设复合用地及“四荒地”等土地综合整治，盘活建设用地重点用于乡村新产业新业态和返乡入乡创新创业。按照国家政策规定，推进建设用地增减挂钩，在保障农民安置、农村基础设施建设、公益事业等用地的前提下，腾出的建设用地空间优先用于支持农村一二三产业融合发展，重点加强乡村生态旅游、电商物流、特色民宿用地保障。</w:t>
      </w:r>
    </w:p>
    <w:p w14:paraId="0FD87B8C">
      <w:pPr>
        <w:pStyle w:val="4"/>
        <w:bidi w:val="0"/>
        <w:rPr>
          <w:rFonts w:hint="eastAsia"/>
        </w:rPr>
      </w:pPr>
      <w:r>
        <w:rPr>
          <w:rFonts w:hint="eastAsia"/>
        </w:rPr>
        <w:t>宜耕后备土地资源开发</w:t>
      </w:r>
    </w:p>
    <w:p w14:paraId="7F08753C">
      <w:r>
        <w:t>在保护和改善生态环境的前提下，依据土地适宜性条件，有序推进宜耕后备资源开发，通过</w:t>
      </w:r>
      <w:r>
        <w:rPr>
          <w:rFonts w:hint="eastAsia"/>
        </w:rPr>
        <w:t>工程措施</w:t>
      </w:r>
      <w:r>
        <w:t>，将项目区开垦成为高产田、稳产田，以增加有效耕地面积，适当增加园地、林地等农用地面积，提升粮食产量，保障粮食安全，控制土壤退化现象，涵养水源、防止水土流失，促进生态环境的可持续发展。</w:t>
      </w:r>
    </w:p>
    <w:p w14:paraId="028674AA">
      <w:pPr>
        <w:pStyle w:val="4"/>
        <w:bidi w:val="0"/>
        <w:rPr>
          <w:rFonts w:hint="eastAsia"/>
        </w:rPr>
      </w:pPr>
      <w:r>
        <w:rPr>
          <w:rFonts w:hint="eastAsia"/>
        </w:rPr>
        <w:t>农村生态环境修复</w:t>
      </w:r>
    </w:p>
    <w:p w14:paraId="7B364697">
      <w:r>
        <w:t>尊重和保护村域内原有的地</w:t>
      </w:r>
      <w:r>
        <w:rPr>
          <w:rFonts w:hint="eastAsia"/>
        </w:rPr>
        <w:t>形地貌，</w:t>
      </w:r>
      <w:r>
        <w:t>全面推进农村环境整治，加强农村面源污染整治力度。完善交通两侧生态廊道体系，实施道路绿化工程</w:t>
      </w:r>
      <w:r>
        <w:rPr>
          <w:rFonts w:hint="eastAsia"/>
        </w:rPr>
        <w:t>，</w:t>
      </w:r>
      <w:r>
        <w:t>实施中小河流治理工程</w:t>
      </w:r>
      <w:r>
        <w:rPr>
          <w:rFonts w:hint="eastAsia"/>
        </w:rPr>
        <w:t>，推进安全饮水工程，优化农村水系、林网、绿道等生态空间，促进人与自然和谐共生。</w:t>
      </w:r>
    </w:p>
    <w:p w14:paraId="6C3F0ED5">
      <w:pPr>
        <w:pStyle w:val="4"/>
        <w:bidi w:val="0"/>
        <w:rPr>
          <w:rFonts w:hint="eastAsia"/>
        </w:rPr>
      </w:pPr>
      <w:r>
        <w:t>促进建设用地节约集约</w:t>
      </w:r>
    </w:p>
    <w:p w14:paraId="4A28FB96">
      <w:r>
        <w:rPr>
          <w:rFonts w:hint="eastAsia"/>
        </w:rPr>
        <w:t>实施“严控总量、盘活存量、精准调控、提质增效”的建设用地优化策略，</w:t>
      </w:r>
      <w:r>
        <w:t>推进乡镇更新治理进程，促进低效建设用地开发再利用，以旧居住用地、旧产业用地、旧村用地、其他用地等为重点对象，促进低效建设用地重新利用，推动城镇分类整治</w:t>
      </w:r>
      <w:r>
        <w:rPr>
          <w:rFonts w:hint="eastAsia"/>
        </w:rPr>
        <w:t>、</w:t>
      </w:r>
      <w:r>
        <w:t>盘活低效</w:t>
      </w:r>
      <w:r>
        <w:rPr>
          <w:rFonts w:hint="eastAsia"/>
        </w:rPr>
        <w:t>、存量</w:t>
      </w:r>
      <w:r>
        <w:t>建设用地、违法建设综合治理机制，</w:t>
      </w:r>
      <w:r>
        <w:rPr>
          <w:rFonts w:hint="eastAsia"/>
        </w:rPr>
        <w:t>增加建设用地面积，</w:t>
      </w:r>
      <w:r>
        <w:t>提升土地节约集约利用率，提高建设用地地均产值。</w:t>
      </w:r>
    </w:p>
    <w:p w14:paraId="21488D39">
      <w:r>
        <w:t>积极</w:t>
      </w:r>
      <w:r>
        <w:rPr>
          <w:rFonts w:hint="eastAsia"/>
        </w:rPr>
        <w:t>推进</w:t>
      </w:r>
      <w:r>
        <w:t>低效</w:t>
      </w:r>
      <w:r>
        <w:rPr>
          <w:rFonts w:hint="eastAsia"/>
        </w:rPr>
        <w:t>建设用</w:t>
      </w:r>
      <w:r>
        <w:t>地</w:t>
      </w:r>
      <w:r>
        <w:rPr>
          <w:rFonts w:hint="eastAsia"/>
        </w:rPr>
        <w:t>利用。推进低效建设用地重新利用</w:t>
      </w:r>
      <w:r>
        <w:t>，大力挖掘旧城镇用地潜力。</w:t>
      </w:r>
      <w:r>
        <w:rPr>
          <w:rFonts w:hint="eastAsia"/>
        </w:rPr>
        <w:t>推动集中成片开发，将边角地等难以独立开发的零星土地一并纳入整治范围。实施乡镇更新行动，健全旧城改造机制，突出镇中心区及重点地区的更新治理，优化提升旧城功能，完善各项基础设施建设，实现土地集约利用水平明显提高。</w:t>
      </w:r>
    </w:p>
    <w:p w14:paraId="775E947A">
      <w:r>
        <w:t>积极盘活存量建设用地</w:t>
      </w:r>
      <w:r>
        <w:rPr>
          <w:rFonts w:hint="eastAsia"/>
        </w:rPr>
        <w:t>。统筹推进存量建设用地盘活利用，挖掘地下空间利用潜力，实施批而未供和闲置土地消化处置任务考核，通过制定标准、推动利用土地资源市场化交易平台等措施，实现存量建设用地高效利用，鼓励原土地使用权人通过自主、联合等方式盘活利用，进一步提高节约集约用地水平，为经济社会高质量发展提供有效用地保障。探索农村集体建设用地流转，盘活农村闲置建设用地，促进农村建设用地集中布置。</w:t>
      </w:r>
    </w:p>
    <w:p w14:paraId="0273052F">
      <w:r>
        <w:rPr>
          <w:rFonts w:hint="eastAsia"/>
        </w:rPr>
        <w:t>积极增加建设用地。以国土空间规划为引领统筹推进全域国土综合整治，在确保城乡建设用地总量稳定、新增建设用地指标逐步减少的前提下，逐步增加城乡建设用地增减挂钩和城镇低效用地再开发等流量指标，统筹保障建设用地供给。摸清低效建设用地和存量建设用地规模及位置，建设低效建设用地、存量建设用地数据库，为低效建设用地、存量建设用地重新利用提供数据支持。落实增减挂钩、增存挂钩制度，优化建设用地空间布局，促进国土资源集约、高效利用。</w:t>
      </w:r>
      <w:bookmarkStart w:id="140" w:name="_Hlk129184029"/>
    </w:p>
    <w:bookmarkEnd w:id="140"/>
    <w:p w14:paraId="119A8F1B">
      <w:pPr>
        <w:pStyle w:val="2"/>
        <w:bidi w:val="0"/>
        <w:rPr>
          <w:rFonts w:hint="eastAsia"/>
        </w:rPr>
      </w:pPr>
      <w:bookmarkStart w:id="141" w:name="_Toc21139"/>
      <w:bookmarkStart w:id="142" w:name="_Toc31126"/>
      <w:r>
        <w:rPr>
          <w:rFonts w:hint="eastAsia"/>
        </w:rPr>
        <w:t>镇中心区功能布局与规划管控</w:t>
      </w:r>
      <w:bookmarkEnd w:id="102"/>
      <w:bookmarkEnd w:id="141"/>
      <w:bookmarkEnd w:id="142"/>
    </w:p>
    <w:p w14:paraId="7170A6AC">
      <w:pPr>
        <w:pStyle w:val="3"/>
        <w:bidi w:val="0"/>
        <w:rPr>
          <w:rFonts w:hint="eastAsia"/>
        </w:rPr>
      </w:pPr>
      <w:bookmarkStart w:id="143" w:name="_Toc152937209"/>
      <w:bookmarkStart w:id="144" w:name="_Toc7909"/>
      <w:bookmarkStart w:id="145" w:name="_Toc11361"/>
      <w:r>
        <w:rPr>
          <w:rFonts w:hint="eastAsia"/>
        </w:rPr>
        <w:t>用地结构和布局</w:t>
      </w:r>
      <w:bookmarkEnd w:id="143"/>
      <w:bookmarkEnd w:id="144"/>
      <w:bookmarkEnd w:id="145"/>
    </w:p>
    <w:p w14:paraId="09B6F73E">
      <w:pPr>
        <w:pStyle w:val="4"/>
        <w:bidi w:val="0"/>
        <w:rPr>
          <w:rFonts w:hint="eastAsia"/>
        </w:rPr>
      </w:pPr>
      <w:bookmarkStart w:id="146" w:name="_Toc381763"/>
      <w:r>
        <w:rPr>
          <w:rFonts w:hint="eastAsia"/>
        </w:rPr>
        <w:t>镇中心区</w:t>
      </w:r>
      <w:r>
        <w:t>范围</w:t>
      </w:r>
      <w:bookmarkEnd w:id="146"/>
    </w:p>
    <w:p w14:paraId="4B37C895">
      <w:r>
        <w:t>以城镇开发边界为基础，划定</w:t>
      </w:r>
      <w:r>
        <w:rPr>
          <w:rFonts w:hint="eastAsia"/>
        </w:rPr>
        <w:t>镇中心区</w:t>
      </w:r>
      <w:r>
        <w:t>规划范围</w:t>
      </w:r>
      <w:r>
        <w:rPr>
          <w:rFonts w:hint="eastAsia"/>
        </w:rPr>
        <w:t>86.67</w:t>
      </w:r>
    </w:p>
    <w:p w14:paraId="3616EBC6">
      <w:pPr>
        <w:ind w:firstLine="0" w:firstLineChars="0"/>
      </w:pPr>
      <w:r>
        <w:t>公顷。</w:t>
      </w:r>
    </w:p>
    <w:p w14:paraId="285FD722">
      <w:pPr>
        <w:pStyle w:val="4"/>
        <w:bidi w:val="0"/>
        <w:rPr>
          <w:rFonts w:hint="eastAsia"/>
        </w:rPr>
      </w:pPr>
      <w:r>
        <w:rPr>
          <w:rFonts w:hint="eastAsia"/>
        </w:rPr>
        <w:t>镇中心区</w:t>
      </w:r>
      <w:r>
        <w:t>发展方向</w:t>
      </w:r>
    </w:p>
    <w:p w14:paraId="7FCD02C6">
      <w:r>
        <w:rPr>
          <w:rFonts w:hint="eastAsia"/>
        </w:rPr>
        <w:t>结合普乐堡镇土地基本情况及与桓仁满族自治县的空间关系，确定普乐堡镇区发展方向为：镇中心区中部集聚发展城镇综合服务功能、镇中心区东、西部发展产业。</w:t>
      </w:r>
    </w:p>
    <w:p w14:paraId="76F05472">
      <w:pPr>
        <w:pStyle w:val="4"/>
        <w:bidi w:val="0"/>
        <w:rPr>
          <w:rFonts w:hint="eastAsia"/>
        </w:rPr>
      </w:pPr>
      <w:bookmarkStart w:id="147" w:name="_Toc381764"/>
      <w:r>
        <w:t>构建结构清晰空间格局</w:t>
      </w:r>
      <w:bookmarkEnd w:id="147"/>
    </w:p>
    <w:p w14:paraId="7CE4969E">
      <w:r>
        <w:rPr>
          <w:rFonts w:hint="eastAsia"/>
        </w:rPr>
        <w:t>普乐堡镇镇区道路网为镇区空间布局结构的基本骨架。以此骨架为依托，形成“一轴三心多组团”的空间布局结构。</w:t>
      </w:r>
    </w:p>
    <w:p w14:paraId="68731951">
      <w:r>
        <w:rPr>
          <w:rFonts w:hint="eastAsia"/>
        </w:rPr>
        <w:t>“一轴”：沿镇区主要道路</w:t>
      </w:r>
      <w:r>
        <w:t>的城镇主要发展轴；</w:t>
      </w:r>
    </w:p>
    <w:p w14:paraId="229F2440">
      <w:r>
        <w:rPr>
          <w:rFonts w:hint="eastAsia"/>
        </w:rPr>
        <w:t>“三心”：</w:t>
      </w:r>
      <w:r>
        <w:t>生活服务中心、</w:t>
      </w:r>
      <w:r>
        <w:rPr>
          <w:rFonts w:hint="eastAsia"/>
        </w:rPr>
        <w:t>工业</w:t>
      </w:r>
      <w:r>
        <w:t>加工中心、休闲旅游中心；</w:t>
      </w:r>
    </w:p>
    <w:p w14:paraId="4E3E6D56">
      <w:r>
        <w:t>“多组团”：工业组团、居住组团、综合服务组团、文化教育组团。</w:t>
      </w:r>
    </w:p>
    <w:p w14:paraId="4BF55E06">
      <w:pPr>
        <w:pStyle w:val="4"/>
        <w:bidi w:val="0"/>
        <w:rPr>
          <w:rFonts w:hint="eastAsia"/>
        </w:rPr>
      </w:pPr>
      <w:r>
        <w:rPr>
          <w:rFonts w:hint="eastAsia"/>
        </w:rPr>
        <w:t>镇中心区用地结构</w:t>
      </w:r>
    </w:p>
    <w:p w14:paraId="1F24E798">
      <w:pPr>
        <w:rPr>
          <w:rFonts w:hint="eastAsia"/>
        </w:rPr>
      </w:pPr>
      <w:r>
        <w:rPr>
          <w:rFonts w:hint="eastAsia"/>
        </w:rPr>
        <w:t>合理调控城镇居住用地规模，新增城镇居住用地加强保障性住房用地供给。存量与增量供给相结合，增加公共管理与公共服务用地，加大公共服务设施向薄弱地区倾斜，提升城镇公共服务品质。在城镇新建区域增加商业服务业设施用地，吸引人口向外围地区集聚。优先保障产业发展空间，大力推进园区建设。结合货运交通体系优化仓储用地布局，促进物流产业向镇区外围集聚发展，保障物流园区和专业物流中心用地供给。重点保障市政道路和交通场站设施等用地需求，结合镇区“治堵”工程以主干路引导空间布局，以公共交通提升空间组织效能。通过城镇更新逐步增加绿地和开敞空间用地，增补城镇社区级公园，高标准建设城镇绿地和公园体系。</w:t>
      </w:r>
    </w:p>
    <w:p w14:paraId="67EA39DB">
      <w:pPr>
        <w:spacing w:line="240" w:lineRule="auto"/>
        <w:ind w:left="0" w:leftChars="0" w:firstLine="0" w:firstLineChars="0"/>
        <w:rPr>
          <w:rFonts w:hint="eastAsia" w:eastAsia="仿宋_GB2312"/>
          <w:lang w:eastAsia="zh-CN"/>
        </w:rPr>
      </w:pPr>
      <w:r>
        <w:rPr>
          <w:rFonts w:hint="eastAsia" w:eastAsia="仿宋_GB2312"/>
          <w:lang w:eastAsia="zh-CN"/>
        </w:rPr>
        <w:drawing>
          <wp:inline distT="0" distB="0" distL="114300" distR="114300">
            <wp:extent cx="5349875" cy="3425190"/>
            <wp:effectExtent l="0" t="0" r="0" b="0"/>
            <wp:docPr id="9" name="图片 9" descr="210522104普乐堡镇32城镇开发边界范围国土空间用地规划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210522104普乐堡镇32城镇开发边界范围国土空间用地规划图"/>
                    <pic:cNvPicPr>
                      <a:picLocks noChangeAspect="1"/>
                    </pic:cNvPicPr>
                  </pic:nvPicPr>
                  <pic:blipFill>
                    <a:blip r:embed="rId32"/>
                    <a:srcRect l="839" t="8911" r="1025" b="2240"/>
                    <a:stretch>
                      <a:fillRect/>
                    </a:stretch>
                  </pic:blipFill>
                  <pic:spPr>
                    <a:xfrm>
                      <a:off x="0" y="0"/>
                      <a:ext cx="5349875" cy="3425190"/>
                    </a:xfrm>
                    <a:prstGeom prst="rect">
                      <a:avLst/>
                    </a:prstGeom>
                  </pic:spPr>
                </pic:pic>
              </a:graphicData>
            </a:graphic>
          </wp:inline>
        </w:drawing>
      </w:r>
    </w:p>
    <w:p w14:paraId="1178D7B8">
      <w:pPr>
        <w:spacing w:line="240" w:lineRule="auto"/>
        <w:ind w:left="0" w:leftChars="0" w:firstLine="0" w:firstLineChars="0"/>
        <w:jc w:val="center"/>
        <w:rPr>
          <w:rFonts w:hint="eastAsia" w:eastAsia="仿宋_GB2312"/>
          <w:lang w:eastAsia="zh-CN"/>
        </w:rPr>
      </w:pPr>
      <w:r>
        <w:rPr>
          <w:rFonts w:hint="eastAsia" w:eastAsia="黑体" w:cs="Times New Roman"/>
          <w:sz w:val="32"/>
          <w:szCs w:val="22"/>
          <w:u w:val="none"/>
          <w:lang w:val="en-US" w:eastAsia="zh-CN"/>
        </w:rPr>
        <w:t>图8.1城镇开发边界范围国土空间用地规划图</w:t>
      </w:r>
    </w:p>
    <w:p w14:paraId="4A899FD7">
      <w:pPr>
        <w:spacing w:line="240" w:lineRule="auto"/>
        <w:ind w:left="0" w:leftChars="0" w:firstLine="0" w:firstLineChars="0"/>
        <w:rPr>
          <w:rFonts w:hint="eastAsia" w:eastAsia="仿宋_GB2312"/>
          <w:lang w:eastAsia="zh-CN"/>
        </w:rPr>
      </w:pPr>
    </w:p>
    <w:p w14:paraId="11D2460C">
      <w:pPr>
        <w:keepNext w:val="0"/>
        <w:keepLines w:val="0"/>
        <w:pageBreakBefore w:val="0"/>
        <w:widowControl w:val="0"/>
        <w:kinsoku/>
        <w:wordWrap/>
        <w:overflowPunct/>
        <w:topLinePunct w:val="0"/>
        <w:autoSpaceDE/>
        <w:autoSpaceDN/>
        <w:bidi w:val="0"/>
        <w:adjustRightInd w:val="0"/>
        <w:snapToGrid w:val="0"/>
        <w:spacing w:after="157" w:afterLines="50" w:line="600" w:lineRule="atLeast"/>
        <w:ind w:firstLine="0" w:firstLineChars="0"/>
        <w:jc w:val="center"/>
        <w:textAlignment w:val="auto"/>
        <w:outlineLvl w:val="9"/>
        <w:rPr>
          <w:rFonts w:hint="eastAsia" w:eastAsia="仿宋_GB2312"/>
          <w:lang w:val="en-US" w:eastAsia="zh-CN"/>
        </w:rPr>
      </w:pPr>
      <w:r>
        <w:rPr>
          <w:rFonts w:hint="eastAsia" w:eastAsia="黑体" w:cs="Times New Roman"/>
          <w:sz w:val="32"/>
          <w:szCs w:val="22"/>
          <w:u w:val="none"/>
          <w:lang w:val="en-US" w:eastAsia="zh-CN"/>
        </w:rPr>
        <w:t>表8.1镇中心区城镇建设用地结构调整表</w:t>
      </w:r>
    </w:p>
    <w:tbl>
      <w:tblPr>
        <w:tblStyle w:val="12"/>
        <w:tblW w:w="8385" w:type="dxa"/>
        <w:tblInd w:w="175" w:type="dxa"/>
        <w:tblLayout w:type="autofit"/>
        <w:tblCellMar>
          <w:top w:w="0" w:type="dxa"/>
          <w:left w:w="108" w:type="dxa"/>
          <w:bottom w:w="0" w:type="dxa"/>
          <w:right w:w="108" w:type="dxa"/>
        </w:tblCellMar>
      </w:tblPr>
      <w:tblGrid>
        <w:gridCol w:w="537"/>
        <w:gridCol w:w="2244"/>
        <w:gridCol w:w="1417"/>
        <w:gridCol w:w="1241"/>
        <w:gridCol w:w="1417"/>
        <w:gridCol w:w="1529"/>
      </w:tblGrid>
      <w:tr w14:paraId="16D04A7A">
        <w:tblPrEx>
          <w:tblCellMar>
            <w:top w:w="0" w:type="dxa"/>
            <w:left w:w="108" w:type="dxa"/>
            <w:bottom w:w="0" w:type="dxa"/>
            <w:right w:w="108" w:type="dxa"/>
          </w:tblCellMar>
        </w:tblPrEx>
        <w:trPr>
          <w:trHeight w:val="455" w:hRule="atLeast"/>
        </w:trPr>
        <w:tc>
          <w:tcPr>
            <w:tcW w:w="537" w:type="dxa"/>
            <w:vMerge w:val="restart"/>
            <w:tcBorders>
              <w:top w:val="single" w:color="000000" w:sz="4" w:space="0"/>
              <w:left w:val="single" w:color="000000" w:sz="4" w:space="0"/>
              <w:bottom w:val="single" w:color="000000" w:sz="4" w:space="0"/>
              <w:right w:val="single" w:color="000000" w:sz="4" w:space="0"/>
            </w:tcBorders>
            <w:vAlign w:val="center"/>
          </w:tcPr>
          <w:p w14:paraId="2722242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序号</w:t>
            </w:r>
          </w:p>
        </w:tc>
        <w:tc>
          <w:tcPr>
            <w:tcW w:w="2244" w:type="dxa"/>
            <w:vMerge w:val="restart"/>
            <w:tcBorders>
              <w:top w:val="single" w:color="000000" w:sz="4" w:space="0"/>
              <w:left w:val="single" w:color="000000" w:sz="4" w:space="0"/>
              <w:bottom w:val="single" w:color="000000" w:sz="4" w:space="0"/>
              <w:right w:val="single" w:color="000000" w:sz="4" w:space="0"/>
            </w:tcBorders>
            <w:vAlign w:val="center"/>
          </w:tcPr>
          <w:p w14:paraId="4C422B0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用地类型</w:t>
            </w:r>
          </w:p>
        </w:tc>
        <w:tc>
          <w:tcPr>
            <w:tcW w:w="2658" w:type="dxa"/>
            <w:gridSpan w:val="2"/>
            <w:tcBorders>
              <w:top w:val="single" w:color="000000" w:sz="4" w:space="0"/>
              <w:left w:val="single" w:color="000000" w:sz="4" w:space="0"/>
              <w:bottom w:val="single" w:color="000000" w:sz="4" w:space="0"/>
              <w:right w:val="single" w:color="000000" w:sz="4" w:space="0"/>
            </w:tcBorders>
            <w:vAlign w:val="center"/>
          </w:tcPr>
          <w:p w14:paraId="09DF74C6">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规划基期年面积</w:t>
            </w:r>
          </w:p>
        </w:tc>
        <w:tc>
          <w:tcPr>
            <w:tcW w:w="2946" w:type="dxa"/>
            <w:gridSpan w:val="2"/>
            <w:tcBorders>
              <w:top w:val="single" w:color="000000" w:sz="4" w:space="0"/>
              <w:left w:val="single" w:color="000000" w:sz="4" w:space="0"/>
              <w:bottom w:val="single" w:color="000000" w:sz="4" w:space="0"/>
              <w:right w:val="single" w:color="000000" w:sz="4" w:space="0"/>
            </w:tcBorders>
            <w:vAlign w:val="center"/>
          </w:tcPr>
          <w:p w14:paraId="0A7D2BB8">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规划目标年面积</w:t>
            </w:r>
          </w:p>
        </w:tc>
      </w:tr>
      <w:tr w14:paraId="6AC3004A">
        <w:tblPrEx>
          <w:tblCellMar>
            <w:top w:w="0" w:type="dxa"/>
            <w:left w:w="108" w:type="dxa"/>
            <w:bottom w:w="0" w:type="dxa"/>
            <w:right w:w="108" w:type="dxa"/>
          </w:tblCellMar>
        </w:tblPrEx>
        <w:trPr>
          <w:trHeight w:val="455" w:hRule="atLeast"/>
        </w:trPr>
        <w:tc>
          <w:tcPr>
            <w:tcW w:w="537" w:type="dxa"/>
            <w:vMerge w:val="continue"/>
            <w:tcBorders>
              <w:top w:val="single" w:color="000000" w:sz="4" w:space="0"/>
              <w:left w:val="single" w:color="000000" w:sz="4" w:space="0"/>
              <w:bottom w:val="single" w:color="000000" w:sz="4" w:space="0"/>
              <w:right w:val="single" w:color="000000" w:sz="4" w:space="0"/>
            </w:tcBorders>
            <w:vAlign w:val="center"/>
          </w:tcPr>
          <w:p w14:paraId="0D9BD4FC">
            <w:pPr>
              <w:widowControl w:val="0"/>
              <w:adjustRightInd/>
              <w:snapToGrid/>
              <w:spacing w:line="240" w:lineRule="auto"/>
              <w:ind w:firstLine="0" w:firstLineChars="0"/>
              <w:jc w:val="center"/>
              <w:rPr>
                <w:rFonts w:ascii="仿宋" w:eastAsia="仿宋"/>
                <w:sz w:val="21"/>
                <w:szCs w:val="21"/>
              </w:rPr>
            </w:pPr>
          </w:p>
        </w:tc>
        <w:tc>
          <w:tcPr>
            <w:tcW w:w="2244" w:type="dxa"/>
            <w:vMerge w:val="continue"/>
            <w:tcBorders>
              <w:top w:val="single" w:color="000000" w:sz="4" w:space="0"/>
              <w:left w:val="single" w:color="000000" w:sz="4" w:space="0"/>
              <w:bottom w:val="single" w:color="000000" w:sz="4" w:space="0"/>
              <w:right w:val="single" w:color="000000" w:sz="4" w:space="0"/>
            </w:tcBorders>
            <w:vAlign w:val="center"/>
          </w:tcPr>
          <w:p w14:paraId="3147957B">
            <w:pPr>
              <w:widowControl w:val="0"/>
              <w:adjustRightInd/>
              <w:snapToGrid/>
              <w:spacing w:line="240" w:lineRule="auto"/>
              <w:ind w:firstLine="0" w:firstLineChars="0"/>
              <w:jc w:val="center"/>
              <w:rPr>
                <w:rFonts w:ascii="仿宋" w:eastAsia="仿宋"/>
                <w:sz w:val="21"/>
                <w:szCs w:val="21"/>
              </w:rPr>
            </w:pPr>
          </w:p>
        </w:tc>
        <w:tc>
          <w:tcPr>
            <w:tcW w:w="1417" w:type="dxa"/>
            <w:tcBorders>
              <w:top w:val="single" w:color="000000" w:sz="4" w:space="0"/>
              <w:left w:val="single" w:color="000000" w:sz="4" w:space="0"/>
              <w:bottom w:val="single" w:color="000000" w:sz="4" w:space="0"/>
              <w:right w:val="single" w:color="000000" w:sz="4" w:space="0"/>
            </w:tcBorders>
            <w:vAlign w:val="center"/>
          </w:tcPr>
          <w:p w14:paraId="1D0E22E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面积（公顷）</w:t>
            </w:r>
          </w:p>
        </w:tc>
        <w:tc>
          <w:tcPr>
            <w:tcW w:w="1241" w:type="dxa"/>
            <w:tcBorders>
              <w:top w:val="single" w:color="000000" w:sz="4" w:space="0"/>
              <w:left w:val="single" w:color="000000" w:sz="4" w:space="0"/>
              <w:bottom w:val="single" w:color="000000" w:sz="4" w:space="0"/>
              <w:right w:val="single" w:color="000000" w:sz="4" w:space="0"/>
            </w:tcBorders>
            <w:vAlign w:val="center"/>
          </w:tcPr>
          <w:p w14:paraId="454B932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比重（%）</w:t>
            </w:r>
          </w:p>
        </w:tc>
        <w:tc>
          <w:tcPr>
            <w:tcW w:w="1417" w:type="dxa"/>
            <w:tcBorders>
              <w:top w:val="single" w:color="000000" w:sz="4" w:space="0"/>
              <w:left w:val="single" w:color="000000" w:sz="4" w:space="0"/>
              <w:bottom w:val="single" w:color="000000" w:sz="4" w:space="0"/>
              <w:right w:val="single" w:color="000000" w:sz="4" w:space="0"/>
            </w:tcBorders>
            <w:vAlign w:val="center"/>
          </w:tcPr>
          <w:p w14:paraId="2710D17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面积（公顷）</w:t>
            </w:r>
          </w:p>
        </w:tc>
        <w:tc>
          <w:tcPr>
            <w:tcW w:w="1529" w:type="dxa"/>
            <w:tcBorders>
              <w:top w:val="single" w:color="000000" w:sz="4" w:space="0"/>
              <w:left w:val="single" w:color="000000" w:sz="4" w:space="0"/>
              <w:bottom w:val="single" w:color="000000" w:sz="4" w:space="0"/>
              <w:right w:val="single" w:color="000000" w:sz="4" w:space="0"/>
            </w:tcBorders>
            <w:vAlign w:val="center"/>
          </w:tcPr>
          <w:p w14:paraId="6DC06C5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比重（%）</w:t>
            </w:r>
          </w:p>
        </w:tc>
      </w:tr>
      <w:tr w14:paraId="23E6590C">
        <w:tblPrEx>
          <w:tblCellMar>
            <w:top w:w="0" w:type="dxa"/>
            <w:left w:w="108" w:type="dxa"/>
            <w:bottom w:w="0" w:type="dxa"/>
            <w:right w:w="108" w:type="dxa"/>
          </w:tblCellMar>
        </w:tblPrEx>
        <w:trPr>
          <w:trHeight w:val="455" w:hRule="atLeast"/>
        </w:trPr>
        <w:tc>
          <w:tcPr>
            <w:tcW w:w="537" w:type="dxa"/>
            <w:tcBorders>
              <w:top w:val="single" w:color="000000" w:sz="4" w:space="0"/>
              <w:left w:val="single" w:color="000000" w:sz="4" w:space="0"/>
              <w:bottom w:val="single" w:color="000000" w:sz="4" w:space="0"/>
              <w:right w:val="single" w:color="000000" w:sz="4" w:space="0"/>
            </w:tcBorders>
            <w:vAlign w:val="center"/>
          </w:tcPr>
          <w:p w14:paraId="57A791FA">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lang w:bidi="ar"/>
              </w:rPr>
              <w:t>1</w:t>
            </w:r>
          </w:p>
        </w:tc>
        <w:tc>
          <w:tcPr>
            <w:tcW w:w="2244" w:type="dxa"/>
            <w:tcBorders>
              <w:top w:val="single" w:color="000000" w:sz="4" w:space="0"/>
              <w:left w:val="single" w:color="000000" w:sz="4" w:space="0"/>
              <w:bottom w:val="single" w:color="000000" w:sz="4" w:space="0"/>
              <w:right w:val="single" w:color="000000" w:sz="4" w:space="0"/>
            </w:tcBorders>
            <w:vAlign w:val="center"/>
          </w:tcPr>
          <w:p w14:paraId="20B51D5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lang w:bidi="ar"/>
              </w:rPr>
              <w:t>居住用地</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A4CFD62">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 xml:space="preserve">55.41 </w:t>
            </w:r>
          </w:p>
        </w:tc>
        <w:tc>
          <w:tcPr>
            <w:tcW w:w="1241" w:type="dxa"/>
            <w:tcBorders>
              <w:top w:val="single" w:color="000000" w:sz="4" w:space="0"/>
              <w:left w:val="single" w:color="000000" w:sz="4" w:space="0"/>
              <w:bottom w:val="single" w:color="000000" w:sz="4" w:space="0"/>
              <w:right w:val="single" w:color="000000" w:sz="4" w:space="0"/>
            </w:tcBorders>
            <w:vAlign w:val="bottom"/>
          </w:tcPr>
          <w:p w14:paraId="3979EB4D">
            <w:pPr>
              <w:widowControl w:val="0"/>
              <w:adjustRightInd/>
              <w:snapToGrid/>
              <w:spacing w:line="240" w:lineRule="auto"/>
              <w:ind w:firstLine="0" w:firstLineChars="0"/>
              <w:jc w:val="center"/>
              <w:rPr>
                <w:rFonts w:hint="eastAsia" w:ascii="仿宋" w:eastAsia="仿宋"/>
                <w:sz w:val="21"/>
                <w:szCs w:val="21"/>
                <w:lang w:val="en-US" w:eastAsia="zh-CN"/>
              </w:rPr>
            </w:pPr>
            <w:r>
              <w:rPr>
                <w:rFonts w:hint="default" w:ascii="仿宋" w:eastAsia="仿宋"/>
                <w:sz w:val="21"/>
                <w:szCs w:val="21"/>
                <w:lang w:val="en-US" w:eastAsia="zh-CN"/>
              </w:rPr>
              <w:t>79.81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694F6D9A">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 xml:space="preserve">66.37 </w:t>
            </w:r>
          </w:p>
        </w:tc>
        <w:tc>
          <w:tcPr>
            <w:tcW w:w="1529" w:type="dxa"/>
            <w:tcBorders>
              <w:top w:val="single" w:color="000000" w:sz="4" w:space="0"/>
              <w:left w:val="single" w:color="000000" w:sz="4" w:space="0"/>
              <w:bottom w:val="single" w:color="000000" w:sz="4" w:space="0"/>
              <w:right w:val="single" w:color="000000" w:sz="4" w:space="0"/>
            </w:tcBorders>
            <w:vAlign w:val="bottom"/>
          </w:tcPr>
          <w:p w14:paraId="65CDA8B8">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76.58</w:t>
            </w:r>
          </w:p>
        </w:tc>
      </w:tr>
      <w:tr w14:paraId="0C42A80E">
        <w:tblPrEx>
          <w:tblCellMar>
            <w:top w:w="0" w:type="dxa"/>
            <w:left w:w="108" w:type="dxa"/>
            <w:bottom w:w="0" w:type="dxa"/>
            <w:right w:w="108" w:type="dxa"/>
          </w:tblCellMar>
        </w:tblPrEx>
        <w:trPr>
          <w:trHeight w:val="455" w:hRule="atLeast"/>
        </w:trPr>
        <w:tc>
          <w:tcPr>
            <w:tcW w:w="537" w:type="dxa"/>
            <w:tcBorders>
              <w:top w:val="single" w:color="000000" w:sz="4" w:space="0"/>
              <w:left w:val="single" w:color="000000" w:sz="4" w:space="0"/>
              <w:bottom w:val="single" w:color="000000" w:sz="4" w:space="0"/>
              <w:right w:val="single" w:color="000000" w:sz="4" w:space="0"/>
            </w:tcBorders>
            <w:vAlign w:val="center"/>
          </w:tcPr>
          <w:p w14:paraId="11082D1F">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lang w:bidi="ar"/>
              </w:rPr>
              <w:t>2</w:t>
            </w:r>
          </w:p>
        </w:tc>
        <w:tc>
          <w:tcPr>
            <w:tcW w:w="2244" w:type="dxa"/>
            <w:tcBorders>
              <w:top w:val="single" w:color="000000" w:sz="4" w:space="0"/>
              <w:left w:val="single" w:color="000000" w:sz="4" w:space="0"/>
              <w:bottom w:val="single" w:color="000000" w:sz="4" w:space="0"/>
              <w:right w:val="single" w:color="000000" w:sz="4" w:space="0"/>
            </w:tcBorders>
            <w:vAlign w:val="center"/>
          </w:tcPr>
          <w:p w14:paraId="1870A64A">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lang w:bidi="ar"/>
              </w:rPr>
              <w:t>公共管理与公共服务用地</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8C5AD0D">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 xml:space="preserve">3.65 </w:t>
            </w:r>
          </w:p>
        </w:tc>
        <w:tc>
          <w:tcPr>
            <w:tcW w:w="1241" w:type="dxa"/>
            <w:tcBorders>
              <w:top w:val="single" w:color="000000" w:sz="4" w:space="0"/>
              <w:left w:val="single" w:color="000000" w:sz="4" w:space="0"/>
              <w:bottom w:val="single" w:color="000000" w:sz="4" w:space="0"/>
              <w:right w:val="single" w:color="000000" w:sz="4" w:space="0"/>
            </w:tcBorders>
            <w:vAlign w:val="bottom"/>
          </w:tcPr>
          <w:p w14:paraId="026CA1DE">
            <w:pPr>
              <w:widowControl w:val="0"/>
              <w:adjustRightInd/>
              <w:snapToGrid/>
              <w:spacing w:line="240" w:lineRule="auto"/>
              <w:ind w:firstLine="0" w:firstLineChars="0"/>
              <w:jc w:val="center"/>
              <w:rPr>
                <w:rFonts w:hint="eastAsia" w:ascii="仿宋" w:eastAsia="仿宋"/>
                <w:sz w:val="21"/>
                <w:szCs w:val="21"/>
                <w:lang w:val="en-US" w:eastAsia="zh-CN"/>
              </w:rPr>
            </w:pPr>
            <w:r>
              <w:rPr>
                <w:rFonts w:hint="default" w:ascii="仿宋" w:eastAsia="仿宋"/>
                <w:sz w:val="21"/>
                <w:szCs w:val="21"/>
                <w:lang w:val="en-US" w:eastAsia="zh-CN"/>
              </w:rPr>
              <w:t>5.26</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011C37A8">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4.9</w:t>
            </w:r>
            <w:r>
              <w:rPr>
                <w:rFonts w:hint="eastAsia" w:ascii="仿宋" w:eastAsia="仿宋"/>
                <w:sz w:val="21"/>
                <w:szCs w:val="21"/>
                <w:lang w:val="en-US" w:eastAsia="zh-CN"/>
              </w:rPr>
              <w:t>2</w:t>
            </w:r>
          </w:p>
        </w:tc>
        <w:tc>
          <w:tcPr>
            <w:tcW w:w="1529" w:type="dxa"/>
            <w:tcBorders>
              <w:top w:val="single" w:color="000000" w:sz="4" w:space="0"/>
              <w:left w:val="single" w:color="000000" w:sz="4" w:space="0"/>
              <w:bottom w:val="single" w:color="000000" w:sz="4" w:space="0"/>
              <w:right w:val="single" w:color="000000" w:sz="4" w:space="0"/>
            </w:tcBorders>
            <w:vAlign w:val="bottom"/>
          </w:tcPr>
          <w:p w14:paraId="0C95F85D">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5.68</w:t>
            </w:r>
          </w:p>
        </w:tc>
      </w:tr>
      <w:tr w14:paraId="38C5A70A">
        <w:tblPrEx>
          <w:tblCellMar>
            <w:top w:w="0" w:type="dxa"/>
            <w:left w:w="108" w:type="dxa"/>
            <w:bottom w:w="0" w:type="dxa"/>
            <w:right w:w="108" w:type="dxa"/>
          </w:tblCellMar>
        </w:tblPrEx>
        <w:trPr>
          <w:trHeight w:val="455" w:hRule="atLeast"/>
        </w:trPr>
        <w:tc>
          <w:tcPr>
            <w:tcW w:w="537" w:type="dxa"/>
            <w:tcBorders>
              <w:top w:val="single" w:color="000000" w:sz="4" w:space="0"/>
              <w:left w:val="single" w:color="000000" w:sz="4" w:space="0"/>
              <w:bottom w:val="single" w:color="000000" w:sz="4" w:space="0"/>
              <w:right w:val="single" w:color="000000" w:sz="4" w:space="0"/>
            </w:tcBorders>
            <w:vAlign w:val="center"/>
          </w:tcPr>
          <w:p w14:paraId="7FBFF20F">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lang w:bidi="ar"/>
              </w:rPr>
              <w:t>3</w:t>
            </w:r>
          </w:p>
        </w:tc>
        <w:tc>
          <w:tcPr>
            <w:tcW w:w="2244" w:type="dxa"/>
            <w:tcBorders>
              <w:top w:val="single" w:color="000000" w:sz="4" w:space="0"/>
              <w:left w:val="single" w:color="000000" w:sz="4" w:space="0"/>
              <w:bottom w:val="single" w:color="000000" w:sz="4" w:space="0"/>
              <w:right w:val="single" w:color="000000" w:sz="4" w:space="0"/>
            </w:tcBorders>
            <w:vAlign w:val="center"/>
          </w:tcPr>
          <w:p w14:paraId="2432F61F">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lang w:bidi="ar"/>
              </w:rPr>
              <w:t>商业服务业用地</w:t>
            </w:r>
          </w:p>
        </w:tc>
        <w:tc>
          <w:tcPr>
            <w:tcW w:w="1417" w:type="dxa"/>
            <w:tcBorders>
              <w:top w:val="single" w:color="000000" w:sz="4" w:space="0"/>
              <w:left w:val="single" w:color="000000" w:sz="4" w:space="0"/>
              <w:bottom w:val="single" w:color="000000" w:sz="4" w:space="0"/>
              <w:right w:val="single" w:color="000000" w:sz="4" w:space="0"/>
            </w:tcBorders>
            <w:vAlign w:val="bottom"/>
          </w:tcPr>
          <w:p w14:paraId="6846C452">
            <w:pPr>
              <w:widowControl w:val="0"/>
              <w:adjustRightInd/>
              <w:snapToGrid/>
              <w:spacing w:line="240" w:lineRule="auto"/>
              <w:ind w:firstLine="0" w:firstLineChars="0"/>
              <w:jc w:val="center"/>
              <w:rPr>
                <w:rFonts w:hint="eastAsia" w:ascii="仿宋" w:eastAsia="仿宋"/>
                <w:sz w:val="21"/>
                <w:szCs w:val="21"/>
                <w:lang w:val="en-US" w:eastAsia="zh-CN"/>
              </w:rPr>
            </w:pPr>
            <w:r>
              <w:rPr>
                <w:rFonts w:hint="eastAsia" w:ascii="仿宋" w:eastAsia="仿宋"/>
                <w:sz w:val="21"/>
                <w:szCs w:val="21"/>
                <w:lang w:val="en-US" w:eastAsia="zh-CN"/>
              </w:rPr>
              <w:t>0</w:t>
            </w:r>
          </w:p>
        </w:tc>
        <w:tc>
          <w:tcPr>
            <w:tcW w:w="1241" w:type="dxa"/>
            <w:tcBorders>
              <w:top w:val="single" w:color="000000" w:sz="4" w:space="0"/>
              <w:left w:val="single" w:color="000000" w:sz="4" w:space="0"/>
              <w:bottom w:val="single" w:color="000000" w:sz="4" w:space="0"/>
              <w:right w:val="single" w:color="000000" w:sz="4" w:space="0"/>
            </w:tcBorders>
            <w:vAlign w:val="bottom"/>
          </w:tcPr>
          <w:p w14:paraId="42B97DA4">
            <w:pPr>
              <w:widowControl w:val="0"/>
              <w:adjustRightInd/>
              <w:snapToGrid/>
              <w:spacing w:line="240" w:lineRule="auto"/>
              <w:ind w:firstLine="0" w:firstLineChars="0"/>
              <w:jc w:val="center"/>
              <w:rPr>
                <w:rFonts w:hint="eastAsia" w:ascii="仿宋" w:eastAsia="仿宋"/>
                <w:sz w:val="21"/>
                <w:szCs w:val="21"/>
                <w:lang w:val="en-US" w:eastAsia="zh-CN"/>
              </w:rPr>
            </w:pPr>
            <w:r>
              <w:rPr>
                <w:rFonts w:hint="default" w:ascii="仿宋" w:eastAsia="仿宋"/>
                <w:sz w:val="21"/>
                <w:szCs w:val="21"/>
                <w:lang w:val="en-US" w:eastAsia="zh-CN"/>
              </w:rPr>
              <w:t>0.00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486A9BA">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 xml:space="preserve">0.79 </w:t>
            </w:r>
          </w:p>
        </w:tc>
        <w:tc>
          <w:tcPr>
            <w:tcW w:w="1529" w:type="dxa"/>
            <w:tcBorders>
              <w:top w:val="single" w:color="000000" w:sz="4" w:space="0"/>
              <w:left w:val="single" w:color="000000" w:sz="4" w:space="0"/>
              <w:bottom w:val="single" w:color="000000" w:sz="4" w:space="0"/>
              <w:right w:val="single" w:color="000000" w:sz="4" w:space="0"/>
            </w:tcBorders>
            <w:vAlign w:val="bottom"/>
          </w:tcPr>
          <w:p w14:paraId="305CEE91">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0.91</w:t>
            </w:r>
          </w:p>
        </w:tc>
      </w:tr>
      <w:tr w14:paraId="42403551">
        <w:tblPrEx>
          <w:tblCellMar>
            <w:top w:w="0" w:type="dxa"/>
            <w:left w:w="108" w:type="dxa"/>
            <w:bottom w:w="0" w:type="dxa"/>
            <w:right w:w="108" w:type="dxa"/>
          </w:tblCellMar>
        </w:tblPrEx>
        <w:trPr>
          <w:trHeight w:val="455" w:hRule="atLeast"/>
        </w:trPr>
        <w:tc>
          <w:tcPr>
            <w:tcW w:w="537" w:type="dxa"/>
            <w:tcBorders>
              <w:top w:val="single" w:color="000000" w:sz="4" w:space="0"/>
              <w:left w:val="single" w:color="000000" w:sz="4" w:space="0"/>
              <w:bottom w:val="single" w:color="000000" w:sz="4" w:space="0"/>
              <w:right w:val="single" w:color="000000" w:sz="4" w:space="0"/>
            </w:tcBorders>
            <w:vAlign w:val="center"/>
          </w:tcPr>
          <w:p w14:paraId="61610620">
            <w:pPr>
              <w:widowControl w:val="0"/>
              <w:adjustRightInd/>
              <w:snapToGrid/>
              <w:spacing w:line="240" w:lineRule="auto"/>
              <w:ind w:firstLine="0" w:firstLineChars="0"/>
              <w:jc w:val="center"/>
              <w:rPr>
                <w:rFonts w:ascii="仿宋" w:eastAsia="仿宋"/>
                <w:sz w:val="21"/>
                <w:szCs w:val="21"/>
              </w:rPr>
            </w:pPr>
            <w:r>
              <w:rPr>
                <w:rFonts w:ascii="仿宋" w:eastAsia="仿宋"/>
                <w:sz w:val="21"/>
                <w:szCs w:val="21"/>
                <w:lang w:bidi="ar"/>
              </w:rPr>
              <w:t>4</w:t>
            </w:r>
          </w:p>
        </w:tc>
        <w:tc>
          <w:tcPr>
            <w:tcW w:w="2244" w:type="dxa"/>
            <w:tcBorders>
              <w:top w:val="single" w:color="000000" w:sz="4" w:space="0"/>
              <w:left w:val="single" w:color="000000" w:sz="4" w:space="0"/>
              <w:bottom w:val="single" w:color="000000" w:sz="4" w:space="0"/>
              <w:right w:val="single" w:color="000000" w:sz="4" w:space="0"/>
            </w:tcBorders>
            <w:vAlign w:val="center"/>
          </w:tcPr>
          <w:p w14:paraId="56ABF0E1">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lang w:bidi="ar"/>
              </w:rPr>
              <w:t>工矿用地</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F7EC245">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 xml:space="preserve">5.37 </w:t>
            </w:r>
          </w:p>
        </w:tc>
        <w:tc>
          <w:tcPr>
            <w:tcW w:w="1241" w:type="dxa"/>
            <w:tcBorders>
              <w:top w:val="single" w:color="000000" w:sz="4" w:space="0"/>
              <w:left w:val="single" w:color="000000" w:sz="4" w:space="0"/>
              <w:bottom w:val="single" w:color="000000" w:sz="4" w:space="0"/>
              <w:right w:val="single" w:color="000000" w:sz="4" w:space="0"/>
            </w:tcBorders>
            <w:vAlign w:val="bottom"/>
          </w:tcPr>
          <w:p w14:paraId="7DE700B2">
            <w:pPr>
              <w:widowControl w:val="0"/>
              <w:adjustRightInd/>
              <w:snapToGrid/>
              <w:spacing w:line="240" w:lineRule="auto"/>
              <w:ind w:firstLine="0" w:firstLineChars="0"/>
              <w:jc w:val="center"/>
              <w:rPr>
                <w:rFonts w:hint="eastAsia" w:ascii="仿宋" w:eastAsia="仿宋"/>
                <w:sz w:val="21"/>
                <w:szCs w:val="21"/>
                <w:lang w:val="en-US" w:eastAsia="zh-CN"/>
              </w:rPr>
            </w:pPr>
            <w:r>
              <w:rPr>
                <w:rFonts w:hint="default" w:ascii="仿宋" w:eastAsia="仿宋"/>
                <w:sz w:val="21"/>
                <w:szCs w:val="21"/>
                <w:lang w:val="en-US" w:eastAsia="zh-CN"/>
              </w:rPr>
              <w:t>7.73</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F0B37EE">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 xml:space="preserve">7.06 </w:t>
            </w:r>
          </w:p>
        </w:tc>
        <w:tc>
          <w:tcPr>
            <w:tcW w:w="1529" w:type="dxa"/>
            <w:tcBorders>
              <w:top w:val="single" w:color="000000" w:sz="4" w:space="0"/>
              <w:left w:val="single" w:color="000000" w:sz="4" w:space="0"/>
              <w:bottom w:val="single" w:color="000000" w:sz="4" w:space="0"/>
              <w:right w:val="single" w:color="000000" w:sz="4" w:space="0"/>
            </w:tcBorders>
            <w:vAlign w:val="bottom"/>
          </w:tcPr>
          <w:p w14:paraId="3B478B6B">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8.15</w:t>
            </w:r>
          </w:p>
        </w:tc>
      </w:tr>
      <w:tr w14:paraId="24FA69F0">
        <w:tblPrEx>
          <w:tblCellMar>
            <w:top w:w="0" w:type="dxa"/>
            <w:left w:w="108" w:type="dxa"/>
            <w:bottom w:w="0" w:type="dxa"/>
            <w:right w:w="108" w:type="dxa"/>
          </w:tblCellMar>
        </w:tblPrEx>
        <w:trPr>
          <w:trHeight w:val="455" w:hRule="atLeast"/>
        </w:trPr>
        <w:tc>
          <w:tcPr>
            <w:tcW w:w="537" w:type="dxa"/>
            <w:tcBorders>
              <w:top w:val="single" w:color="000000" w:sz="4" w:space="0"/>
              <w:left w:val="single" w:color="000000" w:sz="4" w:space="0"/>
              <w:bottom w:val="single" w:color="000000" w:sz="4" w:space="0"/>
              <w:right w:val="single" w:color="000000" w:sz="4" w:space="0"/>
            </w:tcBorders>
            <w:vAlign w:val="center"/>
          </w:tcPr>
          <w:p w14:paraId="2B40745C">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5</w:t>
            </w:r>
          </w:p>
        </w:tc>
        <w:tc>
          <w:tcPr>
            <w:tcW w:w="2244" w:type="dxa"/>
            <w:tcBorders>
              <w:top w:val="single" w:color="000000" w:sz="4" w:space="0"/>
              <w:left w:val="single" w:color="000000" w:sz="4" w:space="0"/>
              <w:bottom w:val="single" w:color="000000" w:sz="4" w:space="0"/>
              <w:right w:val="single" w:color="000000" w:sz="4" w:space="0"/>
            </w:tcBorders>
            <w:vAlign w:val="center"/>
          </w:tcPr>
          <w:p w14:paraId="0A51A203">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lang w:bidi="ar"/>
              </w:rPr>
              <w:t>交通运输用地</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14CFBF80">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 xml:space="preserve">4.31 </w:t>
            </w:r>
          </w:p>
        </w:tc>
        <w:tc>
          <w:tcPr>
            <w:tcW w:w="1241" w:type="dxa"/>
            <w:tcBorders>
              <w:top w:val="single" w:color="000000" w:sz="4" w:space="0"/>
              <w:left w:val="single" w:color="000000" w:sz="4" w:space="0"/>
              <w:bottom w:val="single" w:color="000000" w:sz="4" w:space="0"/>
              <w:right w:val="single" w:color="000000" w:sz="4" w:space="0"/>
            </w:tcBorders>
            <w:vAlign w:val="bottom"/>
          </w:tcPr>
          <w:p w14:paraId="7ABC4DAC">
            <w:pPr>
              <w:widowControl w:val="0"/>
              <w:adjustRightInd/>
              <w:snapToGrid/>
              <w:spacing w:line="240" w:lineRule="auto"/>
              <w:ind w:firstLine="0" w:firstLineChars="0"/>
              <w:jc w:val="center"/>
              <w:rPr>
                <w:rFonts w:hint="eastAsia" w:ascii="仿宋" w:eastAsia="仿宋"/>
                <w:sz w:val="21"/>
                <w:szCs w:val="21"/>
                <w:lang w:val="en-US" w:eastAsia="zh-CN"/>
              </w:rPr>
            </w:pPr>
            <w:r>
              <w:rPr>
                <w:rFonts w:hint="default" w:ascii="仿宋" w:eastAsia="仿宋"/>
                <w:sz w:val="21"/>
                <w:szCs w:val="21"/>
                <w:lang w:val="en-US" w:eastAsia="zh-CN"/>
              </w:rPr>
              <w:t>6.21</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BDDC505">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 xml:space="preserve">6.67 </w:t>
            </w:r>
          </w:p>
        </w:tc>
        <w:tc>
          <w:tcPr>
            <w:tcW w:w="1529" w:type="dxa"/>
            <w:tcBorders>
              <w:top w:val="single" w:color="000000" w:sz="4" w:space="0"/>
              <w:left w:val="single" w:color="000000" w:sz="4" w:space="0"/>
              <w:bottom w:val="single" w:color="000000" w:sz="4" w:space="0"/>
              <w:right w:val="single" w:color="000000" w:sz="4" w:space="0"/>
            </w:tcBorders>
            <w:vAlign w:val="bottom"/>
          </w:tcPr>
          <w:p w14:paraId="40643520">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7.70</w:t>
            </w:r>
          </w:p>
        </w:tc>
      </w:tr>
      <w:tr w14:paraId="39CD74CE">
        <w:tblPrEx>
          <w:tblCellMar>
            <w:top w:w="0" w:type="dxa"/>
            <w:left w:w="108" w:type="dxa"/>
            <w:bottom w:w="0" w:type="dxa"/>
            <w:right w:w="108" w:type="dxa"/>
          </w:tblCellMar>
        </w:tblPrEx>
        <w:trPr>
          <w:trHeight w:val="455" w:hRule="atLeast"/>
        </w:trPr>
        <w:tc>
          <w:tcPr>
            <w:tcW w:w="537" w:type="dxa"/>
            <w:tcBorders>
              <w:top w:val="single" w:color="000000" w:sz="4" w:space="0"/>
              <w:left w:val="single" w:color="000000" w:sz="4" w:space="0"/>
              <w:bottom w:val="single" w:color="000000" w:sz="4" w:space="0"/>
              <w:right w:val="single" w:color="000000" w:sz="4" w:space="0"/>
            </w:tcBorders>
            <w:vAlign w:val="center"/>
          </w:tcPr>
          <w:p w14:paraId="16A2B532">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6</w:t>
            </w:r>
          </w:p>
        </w:tc>
        <w:tc>
          <w:tcPr>
            <w:tcW w:w="2244" w:type="dxa"/>
            <w:tcBorders>
              <w:top w:val="single" w:color="000000" w:sz="4" w:space="0"/>
              <w:left w:val="single" w:color="000000" w:sz="4" w:space="0"/>
              <w:bottom w:val="single" w:color="000000" w:sz="4" w:space="0"/>
              <w:right w:val="single" w:color="000000" w:sz="4" w:space="0"/>
            </w:tcBorders>
            <w:vAlign w:val="center"/>
          </w:tcPr>
          <w:p w14:paraId="15159A64">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lang w:bidi="ar"/>
              </w:rPr>
              <w:t>公用设施用地</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46DDE336">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 xml:space="preserve">0.69 </w:t>
            </w:r>
          </w:p>
        </w:tc>
        <w:tc>
          <w:tcPr>
            <w:tcW w:w="1241" w:type="dxa"/>
            <w:tcBorders>
              <w:top w:val="single" w:color="000000" w:sz="4" w:space="0"/>
              <w:left w:val="single" w:color="000000" w:sz="4" w:space="0"/>
              <w:bottom w:val="single" w:color="000000" w:sz="4" w:space="0"/>
              <w:right w:val="single" w:color="000000" w:sz="4" w:space="0"/>
            </w:tcBorders>
            <w:vAlign w:val="bottom"/>
          </w:tcPr>
          <w:p w14:paraId="1DBF2AF6">
            <w:pPr>
              <w:widowControl w:val="0"/>
              <w:adjustRightInd/>
              <w:snapToGrid/>
              <w:spacing w:line="240" w:lineRule="auto"/>
              <w:ind w:firstLine="0" w:firstLineChars="0"/>
              <w:jc w:val="center"/>
              <w:rPr>
                <w:rFonts w:hint="eastAsia" w:ascii="仿宋" w:eastAsia="仿宋"/>
                <w:sz w:val="21"/>
                <w:szCs w:val="21"/>
                <w:lang w:val="en-US" w:eastAsia="zh-CN"/>
              </w:rPr>
            </w:pPr>
            <w:r>
              <w:rPr>
                <w:rFonts w:hint="default" w:ascii="仿宋" w:eastAsia="仿宋"/>
                <w:sz w:val="21"/>
                <w:szCs w:val="21"/>
                <w:lang w:val="en-US" w:eastAsia="zh-CN"/>
              </w:rPr>
              <w:t>0.99</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81D1979">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 xml:space="preserve">0.22 </w:t>
            </w:r>
          </w:p>
        </w:tc>
        <w:tc>
          <w:tcPr>
            <w:tcW w:w="1529" w:type="dxa"/>
            <w:tcBorders>
              <w:top w:val="single" w:color="000000" w:sz="4" w:space="0"/>
              <w:left w:val="single" w:color="000000" w:sz="4" w:space="0"/>
              <w:bottom w:val="single" w:color="000000" w:sz="4" w:space="0"/>
              <w:right w:val="single" w:color="000000" w:sz="4" w:space="0"/>
            </w:tcBorders>
            <w:vAlign w:val="bottom"/>
          </w:tcPr>
          <w:p w14:paraId="32ECD81C">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0.25</w:t>
            </w:r>
          </w:p>
        </w:tc>
      </w:tr>
      <w:tr w14:paraId="7A888492">
        <w:tblPrEx>
          <w:tblCellMar>
            <w:top w:w="0" w:type="dxa"/>
            <w:left w:w="108" w:type="dxa"/>
            <w:bottom w:w="0" w:type="dxa"/>
            <w:right w:w="108" w:type="dxa"/>
          </w:tblCellMar>
        </w:tblPrEx>
        <w:trPr>
          <w:trHeight w:val="455" w:hRule="atLeast"/>
        </w:trPr>
        <w:tc>
          <w:tcPr>
            <w:tcW w:w="537" w:type="dxa"/>
            <w:tcBorders>
              <w:top w:val="single" w:color="000000" w:sz="4" w:space="0"/>
              <w:left w:val="single" w:color="000000" w:sz="4" w:space="0"/>
              <w:bottom w:val="single" w:color="000000" w:sz="4" w:space="0"/>
              <w:right w:val="single" w:color="000000" w:sz="4" w:space="0"/>
            </w:tcBorders>
            <w:vAlign w:val="center"/>
          </w:tcPr>
          <w:p w14:paraId="21CBCE2B">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7</w:t>
            </w:r>
          </w:p>
        </w:tc>
        <w:tc>
          <w:tcPr>
            <w:tcW w:w="2244" w:type="dxa"/>
            <w:tcBorders>
              <w:top w:val="single" w:color="000000" w:sz="4" w:space="0"/>
              <w:left w:val="single" w:color="000000" w:sz="4" w:space="0"/>
              <w:bottom w:val="single" w:color="000000" w:sz="4" w:space="0"/>
              <w:right w:val="single" w:color="000000" w:sz="4" w:space="0"/>
            </w:tcBorders>
            <w:vAlign w:val="center"/>
          </w:tcPr>
          <w:p w14:paraId="5332B6E9">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lang w:bidi="ar"/>
              </w:rPr>
              <w:t>绿地与开敞空间用地</w:t>
            </w:r>
          </w:p>
        </w:tc>
        <w:tc>
          <w:tcPr>
            <w:tcW w:w="1417" w:type="dxa"/>
            <w:tcBorders>
              <w:top w:val="single" w:color="000000" w:sz="4" w:space="0"/>
              <w:left w:val="single" w:color="000000" w:sz="4" w:space="0"/>
              <w:bottom w:val="single" w:color="000000" w:sz="4" w:space="0"/>
              <w:right w:val="single" w:color="000000" w:sz="4" w:space="0"/>
            </w:tcBorders>
            <w:vAlign w:val="bottom"/>
          </w:tcPr>
          <w:p w14:paraId="351130E5">
            <w:pPr>
              <w:widowControl w:val="0"/>
              <w:adjustRightInd/>
              <w:snapToGrid/>
              <w:spacing w:line="240" w:lineRule="auto"/>
              <w:ind w:firstLine="0" w:firstLineChars="0"/>
              <w:jc w:val="center"/>
              <w:rPr>
                <w:rFonts w:hint="eastAsia" w:ascii="仿宋" w:eastAsia="仿宋"/>
                <w:sz w:val="21"/>
                <w:szCs w:val="21"/>
                <w:lang w:val="en-US" w:eastAsia="zh-CN"/>
              </w:rPr>
            </w:pPr>
            <w:r>
              <w:rPr>
                <w:rFonts w:hint="eastAsia" w:ascii="仿宋" w:eastAsia="仿宋"/>
                <w:sz w:val="21"/>
                <w:szCs w:val="21"/>
                <w:lang w:val="en-US" w:eastAsia="zh-CN"/>
              </w:rPr>
              <w:t>0</w:t>
            </w:r>
          </w:p>
        </w:tc>
        <w:tc>
          <w:tcPr>
            <w:tcW w:w="1241" w:type="dxa"/>
            <w:tcBorders>
              <w:top w:val="single" w:color="000000" w:sz="4" w:space="0"/>
              <w:left w:val="single" w:color="000000" w:sz="4" w:space="0"/>
              <w:bottom w:val="single" w:color="000000" w:sz="4" w:space="0"/>
              <w:right w:val="single" w:color="000000" w:sz="4" w:space="0"/>
            </w:tcBorders>
            <w:vAlign w:val="bottom"/>
          </w:tcPr>
          <w:p w14:paraId="3E5617FC">
            <w:pPr>
              <w:widowControl w:val="0"/>
              <w:adjustRightInd/>
              <w:snapToGrid/>
              <w:spacing w:line="240" w:lineRule="auto"/>
              <w:ind w:firstLine="0" w:firstLineChars="0"/>
              <w:jc w:val="center"/>
              <w:rPr>
                <w:rFonts w:hint="eastAsia" w:ascii="仿宋" w:eastAsia="仿宋"/>
                <w:sz w:val="21"/>
                <w:szCs w:val="21"/>
                <w:lang w:val="en-US" w:eastAsia="zh-CN"/>
              </w:rPr>
            </w:pPr>
            <w:r>
              <w:rPr>
                <w:rFonts w:hint="default" w:ascii="仿宋" w:eastAsia="仿宋"/>
                <w:sz w:val="21"/>
                <w:szCs w:val="21"/>
                <w:lang w:val="en-US" w:eastAsia="zh-CN"/>
              </w:rPr>
              <w:t>0.00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21DFBB8A">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 xml:space="preserve">0.64 </w:t>
            </w:r>
          </w:p>
        </w:tc>
        <w:tc>
          <w:tcPr>
            <w:tcW w:w="1529" w:type="dxa"/>
            <w:tcBorders>
              <w:top w:val="single" w:color="000000" w:sz="4" w:space="0"/>
              <w:left w:val="single" w:color="000000" w:sz="4" w:space="0"/>
              <w:bottom w:val="single" w:color="000000" w:sz="4" w:space="0"/>
              <w:right w:val="single" w:color="000000" w:sz="4" w:space="0"/>
            </w:tcBorders>
            <w:vAlign w:val="bottom"/>
          </w:tcPr>
          <w:p w14:paraId="202C35E0">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0.74</w:t>
            </w:r>
          </w:p>
        </w:tc>
      </w:tr>
      <w:tr w14:paraId="6BC8C172">
        <w:tblPrEx>
          <w:tblCellMar>
            <w:top w:w="0" w:type="dxa"/>
            <w:left w:w="108" w:type="dxa"/>
            <w:bottom w:w="0" w:type="dxa"/>
            <w:right w:w="108" w:type="dxa"/>
          </w:tblCellMar>
        </w:tblPrEx>
        <w:trPr>
          <w:trHeight w:val="465" w:hRule="atLeast"/>
        </w:trPr>
        <w:tc>
          <w:tcPr>
            <w:tcW w:w="2781" w:type="dxa"/>
            <w:gridSpan w:val="2"/>
            <w:tcBorders>
              <w:top w:val="single" w:color="000000" w:sz="4" w:space="0"/>
              <w:left w:val="single" w:color="000000" w:sz="4" w:space="0"/>
              <w:bottom w:val="single" w:color="000000" w:sz="4" w:space="0"/>
              <w:right w:val="single" w:color="000000" w:sz="4" w:space="0"/>
            </w:tcBorders>
            <w:vAlign w:val="center"/>
          </w:tcPr>
          <w:p w14:paraId="4489E81E">
            <w:pPr>
              <w:widowControl w:val="0"/>
              <w:adjustRightInd/>
              <w:snapToGrid/>
              <w:spacing w:line="240" w:lineRule="auto"/>
              <w:ind w:firstLine="0" w:firstLineChars="0"/>
              <w:jc w:val="center"/>
              <w:rPr>
                <w:rFonts w:ascii="仿宋" w:eastAsia="仿宋"/>
                <w:sz w:val="21"/>
                <w:szCs w:val="21"/>
              </w:rPr>
            </w:pPr>
            <w:r>
              <w:rPr>
                <w:rFonts w:hint="eastAsia" w:ascii="仿宋" w:eastAsia="仿宋"/>
                <w:sz w:val="21"/>
                <w:szCs w:val="21"/>
              </w:rPr>
              <w:t>合计</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30658F08">
            <w:pPr>
              <w:widowControl w:val="0"/>
              <w:adjustRightInd/>
              <w:snapToGrid/>
              <w:spacing w:line="240" w:lineRule="auto"/>
              <w:ind w:firstLine="0" w:firstLineChars="0"/>
              <w:jc w:val="center"/>
              <w:rPr>
                <w:rFonts w:hint="eastAsia" w:ascii="仿宋" w:eastAsia="仿宋"/>
                <w:sz w:val="21"/>
                <w:szCs w:val="21"/>
                <w:lang w:val="en-US" w:eastAsia="zh-CN"/>
              </w:rPr>
            </w:pPr>
            <w:r>
              <w:rPr>
                <w:rFonts w:hint="default" w:ascii="仿宋" w:eastAsia="仿宋"/>
                <w:sz w:val="21"/>
                <w:szCs w:val="21"/>
                <w:lang w:val="en-US" w:eastAsia="zh-CN"/>
              </w:rPr>
              <w:t>69.43</w:t>
            </w:r>
          </w:p>
        </w:tc>
        <w:tc>
          <w:tcPr>
            <w:tcW w:w="1241" w:type="dxa"/>
            <w:tcBorders>
              <w:top w:val="single" w:color="000000" w:sz="4" w:space="0"/>
              <w:left w:val="single" w:color="000000" w:sz="4" w:space="0"/>
              <w:bottom w:val="single" w:color="000000" w:sz="4" w:space="0"/>
              <w:right w:val="single" w:color="000000" w:sz="4" w:space="0"/>
            </w:tcBorders>
            <w:vAlign w:val="bottom"/>
          </w:tcPr>
          <w:p w14:paraId="3AE47DAF">
            <w:pPr>
              <w:widowControl w:val="0"/>
              <w:adjustRightInd/>
              <w:snapToGrid/>
              <w:spacing w:line="240" w:lineRule="auto"/>
              <w:ind w:firstLine="0" w:firstLineChars="0"/>
              <w:jc w:val="center"/>
              <w:rPr>
                <w:rFonts w:hint="eastAsia" w:ascii="仿宋" w:eastAsia="仿宋"/>
                <w:sz w:val="21"/>
                <w:szCs w:val="21"/>
                <w:lang w:val="en-US" w:eastAsia="zh-CN"/>
              </w:rPr>
            </w:pPr>
            <w:r>
              <w:rPr>
                <w:rFonts w:hint="default" w:ascii="仿宋" w:eastAsia="仿宋"/>
                <w:sz w:val="21"/>
                <w:szCs w:val="21"/>
                <w:lang w:val="en-US" w:eastAsia="zh-CN"/>
              </w:rPr>
              <w:t>100.00</w:t>
            </w:r>
          </w:p>
        </w:tc>
        <w:tc>
          <w:tcPr>
            <w:tcW w:w="1417" w:type="dxa"/>
            <w:tcBorders>
              <w:top w:val="single" w:color="000000" w:sz="4" w:space="0"/>
              <w:left w:val="single" w:color="000000" w:sz="4" w:space="0"/>
              <w:bottom w:val="single" w:color="000000" w:sz="4" w:space="0"/>
              <w:right w:val="single" w:color="000000" w:sz="4" w:space="0"/>
            </w:tcBorders>
            <w:shd w:val="clear" w:color="auto" w:fill="auto"/>
            <w:vAlign w:val="bottom"/>
          </w:tcPr>
          <w:p w14:paraId="5EB2F919">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86.67</w:t>
            </w:r>
          </w:p>
        </w:tc>
        <w:tc>
          <w:tcPr>
            <w:tcW w:w="1529" w:type="dxa"/>
            <w:tcBorders>
              <w:top w:val="single" w:color="000000" w:sz="4" w:space="0"/>
              <w:left w:val="single" w:color="000000" w:sz="4" w:space="0"/>
              <w:bottom w:val="single" w:color="000000" w:sz="4" w:space="0"/>
              <w:right w:val="single" w:color="000000" w:sz="4" w:space="0"/>
            </w:tcBorders>
            <w:vAlign w:val="bottom"/>
          </w:tcPr>
          <w:p w14:paraId="3FFAE2DC">
            <w:pPr>
              <w:widowControl w:val="0"/>
              <w:adjustRightInd/>
              <w:snapToGrid/>
              <w:spacing w:line="240" w:lineRule="auto"/>
              <w:ind w:firstLine="0" w:firstLineChars="0"/>
              <w:jc w:val="center"/>
              <w:rPr>
                <w:rFonts w:hint="default" w:ascii="仿宋" w:eastAsia="仿宋"/>
                <w:sz w:val="21"/>
                <w:szCs w:val="21"/>
                <w:lang w:val="en-US" w:eastAsia="zh-CN"/>
              </w:rPr>
            </w:pPr>
            <w:r>
              <w:rPr>
                <w:rFonts w:hint="default" w:ascii="仿宋" w:eastAsia="仿宋"/>
                <w:sz w:val="21"/>
                <w:szCs w:val="21"/>
                <w:lang w:val="en-US" w:eastAsia="zh-CN"/>
              </w:rPr>
              <w:t>100.00</w:t>
            </w:r>
          </w:p>
        </w:tc>
      </w:tr>
    </w:tbl>
    <w:p w14:paraId="318F0943">
      <w:pPr>
        <w:rPr>
          <w:rFonts w:hint="eastAsia"/>
        </w:rPr>
      </w:pPr>
    </w:p>
    <w:p w14:paraId="65D57CC5">
      <w:pPr>
        <w:pStyle w:val="3"/>
        <w:bidi w:val="0"/>
        <w:rPr>
          <w:rFonts w:hint="eastAsia"/>
        </w:rPr>
      </w:pPr>
      <w:bookmarkStart w:id="148" w:name="_Toc152937210"/>
      <w:bookmarkStart w:id="149" w:name="_Toc26139"/>
      <w:bookmarkStart w:id="150" w:name="_Toc16100"/>
      <w:bookmarkStart w:id="151" w:name="_Toc133419347"/>
      <w:r>
        <w:rPr>
          <w:rFonts w:hint="eastAsia"/>
        </w:rPr>
        <w:t>绿地系统和开敞空间</w:t>
      </w:r>
      <w:bookmarkEnd w:id="148"/>
      <w:bookmarkEnd w:id="149"/>
      <w:bookmarkEnd w:id="150"/>
    </w:p>
    <w:p w14:paraId="4A208781">
      <w:pPr>
        <w:pStyle w:val="4"/>
        <w:bidi w:val="0"/>
        <w:rPr>
          <w:rFonts w:hint="eastAsia"/>
        </w:rPr>
      </w:pPr>
      <w:bookmarkStart w:id="152" w:name="_Toc381767"/>
      <w:r>
        <w:t>绿地规模与布局</w:t>
      </w:r>
    </w:p>
    <w:p w14:paraId="5CFB35F4">
      <w:bookmarkStart w:id="153" w:name="_Hlk131412216"/>
      <w:r>
        <w:t>规划至2035年，</w:t>
      </w:r>
      <w:r>
        <w:rPr>
          <w:rFonts w:hint="eastAsia"/>
        </w:rPr>
        <w:t>镇中心区</w:t>
      </w:r>
      <w:r>
        <w:t>人均</w:t>
      </w:r>
      <w:r>
        <w:rPr>
          <w:rFonts w:hint="eastAsia"/>
        </w:rPr>
        <w:t>绿地与开敞空间用地</w:t>
      </w:r>
      <w:r>
        <w:t>面积达到</w:t>
      </w:r>
      <w:r>
        <w:rPr>
          <w:rFonts w:hint="eastAsia"/>
        </w:rPr>
        <w:t>1.56</w:t>
      </w:r>
      <w:r>
        <w:t>平方米以上，</w:t>
      </w:r>
      <w:r>
        <w:rPr>
          <w:rFonts w:hint="eastAsia"/>
        </w:rPr>
        <w:t>绿地与开敞空间用地</w:t>
      </w:r>
      <w:r>
        <w:t>占城</w:t>
      </w:r>
      <w:r>
        <w:rPr>
          <w:rFonts w:hint="eastAsia"/>
        </w:rPr>
        <w:t>镇</w:t>
      </w:r>
      <w:r>
        <w:t>建设用地面积约</w:t>
      </w:r>
      <w:r>
        <w:rPr>
          <w:rFonts w:hint="eastAsia"/>
        </w:rPr>
        <w:t>0.26</w:t>
      </w:r>
      <w:r>
        <w:t>％</w:t>
      </w:r>
      <w:bookmarkEnd w:id="153"/>
      <w:bookmarkStart w:id="154" w:name="_Hlk129180973"/>
      <w:r>
        <w:t>。</w:t>
      </w:r>
      <w:bookmarkEnd w:id="154"/>
    </w:p>
    <w:p w14:paraId="2C51C688">
      <w:pPr>
        <w:pStyle w:val="4"/>
        <w:bidi w:val="0"/>
        <w:rPr>
          <w:rFonts w:hint="eastAsia"/>
        </w:rPr>
      </w:pPr>
      <w:r>
        <w:t>公园绿地</w:t>
      </w:r>
    </w:p>
    <w:p w14:paraId="583A10AB">
      <w:r>
        <w:rPr>
          <w:rFonts w:hint="eastAsia"/>
        </w:rPr>
        <w:t>公园绿地采取居住区游园绿地、街头公园等不同类型，功能上形成景观型、生态型、服务型等多种类型相结合的公园游憩体系。保护生态环境的稳定性和舒适性，理顺街道与自然的关系，扩大绿地面积，将自然引入街道内部。</w:t>
      </w:r>
    </w:p>
    <w:bookmarkEnd w:id="152"/>
    <w:p w14:paraId="469E51FA">
      <w:pPr>
        <w:pStyle w:val="4"/>
        <w:bidi w:val="0"/>
        <w:rPr>
          <w:rFonts w:hint="eastAsia"/>
        </w:rPr>
      </w:pPr>
      <w:r>
        <w:rPr>
          <w:rFonts w:hint="eastAsia"/>
        </w:rPr>
        <w:t>其他绿地</w:t>
      </w:r>
    </w:p>
    <w:p w14:paraId="42BBC634">
      <w:bookmarkStart w:id="155" w:name="_Hlk129182003"/>
      <w:r>
        <w:rPr>
          <w:rFonts w:hint="eastAsia"/>
        </w:rPr>
        <w:t>居住片区内部广场的布置，应尽量与居住片区公共活动中心相结合可利用灯饰、芳香型植物等，创造晚间景观特色，以适应居民多在早晚游园的特点。宅旁绿地应满足环境美化与居住区的卫生防护和通风采光等功能要求。</w:t>
      </w:r>
    </w:p>
    <w:p w14:paraId="38AF7F53">
      <w:r>
        <w:rPr>
          <w:rFonts w:hint="eastAsia"/>
        </w:rPr>
        <w:t>道路两旁的公共设施与高层建筑应预留绿色广场，道路景观与城镇景观相呼应。</w:t>
      </w:r>
    </w:p>
    <w:p w14:paraId="3FB4631A">
      <w:r>
        <w:rPr>
          <w:rFonts w:hint="eastAsia"/>
        </w:rPr>
        <w:t>市政设施附属绿地应以卫生防护功能为主，同时结合市政设施类型选择绿化方式，打造绿地景观。</w:t>
      </w:r>
    </w:p>
    <w:p w14:paraId="064AAF05">
      <w:pPr>
        <w:pStyle w:val="3"/>
        <w:bidi w:val="0"/>
        <w:rPr>
          <w:rFonts w:hint="eastAsia"/>
        </w:rPr>
      </w:pPr>
      <w:bookmarkStart w:id="156" w:name="_Toc27567"/>
      <w:bookmarkStart w:id="157" w:name="_Toc6993"/>
      <w:r>
        <w:rPr>
          <w:rFonts w:hint="eastAsia"/>
        </w:rPr>
        <w:t>景观风貌</w:t>
      </w:r>
      <w:bookmarkEnd w:id="156"/>
      <w:bookmarkEnd w:id="157"/>
    </w:p>
    <w:p w14:paraId="7A290CBC">
      <w:pPr>
        <w:pStyle w:val="4"/>
        <w:bidi w:val="0"/>
        <w:rPr>
          <w:rFonts w:hint="eastAsia"/>
        </w:rPr>
      </w:pPr>
      <w:r>
        <w:rPr>
          <w:rFonts w:hint="eastAsia"/>
        </w:rPr>
        <w:t>特色风貌塑造要求</w:t>
      </w:r>
    </w:p>
    <w:p w14:paraId="13DA71CD">
      <w:r>
        <w:rPr>
          <w:rFonts w:hint="eastAsia"/>
        </w:rPr>
        <w:t>景观视廊控制范围及总体要求。道路景观型重点控制街道高宽比、天际线、沿街建筑风貌和节点标志。界面景观型重点控制滨水建筑高度、组合方式、墙体色彩、屋顶形式等，合理预留景观空隙，设置观景视点，并增加重点地段的夜景照明设计。</w:t>
      </w:r>
    </w:p>
    <w:p w14:paraId="3E4C6F5C">
      <w:pPr>
        <w:pStyle w:val="4"/>
        <w:bidi w:val="0"/>
        <w:rPr>
          <w:rFonts w:hint="eastAsia"/>
        </w:rPr>
      </w:pPr>
      <w:r>
        <w:rPr>
          <w:rFonts w:hint="eastAsia"/>
        </w:rPr>
        <w:t>建筑色彩指引</w:t>
      </w:r>
    </w:p>
    <w:p w14:paraId="1558E481">
      <w:r>
        <w:rPr>
          <w:rFonts w:hint="eastAsia"/>
        </w:rPr>
        <w:t>建筑色彩作为城镇风貌的重要组成元素，是促进建筑风貌整体统一、协调发展、构建和谐有序的色彩体系的重要规划手段。镇中心区建筑质量差异较大，建筑形制和色彩均呈现交杂状态。建筑外立面多以白色系或灰色系为主，砖红色是较为普遍的辅助色和点缀色。单层建筑屋顶以坡屋顶为主，低层建筑屋顶以朱红瓦和蓝灰瓦面为主，此外蓝色彩钢板在工业厂房建筑上使用较为普遍。规划引导镇中心区建筑色彩以白色等浅色系为主，朱红色为建筑辅助色和点缀色。</w:t>
      </w:r>
    </w:p>
    <w:p w14:paraId="0E42F8AA">
      <w:pPr>
        <w:pStyle w:val="4"/>
        <w:bidi w:val="0"/>
        <w:rPr>
          <w:rFonts w:hint="eastAsia"/>
        </w:rPr>
      </w:pPr>
      <w:r>
        <w:rPr>
          <w:rFonts w:hint="eastAsia"/>
        </w:rPr>
        <w:t>建筑风格指引</w:t>
      </w:r>
    </w:p>
    <w:p w14:paraId="3A4A5665">
      <w:r>
        <w:rPr>
          <w:rFonts w:hint="eastAsia"/>
        </w:rPr>
        <w:t>建筑风格是指建筑物通过平面布置、立面形式、空间组织、结构方式形体、装饰、色彩以及建筑群体组织等多方面的处理而形成的一种综合的艺术形象或艺术形式。镇中心区新建建筑以现代风格建筑为主，也可采用新中式建筑风格。规划通过完善公共设施、立面改造等方式提升整体环境品质，构建多样协调的建筑风格。</w:t>
      </w:r>
    </w:p>
    <w:bookmarkEnd w:id="151"/>
    <w:bookmarkEnd w:id="155"/>
    <w:p w14:paraId="50E122DA">
      <w:pPr>
        <w:pStyle w:val="3"/>
        <w:bidi w:val="0"/>
        <w:rPr>
          <w:rFonts w:hint="eastAsia"/>
        </w:rPr>
      </w:pPr>
      <w:bookmarkStart w:id="158" w:name="_Toc152937211"/>
      <w:bookmarkStart w:id="159" w:name="_Toc19522"/>
      <w:bookmarkStart w:id="160" w:name="_Toc27161"/>
      <w:r>
        <w:rPr>
          <w:rFonts w:hint="eastAsia"/>
        </w:rPr>
        <w:t>住房</w:t>
      </w:r>
      <w:bookmarkEnd w:id="158"/>
      <w:r>
        <w:rPr>
          <w:rFonts w:hint="eastAsia"/>
        </w:rPr>
        <w:t>保障</w:t>
      </w:r>
      <w:bookmarkEnd w:id="159"/>
      <w:bookmarkEnd w:id="160"/>
    </w:p>
    <w:p w14:paraId="6802EDF1">
      <w:pPr>
        <w:pStyle w:val="4"/>
        <w:bidi w:val="0"/>
        <w:rPr>
          <w:rFonts w:hint="eastAsia"/>
        </w:rPr>
      </w:pPr>
      <w:r>
        <w:t>居住用地规模和布局</w:t>
      </w:r>
    </w:p>
    <w:p w14:paraId="536F3434">
      <w:bookmarkStart w:id="161" w:name="_Hlk133418041"/>
      <w:r>
        <w:t>建立住宅用地供应时序调控机制，通过评估</w:t>
      </w:r>
      <w:r>
        <w:rPr>
          <w:rFonts w:hint="eastAsia"/>
        </w:rPr>
        <w:t>镇中心区</w:t>
      </w:r>
      <w:r>
        <w:t>人口变化情况、绿地及公共空间和公益性设施实施情况，结合人口规模、产业支撑、设施配套和住房入住水平等因素，明确2035年住房用地布局。规划至2035年，</w:t>
      </w:r>
      <w:r>
        <w:rPr>
          <w:rFonts w:hint="eastAsia"/>
        </w:rPr>
        <w:t>居住用地</w:t>
      </w:r>
      <w:r>
        <w:t>面积约</w:t>
      </w:r>
      <w:r>
        <w:rPr>
          <w:rFonts w:hint="eastAsia"/>
        </w:rPr>
        <w:t xml:space="preserve">65.91 </w:t>
      </w:r>
      <w:r>
        <w:t>公顷</w:t>
      </w:r>
      <w:r>
        <w:rPr>
          <w:rFonts w:hint="eastAsia"/>
        </w:rPr>
        <w:t>。</w:t>
      </w:r>
      <w:r>
        <w:t>新增住宅用地供应优先安排在公共空间和公益性设施实施情况较好的地区</w:t>
      </w:r>
      <w:bookmarkEnd w:id="161"/>
      <w:r>
        <w:t>。</w:t>
      </w:r>
    </w:p>
    <w:p w14:paraId="6C32A02E">
      <w:pPr>
        <w:pStyle w:val="4"/>
        <w:bidi w:val="0"/>
        <w:rPr>
          <w:rFonts w:hint="eastAsia"/>
        </w:rPr>
      </w:pPr>
      <w:r>
        <w:t>住房保障建设</w:t>
      </w:r>
    </w:p>
    <w:p w14:paraId="17106E8E">
      <w:bookmarkStart w:id="162" w:name="_Hlk131412016"/>
      <w:r>
        <w:t>建设完整居住区。</w:t>
      </w:r>
      <w:r>
        <w:rPr>
          <w:rFonts w:hint="eastAsia"/>
        </w:rPr>
        <w:t>以居民步行</w:t>
      </w:r>
      <w:r>
        <w:t>5—10分钟到达</w:t>
      </w:r>
      <w:r>
        <w:rPr>
          <w:rFonts w:hint="eastAsia"/>
        </w:rPr>
        <w:t>最近</w:t>
      </w:r>
      <w:r>
        <w:t>公共服务设施为原则，构建完整居住区，更好地为居民提供精准化、精细化服务。充分利用居住区内空地、荒地及拆除违法建设腾空土地等增加公共活动空间，统筹利用公有住房、居委会办公用房等存量房屋资源增设基本公共服务设施和便民商业服务设施，因地制宜补齐既有居住区建设短板。新建住宅项目按照完整居住区建设标准，配建居住区基本公共服务设施、便民商业服务设施、市政配套基础设施和公共活动空间，规模较小的在科学评估周边既有设</w:t>
      </w:r>
      <w:r>
        <w:rPr>
          <w:rFonts w:hint="eastAsia"/>
        </w:rPr>
        <w:t>施基础上按需配建，规模较大的合理划分成几个规模适宜的居住区进行配置。</w:t>
      </w:r>
      <w:bookmarkEnd w:id="162"/>
    </w:p>
    <w:p w14:paraId="6C6DEEA9">
      <w:pPr>
        <w:pStyle w:val="3"/>
        <w:bidi w:val="0"/>
        <w:rPr>
          <w:rFonts w:hint="eastAsia"/>
        </w:rPr>
      </w:pPr>
      <w:bookmarkStart w:id="163" w:name="_Toc2840"/>
      <w:bookmarkStart w:id="164" w:name="_Toc13432"/>
      <w:r>
        <w:rPr>
          <w:rFonts w:hint="eastAsia"/>
        </w:rPr>
        <w:t>城镇更新</w:t>
      </w:r>
      <w:bookmarkEnd w:id="163"/>
      <w:bookmarkEnd w:id="164"/>
    </w:p>
    <w:p w14:paraId="5069C89F">
      <w:pPr>
        <w:pStyle w:val="4"/>
        <w:bidi w:val="0"/>
        <w:rPr>
          <w:rFonts w:hint="eastAsia"/>
        </w:rPr>
      </w:pPr>
      <w:bookmarkStart w:id="165" w:name="_Toc133419348"/>
      <w:r>
        <w:t>推进存量用地盘活利用</w:t>
      </w:r>
    </w:p>
    <w:p w14:paraId="05426617">
      <w:bookmarkStart w:id="166" w:name="_Hlk131095086"/>
      <w:r>
        <w:t>加大存量用地挖潜消化力度，积极推进低效用地减量，鼓励引导各项</w:t>
      </w:r>
      <w:r>
        <w:rPr>
          <w:rFonts w:hint="eastAsia"/>
        </w:rPr>
        <w:t>城镇</w:t>
      </w:r>
      <w:r>
        <w:t>建设节约集约利用土地</w:t>
      </w:r>
      <w:r>
        <w:rPr>
          <w:rFonts w:hint="eastAsia"/>
        </w:rPr>
        <w:t>，</w:t>
      </w:r>
      <w:r>
        <w:t>全面提升土地利用效率。按照属地原则盘活空间，优先用于重点片区建设。推动利用存量建设用地补齐民生公共服务设施短板。严格落实建设用地</w:t>
      </w:r>
      <w:r>
        <w:rPr>
          <w:rFonts w:hint="eastAsia"/>
        </w:rPr>
        <w:t>“</w:t>
      </w:r>
      <w:r>
        <w:t>增存挂钩</w:t>
      </w:r>
      <w:r>
        <w:rPr>
          <w:rFonts w:hint="eastAsia"/>
        </w:rPr>
        <w:t>”</w:t>
      </w:r>
      <w:r>
        <w:t>机制，大力推进批而未供和闲置土地处置，建立闲置土地处置台账，逐宗制定处置方案，确保完成省下达的盘活任务</w:t>
      </w:r>
      <w:bookmarkEnd w:id="166"/>
      <w:r>
        <w:t>。</w:t>
      </w:r>
    </w:p>
    <w:p w14:paraId="5F532A2A">
      <w:pPr>
        <w:pStyle w:val="4"/>
        <w:bidi w:val="0"/>
        <w:rPr>
          <w:rFonts w:hint="eastAsia"/>
        </w:rPr>
      </w:pPr>
      <w:r>
        <w:t>有序推进乡镇有机更新</w:t>
      </w:r>
    </w:p>
    <w:p w14:paraId="148574BD">
      <w:r>
        <w:rPr>
          <w:rFonts w:hint="eastAsia"/>
        </w:rPr>
        <w:t>镇区</w:t>
      </w:r>
      <w:r>
        <w:t>更新策略</w:t>
      </w:r>
      <w:r>
        <w:rPr>
          <w:rFonts w:hint="eastAsia"/>
        </w:rPr>
        <w:t>。</w:t>
      </w:r>
      <w:bookmarkStart w:id="167" w:name="_Hlk131095094"/>
      <w:r>
        <w:t>推进乡镇更新治理进程，促进低效建设用地开发再利用，推进空间形态和功能的城市化转变。</w:t>
      </w:r>
      <w:r>
        <w:rPr>
          <w:rFonts w:hint="eastAsia"/>
        </w:rPr>
        <w:t>在</w:t>
      </w:r>
      <w:r>
        <w:t>建筑质量存在重大安全隐患</w:t>
      </w:r>
      <w:r>
        <w:rPr>
          <w:rFonts w:hint="eastAsia"/>
        </w:rPr>
        <w:t>或</w:t>
      </w:r>
      <w:r>
        <w:t>具有重大基础设施和公共设施建设需要</w:t>
      </w:r>
      <w:r>
        <w:rPr>
          <w:rFonts w:hint="eastAsia"/>
        </w:rPr>
        <w:t>的情况下</w:t>
      </w:r>
      <w:r>
        <w:t>，在政府主导下实施拆除重建，提升建设用地利用效率。对</w:t>
      </w:r>
      <w:r>
        <w:rPr>
          <w:rFonts w:hint="eastAsia"/>
        </w:rPr>
        <w:t>镇区</w:t>
      </w:r>
      <w:r>
        <w:t>内现状部分闲置用房进行盘活，优化功能布局，促使重新焕发活力。推进工业用地集约利用，盘活处置闲置和低效用地，缓解产业用地供需矛盾。以滨水空间更新改造为脉络，因地制宜开展见缝插绿、留白增绿，打造</w:t>
      </w:r>
      <w:r>
        <w:rPr>
          <w:rFonts w:hint="eastAsia"/>
        </w:rPr>
        <w:t>城镇</w:t>
      </w:r>
      <w:r>
        <w:t>优质蓝绿空间，推动</w:t>
      </w:r>
      <w:r>
        <w:rPr>
          <w:rFonts w:hint="eastAsia"/>
        </w:rPr>
        <w:t>城镇</w:t>
      </w:r>
      <w:r>
        <w:t>空间扩容、提质、升级</w:t>
      </w:r>
      <w:bookmarkEnd w:id="167"/>
      <w:r>
        <w:t>。</w:t>
      </w:r>
    </w:p>
    <w:p w14:paraId="5EDC2437">
      <w:r>
        <w:t>统筹划分乡镇更新片区</w:t>
      </w:r>
      <w:r>
        <w:rPr>
          <w:rFonts w:hint="eastAsia"/>
        </w:rPr>
        <w:t>。</w:t>
      </w:r>
      <w:bookmarkStart w:id="168" w:name="_Hlk131095103"/>
      <w:r>
        <w:t>以存量用地为基础，以保护历史文化、保障产业发展、旧</w:t>
      </w:r>
      <w:r>
        <w:rPr>
          <w:rFonts w:hint="eastAsia"/>
        </w:rPr>
        <w:t>镇</w:t>
      </w:r>
      <w:r>
        <w:t>区焕发新活力、完善公共服务等为目标，结合城镇空间、农业空间、生态空间及历史文化要素管控要求，综合考虑</w:t>
      </w:r>
      <w:r>
        <w:rPr>
          <w:rFonts w:hint="eastAsia"/>
        </w:rPr>
        <w:t>城镇</w:t>
      </w:r>
      <w:r>
        <w:t>物质形态、配套设施、基础支撑能力、生态环境等基础条件，划定乡镇更新重点范围。针对</w:t>
      </w:r>
      <w:r>
        <w:rPr>
          <w:rFonts w:hint="eastAsia"/>
        </w:rPr>
        <w:t>镇区</w:t>
      </w:r>
      <w:r>
        <w:t>设施老化，增量空间不足、绿地缺失，着力解决发展中的突出问题，以乡镇更新统筹协调</w:t>
      </w:r>
      <w:r>
        <w:rPr>
          <w:rFonts w:hint="eastAsia"/>
        </w:rPr>
        <w:t>城镇</w:t>
      </w:r>
      <w:r>
        <w:t>存量空间改造，充分发挥存量空间的经济、社会、文化和环境等多方面价值。</w:t>
      </w:r>
      <w:bookmarkEnd w:id="168"/>
      <w:bookmarkStart w:id="169" w:name="_Hlk129183451"/>
    </w:p>
    <w:bookmarkEnd w:id="169"/>
    <w:p w14:paraId="3E663C9B">
      <w:pPr>
        <w:pStyle w:val="3"/>
        <w:bidi w:val="0"/>
        <w:rPr>
          <w:rFonts w:hint="eastAsia"/>
        </w:rPr>
      </w:pPr>
      <w:bookmarkStart w:id="170" w:name="_Toc13910"/>
      <w:bookmarkStart w:id="171" w:name="_Toc152937212"/>
      <w:bookmarkStart w:id="172" w:name="_Toc25002"/>
      <w:r>
        <w:t>公共服务设施</w:t>
      </w:r>
      <w:bookmarkEnd w:id="165"/>
      <w:bookmarkEnd w:id="170"/>
      <w:bookmarkEnd w:id="171"/>
      <w:bookmarkEnd w:id="172"/>
    </w:p>
    <w:p w14:paraId="732FCBFD">
      <w:pPr>
        <w:pStyle w:val="4"/>
        <w:bidi w:val="0"/>
        <w:rPr>
          <w:rFonts w:hint="eastAsia"/>
        </w:rPr>
      </w:pPr>
      <w:r>
        <w:rPr>
          <w:rFonts w:hint="eastAsia"/>
        </w:rPr>
        <w:t>社区生活圈建设引导</w:t>
      </w:r>
    </w:p>
    <w:p w14:paraId="0BB1A645">
      <w:r>
        <w:t>推动</w:t>
      </w:r>
      <w:r>
        <w:rPr>
          <w:rFonts w:hint="eastAsia"/>
        </w:rPr>
        <w:t>镇区</w:t>
      </w:r>
      <w:r>
        <w:t>公共设施布局的优化调整，提高新建地区的公共中心建设标准，扩大公共设施建设规模。至2035年，</w:t>
      </w:r>
      <w:r>
        <w:rPr>
          <w:rFonts w:hint="eastAsia"/>
        </w:rPr>
        <w:t>镇中心区</w:t>
      </w:r>
      <w:r>
        <w:t>各级</w:t>
      </w:r>
      <w:r>
        <w:rPr>
          <w:rFonts w:hint="eastAsia"/>
        </w:rPr>
        <w:t>公共管理与公共服务用地</w:t>
      </w:r>
      <w:r>
        <w:t>面积达到</w:t>
      </w:r>
      <w:r>
        <w:rPr>
          <w:rFonts w:hint="eastAsia"/>
        </w:rPr>
        <w:t>4.93公顷</w:t>
      </w:r>
      <w:r>
        <w:t>。规划老城组团鼓励配套服务功能集中设置，混合利用。</w:t>
      </w:r>
    </w:p>
    <w:p w14:paraId="39445432">
      <w:r>
        <w:rPr>
          <w:rFonts w:hint="eastAsia"/>
        </w:rPr>
        <w:t>打造镇中心区15分钟社区生活圈，强化生活圈内基本服务功能可达性，将生活圈作为功能资源配置和治理的基本单元，鼓励服务中心功能混合，一站式解决餐饮、社交、娱乐、健身以及学习办公等各方面。</w:t>
      </w:r>
    </w:p>
    <w:p w14:paraId="0D5EE5AC">
      <w:pPr>
        <w:pStyle w:val="4"/>
        <w:bidi w:val="0"/>
        <w:rPr>
          <w:rFonts w:hint="eastAsia"/>
        </w:rPr>
      </w:pPr>
      <w:r>
        <w:rPr>
          <w:rFonts w:hint="eastAsia"/>
        </w:rPr>
        <w:t>公共服务设施规划</w:t>
      </w:r>
    </w:p>
    <w:p w14:paraId="0C9DB35B">
      <w:r>
        <w:rPr>
          <w:rFonts w:hint="eastAsia"/>
        </w:rPr>
        <w:t>强化乡镇中心区综合服务辐射功能，完善文化、体育、医疗和养老等公共服务设施配套建设，提升公共服务设施整体服务水平，加快推动高品质生活性服务业发展。</w:t>
      </w:r>
    </w:p>
    <w:p w14:paraId="18F6628F">
      <w:r>
        <w:rPr>
          <w:rFonts w:hint="eastAsia"/>
        </w:rPr>
        <w:t>行政管理设施。为满足服务半径的需求，规划保留原镇中心区镇政府、邮政所、电信分局、税务所、工商所等设施，加强设施服务水平的提升，推动形成综合服务中心。</w:t>
      </w:r>
    </w:p>
    <w:p w14:paraId="3F2FB9C7">
      <w:r>
        <w:rPr>
          <w:rFonts w:hint="eastAsia"/>
        </w:rPr>
        <w:t>教育设施。深化教育改革，全面提高教育质量，合理配置教育资源，改善学校办学条件。推进中小学优质特色化发展，助力实现教育资源均衡化、优质化。推进学前教育普及普惠发展。规划对镇区现状学校及幼儿园进行进一步保留。</w:t>
      </w:r>
    </w:p>
    <w:p w14:paraId="24F6D91E">
      <w:r>
        <w:rPr>
          <w:rFonts w:hint="eastAsia"/>
        </w:rPr>
        <w:t>医疗卫生设施。规划保留普乐堡镇中心卫生院，在原有基础上提级改造，补齐短板，建成规模合理的综合性卫生院，建设现代医疗卫生服务体系，完善妇幼健康服务模式。</w:t>
      </w:r>
    </w:p>
    <w:p w14:paraId="2CF414DD">
      <w:r>
        <w:rPr>
          <w:rFonts w:hint="eastAsia"/>
        </w:rPr>
        <w:t>文化设施。规划文化活动场地与周边的居住、绿地相结合，环境优美，即能满足居民体育锻炼的需要，又可以带动镇中心区的建设开发。</w:t>
      </w:r>
    </w:p>
    <w:p w14:paraId="2AD12845">
      <w:r>
        <w:rPr>
          <w:rFonts w:hint="eastAsia"/>
        </w:rPr>
        <w:t>体育设施。鼓励社会力量建设小型化、多样化体育活动场所。注重室内外体育设施的建设，满足民众在冬季体育运动的需求。建设以“15 分钟健身圈”为基础的全民健身设施网络，鼓励文体设施集中布置。学校体育场所和设施可结合对社会开放，提高学校体育设施利用率，也为市民提供高质量的体育健身场所。</w:t>
      </w:r>
    </w:p>
    <w:p w14:paraId="3502AB92">
      <w:r>
        <w:rPr>
          <w:rFonts w:hint="eastAsia"/>
        </w:rPr>
        <w:t>社会福利设施。充分利用滨水景观、医疗资源，高质量构建全产业链健康养老产业体系。推进医养结合，支持养老机构设立医疗机构，医疗机构开展养老服务。巩固深化居家和社区养老服务改革试点成果，推进养老服务标准化，不断提高养老床位利用率。</w:t>
      </w:r>
    </w:p>
    <w:p w14:paraId="427CC4F9">
      <w:r>
        <w:rPr>
          <w:rFonts w:hint="eastAsia"/>
        </w:rPr>
        <w:t>商业服务设施。提升镇中心区内的沿街商业服务业设施数量及服务水平，改善沿街商业对道路交通的影响。规划保留镇中心区原有的集贸市场，以销售农副产品为主，以满足规划后的合理使用。鼓励居民利用自有宅基地，发展农家院等发展旅游服务、便民商业等设施。</w:t>
      </w:r>
    </w:p>
    <w:p w14:paraId="479D627E">
      <w:pPr>
        <w:pStyle w:val="3"/>
        <w:bidi w:val="0"/>
        <w:rPr>
          <w:rFonts w:hint="eastAsia"/>
        </w:rPr>
      </w:pPr>
      <w:bookmarkStart w:id="173" w:name="_Toc8472"/>
      <w:bookmarkStart w:id="174" w:name="_Toc25542"/>
      <w:bookmarkStart w:id="175" w:name="_Toc152937213"/>
      <w:r>
        <w:rPr>
          <w:rFonts w:hint="eastAsia"/>
        </w:rPr>
        <w:t>道路交通设施</w:t>
      </w:r>
      <w:bookmarkEnd w:id="173"/>
      <w:bookmarkEnd w:id="174"/>
      <w:bookmarkEnd w:id="175"/>
    </w:p>
    <w:p w14:paraId="7BD85409">
      <w:pPr>
        <w:pStyle w:val="4"/>
        <w:bidi w:val="0"/>
        <w:rPr>
          <w:rFonts w:hint="eastAsia"/>
        </w:rPr>
      </w:pPr>
      <w:r>
        <w:rPr>
          <w:rFonts w:hint="eastAsia"/>
        </w:rPr>
        <w:t>建设绿色便捷交通体系</w:t>
      </w:r>
    </w:p>
    <w:p w14:paraId="351CDC6D">
      <w:bookmarkStart w:id="176" w:name="_Hlk131258654"/>
      <w:r>
        <w:rPr>
          <w:rFonts w:hint="eastAsia"/>
        </w:rPr>
        <w:t>镇中心区</w:t>
      </w:r>
      <w:r>
        <w:t>构建过境通道和区内道路系统相结合的路网模式。结合组团化的</w:t>
      </w:r>
      <w:r>
        <w:rPr>
          <w:rFonts w:hint="eastAsia"/>
        </w:rPr>
        <w:t>城镇</w:t>
      </w:r>
      <w:r>
        <w:t>布局，优化</w:t>
      </w:r>
      <w:r>
        <w:rPr>
          <w:rFonts w:hint="eastAsia"/>
        </w:rPr>
        <w:t>城镇</w:t>
      </w:r>
      <w:r>
        <w:t>道路网络结构，构建层次分明、级配合理、网络化、系统化的主次干道体系。</w:t>
      </w:r>
      <w:r>
        <w:rPr>
          <w:rFonts w:hint="eastAsia"/>
        </w:rPr>
        <w:t>镇区</w:t>
      </w:r>
      <w:r>
        <w:t>以打通断头路、改善瓶颈路段为主，</w:t>
      </w:r>
      <w:r>
        <w:rPr>
          <w:rFonts w:hint="eastAsia"/>
        </w:rPr>
        <w:t>城镇</w:t>
      </w:r>
      <w:r>
        <w:t>注重路网形态、间距与用地功能和土地使用强度相适应，差异化控制，充分发挥微循环交通组织，提升用地可达性。居住区遵从</w:t>
      </w:r>
      <w:r>
        <w:rPr>
          <w:rFonts w:hint="eastAsia"/>
        </w:rPr>
        <w:t>“</w:t>
      </w:r>
      <w:r>
        <w:t>小街区、密路网</w:t>
      </w:r>
      <w:r>
        <w:rPr>
          <w:rFonts w:hint="eastAsia"/>
        </w:rPr>
        <w:t>”</w:t>
      </w:r>
      <w:r>
        <w:t>理念，为慢行活动提供更多通道和便利，丰富街道公共活动空间，打造舒适宜居生活空间</w:t>
      </w:r>
      <w:bookmarkEnd w:id="176"/>
      <w:r>
        <w:t>。</w:t>
      </w:r>
      <w:r>
        <w:rPr>
          <w:rFonts w:hint="eastAsia"/>
        </w:rPr>
        <w:t>促进土地节约利用，推动发展开放便捷、尺度适宜、配套完善、邻里和谐的城镇生活街区。</w:t>
      </w:r>
    </w:p>
    <w:p w14:paraId="2F40FE84">
      <w:r>
        <w:rPr>
          <w:rFonts w:hint="eastAsia"/>
        </w:rPr>
        <w:t>优化道路网络布局。镇区道路网采取综合用地布局与交通规划相结合的方式进行规划。镇区路网建设要满足车、人、公交和防灾救护等功能为主。通过合理功能布局、适度降低密度，合理有效的组织交通。避免大拆大建式的道路拓宽对镇区的整体影响；镇区路网规划形成以混合式与自由式相结合的道路网形式。</w:t>
      </w:r>
    </w:p>
    <w:p w14:paraId="6B70DB47">
      <w:pPr>
        <w:pStyle w:val="4"/>
        <w:bidi w:val="0"/>
        <w:rPr>
          <w:rFonts w:hint="eastAsia"/>
        </w:rPr>
      </w:pPr>
      <w:r>
        <w:t>道路等级与职能</w:t>
      </w:r>
    </w:p>
    <w:p w14:paraId="63991E03">
      <w:r>
        <w:t>镇区道路由主干路、次干路、支路等构成。</w:t>
      </w:r>
    </w:p>
    <w:p w14:paraId="04215699">
      <w:r>
        <w:t>生活片区主干路的红线宽度为24米；支路红线宽度分别为</w:t>
      </w:r>
      <w:r>
        <w:rPr>
          <w:rFonts w:hint="eastAsia"/>
        </w:rPr>
        <w:t>8</w:t>
      </w:r>
      <w:r>
        <w:t>米、</w:t>
      </w:r>
      <w:r>
        <w:rPr>
          <w:rFonts w:hint="eastAsia"/>
        </w:rPr>
        <w:t>6</w:t>
      </w:r>
      <w:r>
        <w:t>米。</w:t>
      </w:r>
    </w:p>
    <w:p w14:paraId="0E03E894">
      <w:r>
        <w:t>镇区路道路断面均为一块板。</w:t>
      </w:r>
    </w:p>
    <w:p w14:paraId="46FE23B2">
      <w:pPr>
        <w:pStyle w:val="3"/>
        <w:bidi w:val="0"/>
        <w:rPr>
          <w:rFonts w:hint="eastAsia"/>
        </w:rPr>
      </w:pPr>
      <w:bookmarkStart w:id="177" w:name="_Toc152937214"/>
      <w:bookmarkStart w:id="178" w:name="_Toc5582"/>
      <w:bookmarkStart w:id="179" w:name="_Toc20175"/>
      <w:r>
        <w:rPr>
          <w:rFonts w:hint="eastAsia"/>
        </w:rPr>
        <w:t>市政公用设施</w:t>
      </w:r>
      <w:bookmarkEnd w:id="177"/>
      <w:bookmarkEnd w:id="178"/>
      <w:bookmarkEnd w:id="179"/>
    </w:p>
    <w:p w14:paraId="1EAC4AC5">
      <w:pPr>
        <w:pStyle w:val="4"/>
        <w:bidi w:val="0"/>
        <w:rPr>
          <w:rFonts w:hint="eastAsia"/>
        </w:rPr>
      </w:pPr>
      <w:bookmarkStart w:id="180" w:name="_Toc133419350"/>
      <w:r>
        <w:t>给水</w:t>
      </w:r>
      <w:r>
        <w:rPr>
          <w:rFonts w:hint="eastAsia"/>
        </w:rPr>
        <w:t>设施</w:t>
      </w:r>
      <w:r>
        <w:t>规划</w:t>
      </w:r>
    </w:p>
    <w:p w14:paraId="52BD18A5">
      <w:r>
        <w:rPr>
          <w:rFonts w:hint="eastAsia"/>
        </w:rPr>
        <w:t>用水量预测。规划普乐堡镇居民生活人均用水标准：近期</w:t>
      </w:r>
      <w:r>
        <w:t>190L/（人·d），远期250L/（人·d），</w:t>
      </w:r>
      <w:r>
        <w:rPr>
          <w:rFonts w:hint="eastAsia"/>
        </w:rPr>
        <w:t>普乐堡镇</w:t>
      </w:r>
      <w:r>
        <w:t>区公共建筑用水量按居民生活用水量的25%计算。</w:t>
      </w:r>
      <w:r>
        <w:rPr>
          <w:rFonts w:hint="eastAsia"/>
        </w:rPr>
        <w:t>根据国标《城市给水工程规划规范》（</w:t>
      </w:r>
      <w:r>
        <w:t>GB50282-98）的规定，立足于</w:t>
      </w:r>
      <w:r>
        <w:rPr>
          <w:rFonts w:hint="eastAsia"/>
        </w:rPr>
        <w:t>普乐堡镇</w:t>
      </w:r>
      <w:r>
        <w:t>的现状与发展，考虑可持续发展战略对未来工业单产耗水量的限制，</w:t>
      </w:r>
      <w:r>
        <w:rPr>
          <w:rFonts w:hint="eastAsia"/>
        </w:rPr>
        <w:t>普乐堡镇</w:t>
      </w:r>
      <w:r>
        <w:t>区工业用水量定额，近期取160t/ha*d，远期取150t/ha*d。</w:t>
      </w:r>
      <w:r>
        <w:rPr>
          <w:rFonts w:hint="eastAsia"/>
        </w:rPr>
        <w:t>市政用水包括道路、绿化的浇洒用水和维修施工用水等，考虑普乐堡镇区服务基地职能对基础设施配套的较高要求，取综合生活用水量的</w:t>
      </w:r>
      <w:r>
        <w:t>12.5%。</w:t>
      </w:r>
      <w:r>
        <w:rPr>
          <w:rFonts w:hint="eastAsia"/>
        </w:rPr>
        <w:t>消防用水量，根</w:t>
      </w:r>
      <w:r>
        <w:rPr>
          <w:rFonts w:hint="eastAsia"/>
          <w:lang w:val="en-US" w:eastAsia="zh-CN"/>
        </w:rPr>
        <w:t>据</w:t>
      </w:r>
      <w:r>
        <w:rPr>
          <w:rFonts w:hint="eastAsia"/>
        </w:rPr>
        <w:t>国家标准《建筑设计防火规范》（</w:t>
      </w:r>
      <w:r>
        <w:t>GBJ16-87）的相关规定，近期</w:t>
      </w:r>
      <w:r>
        <w:rPr>
          <w:rFonts w:hint="eastAsia"/>
        </w:rPr>
        <w:t>普乐堡镇</w:t>
      </w:r>
      <w:r>
        <w:t>的人口规模为</w:t>
      </w:r>
      <w:r>
        <w:rPr>
          <w:rFonts w:hint="eastAsia"/>
        </w:rPr>
        <w:t>1.69</w:t>
      </w:r>
      <w:r>
        <w:t>万人，应按同一时间内2次火灾次数、一次灭火用水量45L/s计算；远期</w:t>
      </w:r>
      <w:r>
        <w:rPr>
          <w:rFonts w:hint="eastAsia"/>
        </w:rPr>
        <w:t>1.68</w:t>
      </w:r>
      <w:r>
        <w:t>万人，同一时间内2次火灾次数、一次灭火用水量55L/s，每次灭火2小时。</w:t>
      </w:r>
      <w:r>
        <w:rPr>
          <w:rFonts w:hint="eastAsia"/>
        </w:rPr>
        <w:t>未预见用水量，参照一般镇区的管网实际运营情况，取日常镇区用水量的</w:t>
      </w:r>
      <w:r>
        <w:t>10%。</w:t>
      </w:r>
    </w:p>
    <w:p w14:paraId="3B674ACF">
      <w:r>
        <w:rPr>
          <w:rFonts w:hint="eastAsia"/>
        </w:rPr>
        <w:t>水源规划。普乐堡镇现有给水设施，水质良好，其含水层分布稳定，供水能力为</w:t>
      </w:r>
      <w:r>
        <w:t>200立方米/天，目前主要供给</w:t>
      </w:r>
      <w:r>
        <w:rPr>
          <w:rFonts w:hint="eastAsia"/>
        </w:rPr>
        <w:t>普乐堡镇</w:t>
      </w:r>
      <w:r>
        <w:t>的行政管理和公共服务设施，为枝状供水方式。居民</w:t>
      </w:r>
      <w:r>
        <w:rPr>
          <w:rFonts w:hint="eastAsia"/>
        </w:rPr>
        <w:t>用水均各自打井，采用潜水泵抽水，井径在</w:t>
      </w:r>
      <w:r>
        <w:t>215</w:t>
      </w:r>
      <w:r>
        <w:rPr>
          <w:rFonts w:hint="eastAsia"/>
        </w:rPr>
        <w:t>毫米之间，井深在</w:t>
      </w:r>
      <w:r>
        <w:t>65米左右。</w:t>
      </w:r>
      <w:r>
        <w:rPr>
          <w:rFonts w:hint="eastAsia"/>
        </w:rPr>
        <w:t>规划扩建现有给水设施，</w:t>
      </w:r>
      <w:r>
        <w:t>规划用水量8000m</w:t>
      </w:r>
      <w:r>
        <w:rPr>
          <w:vertAlign w:val="superscript"/>
        </w:rPr>
        <w:t>3</w:t>
      </w:r>
      <w:r>
        <w:t>/d，净水需求6500m</w:t>
      </w:r>
      <w:r>
        <w:rPr>
          <w:vertAlign w:val="superscript"/>
        </w:rPr>
        <w:t>3</w:t>
      </w:r>
      <w:r>
        <w:t>/d。规划集中供水普及率达到100%。规划划定水源点周围200米范围内为地下水饮用水源保护区，水源保护区内不得修建有污染企业、度假村、游乐园、疗养院及居住区等；沉淀池和清水池外围不小于10米的范围内，不得设立生活居住区和修建禽畜饲养场、渗水厕所、渗水坑、堆放废渣或铺设污水管道，不得进行破坏深层土层的活动。加强水源保护区的水土保持，种植水源涵养林，合理利用自然资源，维持生态良性循环。水源保护区内，不得从事一切可能污染水源的活动，并应设有明显标志。加强水源地水质的调查研究，定时抽查监测地下水水质，加强对水源地的控制和保护。</w:t>
      </w:r>
    </w:p>
    <w:p w14:paraId="04ADAB03">
      <w:r>
        <w:rPr>
          <w:rFonts w:hint="eastAsia"/>
        </w:rPr>
        <w:t>管网规划。</w:t>
      </w:r>
      <w:r>
        <w:t>考虑远期发展需求，</w:t>
      </w:r>
      <w:r>
        <w:rPr>
          <w:rFonts w:hint="eastAsia"/>
        </w:rPr>
        <w:t>结合普乐堡镇多组团的布局模式，</w:t>
      </w:r>
      <w:r>
        <w:t>市政给水管网需采用多水源统一供水系统，其管网采用环状加枝状的形式：沿主要道路布置环状连通管道，其它道路以枝状向各用地内延伸，向周边供水。</w:t>
      </w:r>
    </w:p>
    <w:p w14:paraId="15865454">
      <w:pPr>
        <w:pStyle w:val="4"/>
        <w:bidi w:val="0"/>
        <w:rPr>
          <w:rFonts w:hint="eastAsia"/>
        </w:rPr>
      </w:pPr>
      <w:r>
        <w:rPr>
          <w:rFonts w:hint="eastAsia"/>
        </w:rPr>
        <w:t>雨水设施规划</w:t>
      </w:r>
    </w:p>
    <w:p w14:paraId="5D5DE3DE">
      <w:r>
        <w:rPr>
          <w:rFonts w:hint="eastAsia"/>
        </w:rPr>
        <w:t>雨水工程。根据道路、地形坡向设置雨水系统，雨水顺地形就近排入水体。雨水系统与城镇水系、城镇防洪相结合，雨水采用与城镇排涝系统相结合的方式排放。</w:t>
      </w:r>
    </w:p>
    <w:p w14:paraId="75FBB52E">
      <w:pPr>
        <w:pStyle w:val="4"/>
        <w:bidi w:val="0"/>
        <w:rPr>
          <w:rFonts w:hint="eastAsia"/>
        </w:rPr>
      </w:pPr>
      <w:r>
        <w:t>排水</w:t>
      </w:r>
      <w:r>
        <w:rPr>
          <w:rFonts w:hint="eastAsia"/>
        </w:rPr>
        <w:t>设施</w:t>
      </w:r>
      <w:r>
        <w:t>规划</w:t>
      </w:r>
    </w:p>
    <w:p w14:paraId="54629760">
      <w:r>
        <w:rPr>
          <w:rFonts w:hint="eastAsia"/>
        </w:rPr>
        <w:t>污水量预测。生活污水量包括居住生活污水和公共建筑生活污水这两项。普乐堡镇</w:t>
      </w:r>
      <w:r>
        <w:t>污水</w:t>
      </w:r>
      <w:r>
        <w:rPr>
          <w:rFonts w:hint="eastAsia"/>
        </w:rPr>
        <w:t>量</w:t>
      </w:r>
      <w:r>
        <w:t>规划参照标准，确定为80%的总用水量</w:t>
      </w:r>
      <w:r>
        <w:rPr>
          <w:rFonts w:hint="eastAsia"/>
        </w:rPr>
        <w:t>，工业污水按照工业用水量的</w:t>
      </w:r>
      <w:r>
        <w:t>80%计。</w:t>
      </w:r>
    </w:p>
    <w:p w14:paraId="65562CD8">
      <w:r>
        <w:rPr>
          <w:rFonts w:hint="eastAsia"/>
        </w:rPr>
        <w:t>管网规划。污水管网系统采用统一的枝状排水系统，污水管网分区汇集，经支路统一排向主干管线，雨水分片区排放，就近排入周边水域。污水管道根据地形地势，结合规划道路布置。收集的污水经污水支管、污水干管和污水主干管排入污水处理厂处理。街道上污水管径最小为</w:t>
      </w:r>
      <w:r>
        <w:t>d400mm。污水管材采用钢</w:t>
      </w:r>
      <w:r>
        <w:rPr>
          <w:rFonts w:hint="eastAsia"/>
        </w:rPr>
        <w:t>筋混凝土管或硬聚乙烯双壁波纹管</w:t>
      </w:r>
      <w:r>
        <w:t>。</w:t>
      </w:r>
    </w:p>
    <w:p w14:paraId="360334AF">
      <w:pPr>
        <w:pStyle w:val="4"/>
        <w:bidi w:val="0"/>
        <w:rPr>
          <w:rFonts w:hint="eastAsia"/>
        </w:rPr>
      </w:pPr>
      <w:r>
        <w:t>供电</w:t>
      </w:r>
      <w:r>
        <w:rPr>
          <w:rFonts w:hint="eastAsia"/>
        </w:rPr>
        <w:t>设施</w:t>
      </w:r>
      <w:r>
        <w:t>规划</w:t>
      </w:r>
    </w:p>
    <w:p w14:paraId="3408EBBA">
      <w:r>
        <w:rPr>
          <w:rFonts w:hint="eastAsia"/>
        </w:rPr>
        <w:t>电源规划。根据普乐堡镇区近远期项目的需要，保留现有</w:t>
      </w:r>
      <w:r>
        <w:t>变电</w:t>
      </w:r>
      <w:r>
        <w:rPr>
          <w:rFonts w:hint="eastAsia"/>
        </w:rPr>
        <w:t>所。</w:t>
      </w:r>
    </w:p>
    <w:p w14:paraId="5548035A">
      <w:r>
        <w:rPr>
          <w:rFonts w:hint="eastAsia"/>
        </w:rPr>
        <w:t>供电设施规划。</w:t>
      </w:r>
      <w:r>
        <w:t>按规划路径逐步调整架空配电线路，并应适当增加高度、缩小档距，以提高导线对地距离。在镇区主要干道和景观路的配电线路要求埋地，控制</w:t>
      </w:r>
      <w:r>
        <w:rPr>
          <w:rFonts w:hint="eastAsia"/>
        </w:rPr>
        <w:t>城镇</w:t>
      </w:r>
      <w:r>
        <w:t>景观。10KV配电网实现“手拉手”结线，开环运行达到互供互带接线方式。原则上电力线路应设在路的东侧及南侧。</w:t>
      </w:r>
    </w:p>
    <w:p w14:paraId="46B58A28">
      <w:r>
        <w:rPr>
          <w:rFonts w:hint="eastAsia"/>
        </w:rPr>
        <w:t>电力网布置。与普乐堡镇的用地布局相配合，普乐堡镇电力网络布置按照中压和高压两个等级分别布设。镇区的中压网等级为</w:t>
      </w:r>
      <w:r>
        <w:t>10KV。远期目标网的供电方式采用双回或多回树干式结构，必要时也可采用单环或双环网开环运行。</w:t>
      </w:r>
      <w:r>
        <w:rPr>
          <w:rFonts w:hint="eastAsia"/>
        </w:rPr>
        <w:t>普乐堡镇中心区重要用户或大用户采用单回或多回辐射式专线，其余用户为树干式配网供电，变电站低压侧出线间隔</w:t>
      </w:r>
      <w:r>
        <w:t>8～10条10KV馈路。</w:t>
      </w:r>
      <w:r>
        <w:rPr>
          <w:rFonts w:hint="eastAsia"/>
        </w:rPr>
        <w:t>原有电力线路网络应在近期道路建设工程中逐步调整，形成沿主要城镇道路埋地敷设、供电区域分布合理的供电网络。</w:t>
      </w:r>
    </w:p>
    <w:p w14:paraId="3D82010A">
      <w:pPr>
        <w:pStyle w:val="4"/>
        <w:bidi w:val="0"/>
        <w:rPr>
          <w:rFonts w:hint="eastAsia"/>
        </w:rPr>
      </w:pPr>
      <w:r>
        <w:t>通信</w:t>
      </w:r>
      <w:r>
        <w:rPr>
          <w:rFonts w:hint="eastAsia"/>
        </w:rPr>
        <w:t>设施</w:t>
      </w:r>
      <w:r>
        <w:t>规划</w:t>
      </w:r>
    </w:p>
    <w:p w14:paraId="3F6EB4AD">
      <w:r>
        <w:rPr>
          <w:rFonts w:hint="eastAsia"/>
        </w:rPr>
        <w:t>邮政工程。以加快邮件传递速度为主，以增强自主邮递和邮件处理能力为重点，形成一个网点布局合理、技术先进、邮运快捷、管理严格的现代化邮政通信网。</w:t>
      </w:r>
    </w:p>
    <w:p w14:paraId="151614BC">
      <w:r>
        <w:rPr>
          <w:rFonts w:hint="eastAsia"/>
        </w:rPr>
        <w:t>电信网络规划。统一规划普乐堡镇区内信号传输通道，沿道路敷设于道路西侧或北侧（现状管线不便改造时可暂保留原有线位），每条道路原则上只设一条管位，与电力线路分侧布置于道路两旁人行道上。加强基站建设，中远期建设本地交换局，加大网络覆盖，并逐步建设专用长途主干传输网。在发展有线通讯的同时，还将使用卫星数字微波通信以加强对外线路可靠性，并应注意保护基站及发射天线周围的净空环境及对干扰源的控制。</w:t>
      </w:r>
    </w:p>
    <w:p w14:paraId="0B263981">
      <w:pPr>
        <w:pStyle w:val="4"/>
        <w:bidi w:val="0"/>
        <w:rPr>
          <w:rFonts w:hint="eastAsia"/>
        </w:rPr>
      </w:pPr>
      <w:r>
        <w:t>燃气</w:t>
      </w:r>
      <w:r>
        <w:rPr>
          <w:rFonts w:hint="eastAsia"/>
        </w:rPr>
        <w:t>设施</w:t>
      </w:r>
      <w:r>
        <w:t>规划</w:t>
      </w:r>
    </w:p>
    <w:p w14:paraId="5478CF19">
      <w:r>
        <w:rPr>
          <w:rFonts w:hint="eastAsia"/>
        </w:rPr>
        <w:t>气源选择。规划普乐堡镇镇区远期供气气源以天然气为主，近期仍以罐装液化气为主。</w:t>
      </w:r>
    </w:p>
    <w:p w14:paraId="39ADC5A1">
      <w:r>
        <w:rPr>
          <w:rFonts w:hint="eastAsia"/>
        </w:rPr>
        <w:t>管网布置。</w:t>
      </w:r>
      <w:r>
        <w:t>规划管网主干管网连接成环，并与枝状管网组成密集的燃气输气管网，以保证输气的可靠性。管网采用中、低压二级管网，低压燃气管道在</w:t>
      </w:r>
      <w:r>
        <w:rPr>
          <w:rFonts w:hint="eastAsia"/>
        </w:rPr>
        <w:t>居住片区</w:t>
      </w:r>
      <w:r>
        <w:t>内部的道路下敷设，这样既可保证管道两侧均能供气，又可减少主要干道的管线位置占地。管道应尽量少穿公路、沟渠和其它大型构筑物。管网避免与高压电缆平行敷设。</w:t>
      </w:r>
      <w:r>
        <w:rPr>
          <w:rFonts w:hint="eastAsia"/>
        </w:rPr>
        <w:t>中、低压调压站的服务半径</w:t>
      </w:r>
      <w:r>
        <w:t>0.5～1km，该地区调压站都布置在负荷中心，以减少配气管道的管径。考虑调压站的安全性，多布置在绿地之中，由于管网系统布置为中低压两极输配系统，调压站与其它建筑的安全距离不应小于12m。中、低压调压站的建筑面积应为15～40</w:t>
      </w:r>
      <w:r>
        <w:rPr>
          <w:rFonts w:hint="eastAsia" w:ascii="Segoe UI Symbol" w:hAnsi="Segoe UI Symbol" w:eastAsia="Segoe UI Symbol" w:cs="Segoe UI Symbol"/>
        </w:rPr>
        <w:t>㎡</w:t>
      </w:r>
      <w:r>
        <w:t>。</w:t>
      </w:r>
    </w:p>
    <w:p w14:paraId="5A837945">
      <w:pPr>
        <w:pStyle w:val="4"/>
        <w:bidi w:val="0"/>
        <w:rPr>
          <w:rFonts w:hint="eastAsia"/>
        </w:rPr>
      </w:pPr>
      <w:r>
        <w:t>供热</w:t>
      </w:r>
      <w:r>
        <w:rPr>
          <w:rFonts w:hint="eastAsia"/>
        </w:rPr>
        <w:t>设施</w:t>
      </w:r>
      <w:r>
        <w:t>规划</w:t>
      </w:r>
    </w:p>
    <w:p w14:paraId="00D0265C">
      <w:r>
        <w:rPr>
          <w:rFonts w:hint="eastAsia"/>
        </w:rPr>
        <w:t>热源建设。远期规划建设集中供热锅炉房</w:t>
      </w:r>
      <w:r>
        <w:t>。</w:t>
      </w:r>
    </w:p>
    <w:p w14:paraId="4C5C462D">
      <w:r>
        <w:rPr>
          <w:rFonts w:hint="eastAsia"/>
        </w:rPr>
        <w:t>管网规划。热网为闭式双管循环系统。热力管网采用地下敷设。热力管道采用直缝焊接钢管。热力管道保温采用当地习惯作法或采用预制保温管（保温层为硬质聚氨酯发泡或改性脲酸硬质泡沫，保护层为高密度聚乙烯管）。</w:t>
      </w:r>
    </w:p>
    <w:p w14:paraId="0AFD1361">
      <w:pPr>
        <w:pStyle w:val="4"/>
        <w:bidi w:val="0"/>
        <w:rPr>
          <w:rFonts w:hint="eastAsia"/>
        </w:rPr>
      </w:pPr>
      <w:r>
        <w:t>环卫工程规划</w:t>
      </w:r>
    </w:p>
    <w:p w14:paraId="29DD25D0">
      <w:bookmarkStart w:id="181" w:name="_bookmark144"/>
      <w:bookmarkEnd w:id="181"/>
      <w:bookmarkStart w:id="182" w:name="_bookmark142"/>
      <w:bookmarkEnd w:id="182"/>
      <w:bookmarkStart w:id="183" w:name="_bookmark141"/>
      <w:bookmarkEnd w:id="183"/>
      <w:r>
        <w:rPr>
          <w:rFonts w:hint="eastAsia"/>
        </w:rPr>
        <w:t>工业污染处理。镇区内严格控制污染工业项目建设，以防治大气污染和水污染为重点。加大企业技术改造和新产品开发力度，发展低能耗、无污染的高技术含量、高附加值产业。</w:t>
      </w:r>
    </w:p>
    <w:p w14:paraId="24007189">
      <w:r>
        <w:t>水污染防治</w:t>
      </w:r>
      <w:r>
        <w:rPr>
          <w:rFonts w:hint="eastAsia"/>
        </w:rPr>
        <w:t>。加快建设污水处理设施，对污水排放进行全面管理，鼓励市场用水，加强污水利用工作，提高水资源利用效率；保护水资源，防止地表水和地下水污染。</w:t>
      </w:r>
    </w:p>
    <w:p w14:paraId="4010477F">
      <w:r>
        <w:t>大气污染防治</w:t>
      </w:r>
      <w:r>
        <w:rPr>
          <w:rFonts w:hint="eastAsia"/>
        </w:rPr>
        <w:t>。加强镇区大气环境治理力度，按照镇区大气环境要求，控制大气污染源，调整能源结构，鼓励用电、用气，积极发展清洁能源。</w:t>
      </w:r>
    </w:p>
    <w:p w14:paraId="4B93ABDA">
      <w:r>
        <w:t>固体废弃物综合治理</w:t>
      </w:r>
      <w:r>
        <w:rPr>
          <w:rFonts w:hint="eastAsia"/>
        </w:rPr>
        <w:t>。积极开展城镇垃圾无害化处理，实现城镇垃圾无害化、资源化、建立废旧物用设施，实行统一经营管理。</w:t>
      </w:r>
    </w:p>
    <w:p w14:paraId="7B34A66E">
      <w:r>
        <w:t>噪声防治</w:t>
      </w:r>
      <w:r>
        <w:rPr>
          <w:rFonts w:hint="eastAsia"/>
        </w:rPr>
        <w:t>控制交通、服务业工业及施工噪声，建设绿色隔声屏障，主要交通干线设立吸噪、减噪设施。</w:t>
      </w:r>
    </w:p>
    <w:p w14:paraId="2DE1BACE">
      <w:r>
        <w:rPr>
          <w:rFonts w:hint="eastAsia"/>
        </w:rPr>
        <w:t>加强城镇生态环境建设，增加镇区植被覆盖率，配套建设镇区各类绿地。合理开发生态资源，废弃土地利用率达到</w:t>
      </w:r>
      <w:r>
        <w:t>100%。</w:t>
      </w:r>
    </w:p>
    <w:p w14:paraId="47C83997">
      <w:r>
        <w:rPr>
          <w:rFonts w:hint="eastAsia"/>
        </w:rPr>
        <w:t>环卫设施规划。规划环境卫生设施用地分散布置于镇区各片区</w:t>
      </w:r>
      <w:r>
        <w:t>。增加环卫人力。垃圾收集方式采用袋装、桶装、垃圾屋收集，废物箱主要设置在商业街和</w:t>
      </w:r>
      <w:r>
        <w:rPr>
          <w:rFonts w:hint="eastAsia"/>
        </w:rPr>
        <w:t>城镇</w:t>
      </w:r>
      <w:r>
        <w:t>主、次干路两侧。交通干道100～200米，一般道路200～400米间隔设置</w:t>
      </w:r>
      <w:r>
        <w:rPr>
          <w:rFonts w:hint="eastAsia"/>
        </w:rPr>
        <w:t>，</w:t>
      </w:r>
      <w:r>
        <w:t>在规划期内，按每人每日生成垃圾1.0千克。公共厕所沿主要繁华道路300～500米设置一座，镇区产生的粪便排入下水道系统和污水一并处理。</w:t>
      </w:r>
    </w:p>
    <w:p w14:paraId="67563E01">
      <w:pPr>
        <w:pStyle w:val="3"/>
        <w:bidi w:val="0"/>
        <w:rPr>
          <w:rFonts w:hint="eastAsia"/>
        </w:rPr>
      </w:pPr>
      <w:bookmarkStart w:id="184" w:name="_Toc152937216"/>
      <w:bookmarkStart w:id="185" w:name="_Toc26984"/>
      <w:bookmarkStart w:id="186" w:name="_Toc20043"/>
      <w:r>
        <w:t>四线管控</w:t>
      </w:r>
      <w:bookmarkEnd w:id="180"/>
      <w:bookmarkEnd w:id="184"/>
      <w:bookmarkEnd w:id="185"/>
      <w:bookmarkEnd w:id="186"/>
    </w:p>
    <w:p w14:paraId="729598A2">
      <w:pPr>
        <w:pStyle w:val="4"/>
        <w:bidi w:val="0"/>
        <w:rPr>
          <w:rFonts w:hint="eastAsia"/>
        </w:rPr>
      </w:pPr>
      <w:r>
        <w:t>城市绿线划定</w:t>
      </w:r>
      <w:r>
        <w:rPr>
          <w:rFonts w:hint="eastAsia"/>
        </w:rPr>
        <w:t>和管控要求</w:t>
      </w:r>
    </w:p>
    <w:p w14:paraId="700D6ABF">
      <w:pPr>
        <w:rPr>
          <w:u w:val="single"/>
        </w:rPr>
      </w:pPr>
      <w:r>
        <w:rPr>
          <w:rFonts w:hint="eastAsia"/>
          <w:u w:val="single"/>
        </w:rPr>
        <w:t>将对居民生活有重要影响的重要公园绿地、防护绿地和广场用地等结构性城镇绿地和结构性生态绿地纳入绿线管控。至2035年末，纳入绿线管控的城镇绿地总面积不少于</w:t>
      </w:r>
      <w:r>
        <w:rPr>
          <w:u w:val="single"/>
        </w:rPr>
        <w:t xml:space="preserve">0.64 </w:t>
      </w:r>
      <w:r>
        <w:rPr>
          <w:rFonts w:hint="eastAsia"/>
          <w:u w:val="single"/>
        </w:rPr>
        <w:t>公顷。总规模不减少前提下，绿线的具体边界、定位可在详细规划编制和实施中落实，绿线的调整应符合国家有关规定。按照《城市绿线管理办法》及相关空间管控要求，加强绿地保护与管理，严格管控侵占绿地的各项建设行为。</w:t>
      </w:r>
    </w:p>
    <w:p w14:paraId="4DC510CE">
      <w:pPr>
        <w:pStyle w:val="4"/>
        <w:bidi w:val="0"/>
        <w:rPr>
          <w:rFonts w:hint="eastAsia"/>
        </w:rPr>
      </w:pPr>
      <w:r>
        <w:t>城市黄线</w:t>
      </w:r>
      <w:r>
        <w:rPr>
          <w:rFonts w:hint="eastAsia"/>
        </w:rPr>
        <w:t>划定和管控要求</w:t>
      </w:r>
    </w:p>
    <w:p w14:paraId="1C228C93">
      <w:pPr>
        <w:rPr>
          <w:u w:val="single"/>
        </w:rPr>
      </w:pPr>
      <w:bookmarkStart w:id="187" w:name="_Hlk131093420"/>
      <w:r>
        <w:rPr>
          <w:rFonts w:hint="eastAsia"/>
          <w:u w:val="single"/>
        </w:rPr>
        <w:t>将重要高速公路和铁路廊道用地，铁路站场、主要公路客运站、大型停车场，大型给水设施、排水设施、电力设施、通信设施、燃气设施、热力设施、环卫设施等划入城镇黄线范围进行严格管控。至2035年，规划黄线0.22公顷。纳入黄线管控的线性设施满足走向不改变、服务片区不改变的前提下，面状设施用地规模不减小、服务功能不减弱的前提下，黄线的具体边界、定位可在详细规划编制和实施中落实，黄线的调整应符合国家有关规定。按照《城市黄线管理办法》及相关空间管控要求，对黄线进行严格管理。城市黄线控制范围除保障设施自身运行安全外，应考虑与周围其他建（构）筑物的间距要求，对现有损坏或影响城镇基础设施安全、正常运作的用地，应当限期整改或拆除。</w:t>
      </w:r>
      <w:bookmarkEnd w:id="187"/>
    </w:p>
    <w:p w14:paraId="74779FCB">
      <w:pPr>
        <w:pStyle w:val="4"/>
        <w:bidi w:val="0"/>
        <w:rPr>
          <w:rFonts w:hint="eastAsia"/>
        </w:rPr>
      </w:pPr>
      <w:r>
        <w:t>城市</w:t>
      </w:r>
      <w:r>
        <w:rPr>
          <w:rFonts w:hint="eastAsia"/>
        </w:rPr>
        <w:t>紫</w:t>
      </w:r>
      <w:r>
        <w:t>线划定</w:t>
      </w:r>
      <w:r>
        <w:rPr>
          <w:rFonts w:hint="eastAsia"/>
        </w:rPr>
        <w:t>和管控要求</w:t>
      </w:r>
    </w:p>
    <w:p w14:paraId="2C3A1806">
      <w:r>
        <w:rPr>
          <w:rFonts w:hint="eastAsia"/>
        </w:rPr>
        <w:t>普乐堡镇中心区不涉及城市紫线。</w:t>
      </w:r>
    </w:p>
    <w:p w14:paraId="3B558A31">
      <w:pPr>
        <w:pStyle w:val="3"/>
        <w:bidi w:val="0"/>
        <w:rPr>
          <w:rFonts w:hint="eastAsia"/>
        </w:rPr>
      </w:pPr>
      <w:bookmarkStart w:id="188" w:name="_Toc4097"/>
      <w:bookmarkStart w:id="189" w:name="_Toc152937217"/>
      <w:bookmarkStart w:id="190" w:name="_Toc10072"/>
      <w:r>
        <w:rPr>
          <w:rFonts w:hint="eastAsia"/>
        </w:rPr>
        <w:t>开发强度</w:t>
      </w:r>
      <w:bookmarkEnd w:id="188"/>
      <w:bookmarkEnd w:id="189"/>
      <w:bookmarkEnd w:id="190"/>
    </w:p>
    <w:p w14:paraId="5BA34973">
      <w:pPr>
        <w:pStyle w:val="4"/>
        <w:bidi w:val="0"/>
        <w:rPr>
          <w:rFonts w:hint="eastAsia"/>
        </w:rPr>
      </w:pPr>
      <w:r>
        <w:rPr>
          <w:rFonts w:hint="eastAsia"/>
        </w:rPr>
        <w:t>高度控制指引</w:t>
      </w:r>
    </w:p>
    <w:p w14:paraId="22459DD7">
      <w:r>
        <w:rPr>
          <w:rFonts w:hint="eastAsia"/>
        </w:rPr>
        <w:t>加强高度控制管控，按照分级分类的原则进行引导，将开发边界内用地分为二个高度分区。</w:t>
      </w:r>
    </w:p>
    <w:p w14:paraId="63C50B82">
      <w:r>
        <w:rPr>
          <w:rFonts w:hint="eastAsia"/>
        </w:rPr>
        <w:t>一级控制区：核心地区，沿中心街两侧以低层建筑为主；建筑高度控制在10-15米。</w:t>
      </w:r>
    </w:p>
    <w:p w14:paraId="1957623B">
      <w:r>
        <w:rPr>
          <w:rFonts w:hint="eastAsia"/>
        </w:rPr>
        <w:t>二级控制区：其他建设地区，以多层建筑为主；建筑高度控制在15-20米。</w:t>
      </w:r>
    </w:p>
    <w:p w14:paraId="48602968">
      <w:r>
        <w:rPr>
          <w:rFonts w:hint="eastAsia"/>
        </w:rPr>
        <w:t>各个分区的建筑高度应严格遵守该区域的控制要求，如有突破需经过专项论证。</w:t>
      </w:r>
    </w:p>
    <w:p w14:paraId="2C21488F">
      <w:pPr>
        <w:pStyle w:val="4"/>
        <w:bidi w:val="0"/>
        <w:rPr>
          <w:rFonts w:hint="eastAsia"/>
        </w:rPr>
      </w:pPr>
      <w:r>
        <w:rPr>
          <w:rFonts w:hint="eastAsia"/>
        </w:rPr>
        <w:t>开发强度分区指引</w:t>
      </w:r>
    </w:p>
    <w:p w14:paraId="13E95E42">
      <w:r>
        <w:rPr>
          <w:rFonts w:hint="eastAsia"/>
        </w:rPr>
        <w:t>镇中心区城镇建设用地开发强度按二级控制，实行差异化的土地开发强度管制。</w:t>
      </w:r>
    </w:p>
    <w:p w14:paraId="7AD1C850">
      <w:r>
        <w:rPr>
          <w:rFonts w:hint="eastAsia"/>
        </w:rPr>
        <w:t>I级强度区（容积率≤0.8）以低层居住建筑为主，主要为绿地广场、市政公用设施、公共管理与公共服务等用地；</w:t>
      </w:r>
    </w:p>
    <w:p w14:paraId="5CFEAA0F">
      <w:r>
        <w:rPr>
          <w:rFonts w:hint="eastAsia"/>
        </w:rPr>
        <w:t>Ⅱ级强度区（0.9＜容积率≤2.0）主要集中在居住用地、商业用地和产业用地。</w:t>
      </w:r>
    </w:p>
    <w:p w14:paraId="30CEEB2D">
      <w:r>
        <w:rPr>
          <w:rFonts w:hint="eastAsia"/>
        </w:rPr>
        <w:t>各具体建设用地的容积率和建筑密度由下一步控制性详细规划予以落实。</w:t>
      </w:r>
    </w:p>
    <w:bookmarkEnd w:id="93"/>
    <w:p w14:paraId="0D20DC24">
      <w:pPr>
        <w:pStyle w:val="2"/>
        <w:bidi w:val="0"/>
        <w:rPr>
          <w:rFonts w:hint="eastAsia"/>
        </w:rPr>
      </w:pPr>
      <w:bookmarkStart w:id="191" w:name="_Toc6522"/>
      <w:bookmarkStart w:id="192" w:name="_Toc152937226"/>
      <w:bookmarkStart w:id="193" w:name="_Toc17555"/>
      <w:r>
        <w:rPr>
          <w:rFonts w:hint="eastAsia"/>
        </w:rPr>
        <w:t>规划传导与近期建设</w:t>
      </w:r>
      <w:bookmarkEnd w:id="191"/>
      <w:bookmarkEnd w:id="192"/>
      <w:bookmarkEnd w:id="193"/>
    </w:p>
    <w:p w14:paraId="40AA0CCC">
      <w:pPr>
        <w:pStyle w:val="3"/>
        <w:bidi w:val="0"/>
      </w:pPr>
      <w:bookmarkStart w:id="194" w:name="_Toc31923"/>
      <w:bookmarkStart w:id="195" w:name="_Toc19243"/>
      <w:bookmarkStart w:id="196" w:name="_Toc133419369"/>
      <w:r>
        <w:rPr>
          <w:rFonts w:hint="eastAsia"/>
        </w:rPr>
        <w:t>加强党的领导</w:t>
      </w:r>
      <w:bookmarkEnd w:id="194"/>
      <w:bookmarkEnd w:id="195"/>
    </w:p>
    <w:p w14:paraId="56B9BF08">
      <w:pPr>
        <w:pStyle w:val="4"/>
        <w:bidi w:val="0"/>
        <w:rPr>
          <w:rFonts w:hint="eastAsia"/>
        </w:rPr>
      </w:pPr>
      <w:r>
        <w:rPr>
          <w:rFonts w:hint="eastAsia"/>
        </w:rPr>
        <w:t>强化党对国土空间规划的全面领导</w:t>
      </w:r>
    </w:p>
    <w:p w14:paraId="2EE27657">
      <w:bookmarkStart w:id="197" w:name="_Hlk131413673"/>
      <w:r>
        <w:rPr>
          <w:rFonts w:hint="eastAsia"/>
        </w:rPr>
        <w:t>深入学习贯彻习近平新时代中国特色社会主义思想，深刻领悟“两个确立”的决定性意义，增强“四个意识”、坚定“四个自信”、做到“两个维护”，不断提高政治判断力、政治领悟力、政治执行力，充分发挥党总揽全局、协调各方的领导核心作用，把党的领导贯彻到国土空间规划编制实施全过程各领域各环节。</w:t>
      </w:r>
      <w:bookmarkEnd w:id="197"/>
    </w:p>
    <w:p w14:paraId="40E2B8AE">
      <w:pPr>
        <w:pStyle w:val="4"/>
        <w:bidi w:val="0"/>
        <w:rPr>
          <w:rFonts w:hint="eastAsia"/>
        </w:rPr>
      </w:pPr>
      <w:r>
        <w:rPr>
          <w:rFonts w:hint="eastAsia"/>
        </w:rPr>
        <w:t>落实地方党委和政府国土空间规划管理主体责任</w:t>
      </w:r>
    </w:p>
    <w:p w14:paraId="54D3B337">
      <w:bookmarkStart w:id="198" w:name="_Hlk131413678"/>
      <w:r>
        <w:rPr>
          <w:rFonts w:hint="eastAsia"/>
        </w:rPr>
        <w:t>坚持“多规合一”，不在国土空间规划体系之外另设其他空间规划。强化规划严肃性，规划一经批准，任何部门和个人不得随意修改、违规变更。规划实施中的重大事项或重大调整，应及时按程序向上级党委政府请示报告。</w:t>
      </w:r>
      <w:bookmarkEnd w:id="198"/>
    </w:p>
    <w:p w14:paraId="588F342C">
      <w:pPr>
        <w:pStyle w:val="4"/>
        <w:bidi w:val="0"/>
        <w:rPr>
          <w:rFonts w:hint="eastAsia"/>
        </w:rPr>
      </w:pPr>
      <w:r>
        <w:rPr>
          <w:rFonts w:hint="eastAsia"/>
        </w:rPr>
        <w:t>加强部门协同联动</w:t>
      </w:r>
    </w:p>
    <w:p w14:paraId="08D16B1B">
      <w:r>
        <w:rPr>
          <w:rFonts w:hint="eastAsia"/>
        </w:rPr>
        <w:t>建立健全国土空间规划委员会制度，加强部门协同，进一步完善国土空间规划编制实施管理的配套措施，对国土空间规划编制实施管理重大问题进行统筹协调和决策，确保规划各项目标任务落地实施。</w:t>
      </w:r>
    </w:p>
    <w:p w14:paraId="6506AC98">
      <w:pPr>
        <w:pStyle w:val="3"/>
        <w:bidi w:val="0"/>
      </w:pPr>
      <w:bookmarkStart w:id="199" w:name="_Toc152937228"/>
      <w:bookmarkStart w:id="200" w:name="_Toc22055"/>
      <w:bookmarkStart w:id="201" w:name="_Toc11741"/>
      <w:r>
        <w:rPr>
          <w:rFonts w:hint="eastAsia"/>
        </w:rPr>
        <w:t>详细</w:t>
      </w:r>
      <w:r>
        <w:t>规划传导</w:t>
      </w:r>
      <w:bookmarkEnd w:id="199"/>
      <w:bookmarkEnd w:id="200"/>
      <w:bookmarkEnd w:id="201"/>
    </w:p>
    <w:p w14:paraId="4C182F7D">
      <w:pPr>
        <w:pStyle w:val="4"/>
        <w:bidi w:val="0"/>
        <w:rPr>
          <w:rFonts w:hint="eastAsia"/>
        </w:rPr>
      </w:pPr>
      <w:r>
        <w:rPr>
          <w:rFonts w:hint="eastAsia"/>
        </w:rPr>
        <w:t>城镇单元划分</w:t>
      </w:r>
    </w:p>
    <w:p w14:paraId="56E2BA4E">
      <w:r>
        <w:rPr>
          <w:rFonts w:hint="eastAsia"/>
        </w:rPr>
        <w:t>划分原则：单元边界划分以主导功能同一性、三大设施（公共服务设施、市政设施和安全设施）合理布局、分区完整性为原则，以特殊主导功能、铁路、城镇主干路、河流绿地、社区等为依据，做到镇中心区用地范围全覆盖。单元界限以行政区、社区等行政界线作为参照，结合自然界限、铁路、主要道路，以及城市功能与空间结构确定。</w:t>
      </w:r>
    </w:p>
    <w:p w14:paraId="531231C1">
      <w:r>
        <w:rPr>
          <w:rFonts w:hint="eastAsia"/>
        </w:rPr>
        <w:t>单元编码：单元码采用行政区英文字母缩写+阿拉伯数字排序的形式，如PLPZCZ-01，即普乐堡镇1号城镇单元。</w:t>
      </w:r>
    </w:p>
    <w:p w14:paraId="7C0B96C5">
      <w:r>
        <w:rPr>
          <w:rFonts w:hint="eastAsia"/>
        </w:rPr>
        <w:t>单元划分：普乐堡镇镇区共划分为1个单元，即一般控制单元，单元规模不受硬性限制。</w:t>
      </w:r>
    </w:p>
    <w:p w14:paraId="63A405B7">
      <w:pPr>
        <w:pStyle w:val="4"/>
        <w:bidi w:val="0"/>
        <w:rPr>
          <w:rFonts w:hint="eastAsia"/>
        </w:rPr>
      </w:pPr>
      <w:r>
        <w:rPr>
          <w:rFonts w:hint="eastAsia"/>
        </w:rPr>
        <w:t>乡村单元划分</w:t>
      </w:r>
    </w:p>
    <w:p w14:paraId="267C2AF4">
      <w:r>
        <w:rPr>
          <w:rFonts w:hint="eastAsia"/>
        </w:rPr>
        <w:t>划分原则：强化战略布局指引，突出指标管控。通过耕地保有量、建设用地规模等约束性指标，强化对资源总量、结构效率、空间管控底线的控制。</w:t>
      </w:r>
    </w:p>
    <w:p w14:paraId="04889495">
      <w:r>
        <w:rPr>
          <w:rFonts w:hint="eastAsia"/>
        </w:rPr>
        <w:t>单元编码：采用行政区英文字母缩写+阿拉伯数字排序的形式，如PLPZXC-01，即普乐堡镇1号乡村单元。</w:t>
      </w:r>
    </w:p>
    <w:p w14:paraId="06B8C59D">
      <w:r>
        <w:rPr>
          <w:rFonts w:hint="eastAsia"/>
        </w:rPr>
        <w:t>单元划分：普乐堡镇镇域共划分为7个单元。</w:t>
      </w:r>
    </w:p>
    <w:bookmarkEnd w:id="196"/>
    <w:p w14:paraId="7981D553">
      <w:pPr>
        <w:pStyle w:val="3"/>
        <w:bidi w:val="0"/>
      </w:pPr>
      <w:bookmarkStart w:id="202" w:name="_Toc152937230"/>
      <w:bookmarkStart w:id="203" w:name="_Toc13008"/>
      <w:bookmarkStart w:id="204" w:name="_Toc30171"/>
      <w:r>
        <w:rPr>
          <w:rFonts w:hint="eastAsia"/>
        </w:rPr>
        <w:t>近期</w:t>
      </w:r>
      <w:bookmarkEnd w:id="202"/>
      <w:r>
        <w:rPr>
          <w:rFonts w:hint="eastAsia"/>
        </w:rPr>
        <w:t>行动计划</w:t>
      </w:r>
      <w:bookmarkEnd w:id="203"/>
      <w:bookmarkEnd w:id="204"/>
    </w:p>
    <w:p w14:paraId="04E1C153">
      <w:pPr>
        <w:pStyle w:val="4"/>
        <w:bidi w:val="0"/>
        <w:rPr>
          <w:rFonts w:hint="eastAsia"/>
        </w:rPr>
      </w:pPr>
      <w:r>
        <w:rPr>
          <w:rFonts w:hint="eastAsia"/>
        </w:rPr>
        <w:t>落实重大项目空间保障</w:t>
      </w:r>
    </w:p>
    <w:p w14:paraId="63C23D7B">
      <w:r>
        <w:rPr>
          <w:rFonts w:hint="eastAsia"/>
        </w:rPr>
        <w:t>优先保障重大项目用地供给，保障省级、市级重大工程落地实施。建立重点领域重大项目库清单管理机制，完善重大项目服务保障制度，分类保障重大项目用地需求。</w:t>
      </w:r>
    </w:p>
    <w:p w14:paraId="2DBD7798">
      <w:pPr>
        <w:pStyle w:val="4"/>
        <w:bidi w:val="0"/>
        <w:rPr>
          <w:rFonts w:hint="eastAsia"/>
        </w:rPr>
      </w:pPr>
      <w:r>
        <w:rPr>
          <w:rFonts w:hint="eastAsia"/>
        </w:rPr>
        <w:t>明确近期重点行动计划</w:t>
      </w:r>
    </w:p>
    <w:p w14:paraId="58A1C8E0">
      <w:r>
        <w:rPr>
          <w:rFonts w:hint="eastAsia"/>
        </w:rPr>
        <w:t>衔接《桓仁满族自治县国民经济和社会发展第十四个五年规划和二</w:t>
      </w:r>
      <w:r>
        <w:rPr>
          <w:rFonts w:hint="eastAsia" w:ascii="微软雅黑" w:hAnsi="微软雅黑" w:eastAsia="微软雅黑" w:cs="微软雅黑"/>
        </w:rPr>
        <w:t>〇</w:t>
      </w:r>
      <w:r>
        <w:rPr>
          <w:rFonts w:hint="eastAsia"/>
        </w:rPr>
        <w:t>三五年远景目标纲要》，围绕桓仁满族自治县全面振兴新突破三年行动，做好重大项目统筹安排和用地保障。建立近期重大项目库，将交通、能源、水利、产业等各类项目纳入项目库，落实“要素跟着项目走”机制。</w:t>
      </w:r>
    </w:p>
    <w:p w14:paraId="51A41E3A">
      <w:pPr>
        <w:pStyle w:val="5"/>
        <w:ind w:left="624" w:firstLine="0" w:firstLineChars="0"/>
      </w:pPr>
      <w:bookmarkStart w:id="205" w:name="_Hlk131413103"/>
      <w:r>
        <w:rPr>
          <w:rFonts w:hint="eastAsia"/>
        </w:rPr>
        <w:t>——城镇建设及有机</w:t>
      </w:r>
      <w:r>
        <w:t>更新</w:t>
      </w:r>
    </w:p>
    <w:p w14:paraId="202883A5">
      <w:r>
        <w:t>持续贯彻城</w:t>
      </w:r>
      <w:r>
        <w:rPr>
          <w:rFonts w:hint="eastAsia"/>
        </w:rPr>
        <w:t>镇</w:t>
      </w:r>
      <w:r>
        <w:t>发展战略，进一步完善</w:t>
      </w:r>
      <w:r>
        <w:rPr>
          <w:rFonts w:hint="eastAsia"/>
        </w:rPr>
        <w:t>镇</w:t>
      </w:r>
      <w:r>
        <w:t>区道路、桥梁、管网等基础设施。加大市政道路建设投入，完善</w:t>
      </w:r>
      <w:r>
        <w:rPr>
          <w:rFonts w:hint="eastAsia"/>
        </w:rPr>
        <w:t>镇中心区</w:t>
      </w:r>
      <w:r>
        <w:t>主干路、次干路、支路建设，健全</w:t>
      </w:r>
      <w:r>
        <w:rPr>
          <w:rFonts w:hint="eastAsia"/>
        </w:rPr>
        <w:t>城镇</w:t>
      </w:r>
      <w:r>
        <w:t>路网系统。加强</w:t>
      </w:r>
      <w:r>
        <w:rPr>
          <w:rFonts w:hint="eastAsia"/>
        </w:rPr>
        <w:t>镇村</w:t>
      </w:r>
      <w:r>
        <w:t>风貌管理，坚持适用、经济、绿色、美观的建筑方针，提高</w:t>
      </w:r>
      <w:r>
        <w:rPr>
          <w:rFonts w:hint="eastAsia"/>
        </w:rPr>
        <w:t>城镇</w:t>
      </w:r>
      <w:r>
        <w:t>绿色建筑占新建建筑比重。</w:t>
      </w:r>
    </w:p>
    <w:p w14:paraId="4D4F0BFC">
      <w:pPr>
        <w:pStyle w:val="5"/>
        <w:ind w:left="624" w:firstLine="0" w:firstLineChars="0"/>
      </w:pPr>
      <w:r>
        <w:rPr>
          <w:rFonts w:hint="eastAsia"/>
        </w:rPr>
        <w:t>——</w:t>
      </w:r>
      <w:r>
        <w:t>基础设施及公共服务设施建设</w:t>
      </w:r>
    </w:p>
    <w:p w14:paraId="6C8BA17B">
      <w:r>
        <w:t>完善交通系统建设。</w:t>
      </w:r>
      <w:r>
        <w:rPr>
          <w:rFonts w:hint="eastAsia"/>
        </w:rPr>
        <w:t>实现区域内城乡生产生活的便捷交通组织，推进地区城乡统筹发展；转变交通供给导向，建立镇区绿色交通模式。在商业集中区、公园绿地和公共服务设施处规划社会公共停车场。此外，各功能用地内均应按相应指标配建停车场，形成点面结合、布局合理的停车服务网络。</w:t>
      </w:r>
    </w:p>
    <w:p w14:paraId="43BECAD8">
      <w:r>
        <w:t>强化公共服务设施保障水平。到2025年，公共服务设施体系逐步完善，着力构建便捷的15分钟生活圈。建设高质量教育体系，持续完善城乡教育设施水平及规模</w:t>
      </w:r>
      <w:r>
        <w:rPr>
          <w:rFonts w:hint="eastAsia"/>
        </w:rPr>
        <w:t>。</w:t>
      </w:r>
    </w:p>
    <w:p w14:paraId="09788E53">
      <w:r>
        <w:t>强化城乡基础设施建设。推动由垃圾清理向垃圾治理转变，整体提高垃圾治理水平。统筹推进城乡污水治理，加快污水管网配套和镇污水处理厂扩容提标改造工程。</w:t>
      </w:r>
    </w:p>
    <w:p w14:paraId="70F8AF0F">
      <w:pPr>
        <w:pStyle w:val="5"/>
        <w:ind w:left="624" w:firstLine="0" w:firstLineChars="0"/>
      </w:pPr>
      <w:r>
        <w:rPr>
          <w:rFonts w:hint="eastAsia"/>
        </w:rPr>
        <w:t>——</w:t>
      </w:r>
      <w:r>
        <w:t>国土综合整治和生态修复</w:t>
      </w:r>
    </w:p>
    <w:bookmarkEnd w:id="205"/>
    <w:p w14:paraId="0F60D966">
      <w:pPr>
        <w:pStyle w:val="18"/>
      </w:pPr>
      <w:r>
        <w:rPr>
          <w:rFonts w:hint="eastAsia"/>
        </w:rPr>
        <w:t>加强高标准农田建设，完善灌排沟渠、泵站、机井、机耕路、桥涵闸等基础设施，重点推进中低产田改造，提高农业综合生产能力、抗御自然灾害能力；大力发展生态农业，以土壤改良和培肥地力为主，鼓励支持增施有机肥，控制化肥用量；推进镇域内河道整治，开展水域湿地生态修复工程、干渠清淤疏浚工程等；加快推进农村居民点整理，提升土地利用强度。</w:t>
      </w:r>
      <w:bookmarkStart w:id="206" w:name="_Toc152937231"/>
    </w:p>
    <w:p w14:paraId="1180D6C7">
      <w:pPr>
        <w:rPr>
          <w:rFonts w:eastAsia="黑体"/>
        </w:rPr>
      </w:pPr>
      <w:r>
        <w:rPr>
          <w:rFonts w:hint="eastAsia" w:eastAsia="黑体"/>
        </w:rPr>
        <w:t>——</w:t>
      </w:r>
      <w:r>
        <w:rPr>
          <w:rFonts w:hint="eastAsia"/>
        </w:rPr>
        <w:t>充分利用自然河湖湿地、耕地、林地、草地等生态空间</w:t>
      </w:r>
      <w:r>
        <w:t>,建设海</w:t>
      </w:r>
      <w:r>
        <w:rPr>
          <w:rFonts w:hint="eastAsia"/>
        </w:rPr>
        <w:t>绵城市，</w:t>
      </w:r>
      <w:r>
        <w:t>提升水源涵养能力,缓解雨洪内涝压力,促进水资源循环利用。综合采取渗、滞、蓄、净、用、排等措施,大幅度减少</w:t>
      </w:r>
      <w:r>
        <w:rPr>
          <w:rFonts w:hint="eastAsia"/>
        </w:rPr>
        <w:t>城镇</w:t>
      </w:r>
      <w:r>
        <w:t>硬覆盖地面,推广透水建材铺装</w:t>
      </w:r>
      <w:r>
        <w:rPr>
          <w:rFonts w:hint="eastAsia"/>
        </w:rPr>
        <w:t>，</w:t>
      </w:r>
      <w:r>
        <w:t>大力建设雨水花园、储水池塘、湿地公园、下沉式绿地等雨水滞留设施,让雨水自然积存、自然渗透、自然净化</w:t>
      </w:r>
      <w:r>
        <w:rPr>
          <w:rFonts w:hint="eastAsia"/>
        </w:rPr>
        <w:t>，</w:t>
      </w:r>
      <w:r>
        <w:t>不断提高</w:t>
      </w:r>
      <w:r>
        <w:rPr>
          <w:rFonts w:hint="eastAsia"/>
        </w:rPr>
        <w:t>城镇</w:t>
      </w:r>
      <w:r>
        <w:t>雨水就地蓄积、渗透比例。鼓励单位和居民家庭安装雨水收集装置。</w:t>
      </w:r>
    </w:p>
    <w:p w14:paraId="16BC5707">
      <w:pPr>
        <w:pStyle w:val="3"/>
        <w:bidi w:val="0"/>
      </w:pPr>
      <w:bookmarkStart w:id="207" w:name="_Toc15861"/>
      <w:bookmarkStart w:id="208" w:name="_Toc8151"/>
      <w:r>
        <w:rPr>
          <w:rFonts w:hint="eastAsia"/>
        </w:rPr>
        <w:t>“一张图”建设与实施监督</w:t>
      </w:r>
      <w:bookmarkEnd w:id="206"/>
      <w:bookmarkEnd w:id="207"/>
      <w:bookmarkEnd w:id="208"/>
    </w:p>
    <w:p w14:paraId="52636D00">
      <w:pPr>
        <w:pStyle w:val="4"/>
        <w:bidi w:val="0"/>
      </w:pPr>
      <w:r>
        <w:rPr>
          <w:rFonts w:hint="eastAsia"/>
        </w:rPr>
        <w:t>强化国土空间规划“一张图”管理</w:t>
      </w:r>
    </w:p>
    <w:p w14:paraId="4B598173">
      <w:r>
        <w:rPr>
          <w:rFonts w:hint="eastAsia" w:cs="仿宋_GB2312"/>
          <w:szCs w:val="32"/>
          <w:lang w:bidi="ar"/>
        </w:rPr>
        <w:t>规划批复后，汇交至县（市）级国土空间规划基础信息平台，建设国土空间规划“一张图”实施监督信息系统。加强各部门共享共用，为国土空间规划编制、审批、修改和实施监督全周期管理提供信息化技术支持。</w:t>
      </w:r>
    </w:p>
    <w:p w14:paraId="43C7FA8F">
      <w:pPr>
        <w:pStyle w:val="4"/>
        <w:bidi w:val="0"/>
      </w:pPr>
      <w:r>
        <w:rPr>
          <w:rFonts w:hint="eastAsia"/>
        </w:rPr>
        <w:t>完善社会监督机制</w:t>
      </w:r>
    </w:p>
    <w:p w14:paraId="69E41B5C">
      <w:r>
        <w:rPr>
          <w:rFonts w:hint="eastAsia"/>
        </w:rPr>
        <w:t>完善社会监督机制，鼓励公众积极参与规划的实施和监督。利用各级国土空间规划“一张图”实施监督系统，实现对乡镇总规的精准实施、实时监测、及时预警、定期评估。</w:t>
      </w:r>
    </w:p>
    <w:bookmarkEnd w:id="5"/>
    <w:bookmarkEnd w:id="6"/>
    <w:p w14:paraId="2DE46063">
      <w:pPr>
        <w:spacing w:line="20" w:lineRule="exact"/>
        <w:ind w:firstLine="0" w:firstLineChars="0"/>
      </w:pPr>
    </w:p>
    <w:sectPr>
      <w:headerReference r:id="rId21" w:type="default"/>
      <w:footerReference r:id="rId22" w:type="default"/>
      <w:pgSz w:w="11906" w:h="16838"/>
      <w:pgMar w:top="1440" w:right="1519" w:bottom="1692" w:left="1800" w:header="720" w:footer="991" w:gutter="0"/>
      <w:cols w:space="720" w:num="1"/>
      <w:docGrid w:linePitch="435"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6CE330C0-C914-4E30-B64B-BC4DCB7112D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58285E37-841A-4F19-A732-21500A124E9A}"/>
  </w:font>
  <w:font w:name="仿宋_GB2312">
    <w:panose1 w:val="02010609030101010101"/>
    <w:charset w:val="86"/>
    <w:family w:val="modern"/>
    <w:pitch w:val="default"/>
    <w:sig w:usb0="00000001" w:usb1="080E0000" w:usb2="00000000" w:usb3="00000000" w:csb0="00040000" w:csb1="00000000"/>
    <w:embedRegular r:id="rId3" w:fontKey="{31B09BB1-CDAD-48AE-9EC1-E04601BCA427}"/>
  </w:font>
  <w:font w:name="方正小标宋简体">
    <w:panose1 w:val="02010601030101010101"/>
    <w:charset w:val="86"/>
    <w:family w:val="auto"/>
    <w:pitch w:val="default"/>
    <w:sig w:usb0="00000001" w:usb1="080E0000" w:usb2="00000000" w:usb3="00000000" w:csb0="00040000" w:csb1="00000000"/>
  </w:font>
  <w:font w:name="Arial Unicode MS">
    <w:panose1 w:val="020B0604020202020204"/>
    <w:charset w:val="86"/>
    <w:family w:val="auto"/>
    <w:pitch w:val="default"/>
    <w:sig w:usb0="F7FFAEFF" w:usb1="F9DFFFFF" w:usb2="0000007F" w:usb3="00000000" w:csb0="203F01FF" w:csb1="DFFF0000"/>
  </w:font>
  <w:font w:name="楷体">
    <w:panose1 w:val="02010609060101010101"/>
    <w:charset w:val="86"/>
    <w:family w:val="modern"/>
    <w:pitch w:val="default"/>
    <w:sig w:usb0="800002BF" w:usb1="38CF7CFA" w:usb2="00000016" w:usb3="00000000" w:csb0="00040001" w:csb1="00000000"/>
  </w:font>
  <w:font w:name="楷体_GB2312">
    <w:panose1 w:val="02010609030101010101"/>
    <w:charset w:val="86"/>
    <w:family w:val="modern"/>
    <w:pitch w:val="default"/>
    <w:sig w:usb0="00000001" w:usb1="080E0000" w:usb2="00000000" w:usb3="00000000" w:csb0="00040000" w:csb1="00000000"/>
    <w:embedRegular r:id="rId4" w:fontKey="{28F27C47-DA93-4304-819F-25456E105C81}"/>
  </w:font>
  <w:font w:name="仿宋">
    <w:panose1 w:val="02010609060101010101"/>
    <w:charset w:val="86"/>
    <w:family w:val="modern"/>
    <w:pitch w:val="default"/>
    <w:sig w:usb0="800002BF" w:usb1="38CF7CFA" w:usb2="00000016" w:usb3="00000000" w:csb0="00040001" w:csb1="00000000"/>
    <w:embedRegular r:id="rId5" w:fontKey="{57068661-6EF7-40F9-9639-93F31FB5655F}"/>
  </w:font>
  <w:font w:name="方正小标宋_GBK">
    <w:panose1 w:val="03000509000000000000"/>
    <w:charset w:val="86"/>
    <w:family w:val="script"/>
    <w:pitch w:val="default"/>
    <w:sig w:usb0="00000001" w:usb1="080E0000" w:usb2="00000000" w:usb3="00000000" w:csb0="00040000" w:csb1="00000000"/>
    <w:embedRegular r:id="rId6" w:fontKey="{EDA58E26-E4FF-422D-BD4F-CA29903D3D01}"/>
  </w:font>
  <w:font w:name="微软雅黑">
    <w:panose1 w:val="020B0503020204020204"/>
    <w:charset w:val="86"/>
    <w:family w:val="auto"/>
    <w:pitch w:val="default"/>
    <w:sig w:usb0="80000287" w:usb1="2ACF3C50" w:usb2="00000016" w:usb3="00000000" w:csb0="0004001F" w:csb1="00000000"/>
    <w:embedRegular r:id="rId7" w:fontKey="{30B8B500-C904-416F-B373-DD58C3DB9C65}"/>
  </w:font>
  <w:font w:name="Segoe UI Symbol">
    <w:panose1 w:val="020B0502040204020203"/>
    <w:charset w:val="00"/>
    <w:family w:val="swiss"/>
    <w:pitch w:val="default"/>
    <w:sig w:usb0="800001E3" w:usb1="1200FFEF" w:usb2="00040000" w:usb3="04000000" w:csb0="00000001" w:csb1="40000000"/>
    <w:embedRegular r:id="rId8" w:fontKey="{D887F2BC-79BC-49F0-ABA0-71660E693E84}"/>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212793">
    <w:pPr>
      <w:pStyle w:val="8"/>
      <w:ind w:firstLine="360"/>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01AF83">
    <w:pPr>
      <w:pStyle w:val="8"/>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DFCF8B">
    <w:pPr>
      <w:pStyle w:val="8"/>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230DA4D">
    <w:pPr>
      <w:pStyle w:val="8"/>
      <w:ind w:firstLine="360"/>
      <w:jc w:val="cen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676140">
    <w:pPr>
      <w:pStyle w:val="8"/>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321FCC">
    <w:pPr>
      <w:pStyle w:val="8"/>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E8455D6">
    <w:pPr>
      <w:pStyle w:val="8"/>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3BA405">
    <w:pPr>
      <w:pStyle w:val="8"/>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EEA43">
    <w:pPr>
      <w:pStyle w:val="8"/>
      <w:ind w:firstLine="360"/>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97B32DA">
    <w:pPr>
      <w:pStyle w:val="9"/>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8D66E6">
    <w:pPr>
      <w:pStyle w:val="9"/>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606FC1">
    <w:pPr>
      <w:pStyle w:val="9"/>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9C038C">
    <w:pPr>
      <w:pStyle w:val="9"/>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B1E2BF">
    <w:pPr>
      <w:pStyle w:val="9"/>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31E546">
    <w:pPr>
      <w:pStyle w:val="9"/>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9DB763">
    <w:pPr>
      <w:pStyle w:val="21"/>
      <w:ind w:firstLine="48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3C2BE12">
    <w:pPr>
      <w:pStyle w:val="21"/>
      <w:ind w:firstLine="48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A77494E">
    <w:pPr>
      <w:pStyle w:val="9"/>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D3CDADB"/>
    <w:multiLevelType w:val="multilevel"/>
    <w:tmpl w:val="BD3CDADB"/>
    <w:lvl w:ilvl="0" w:tentative="0">
      <w:start w:val="1"/>
      <w:numFmt w:val="decimal"/>
      <w:pStyle w:val="2"/>
      <w:suff w:val="space"/>
      <w:lvlText w:val="第%1章"/>
      <w:lvlJc w:val="left"/>
      <w:pPr>
        <w:tabs>
          <w:tab w:val="left" w:pos="0"/>
        </w:tabs>
        <w:ind w:left="420" w:hanging="420"/>
      </w:pPr>
      <w:rPr>
        <w:rFonts w:hint="default" w:eastAsia="方正小标宋简体"/>
        <w:sz w:val="36"/>
      </w:rPr>
    </w:lvl>
    <w:lvl w:ilvl="1" w:tentative="0">
      <w:start w:val="1"/>
      <w:numFmt w:val="decimal"/>
      <w:pStyle w:val="3"/>
      <w:suff w:val="space"/>
      <w:lvlText w:val="%1.%2"/>
      <w:lvlJc w:val="left"/>
      <w:pPr>
        <w:tabs>
          <w:tab w:val="left" w:pos="420"/>
        </w:tabs>
        <w:ind w:left="0" w:leftChars="0" w:firstLine="420" w:firstLineChars="0"/>
      </w:pPr>
      <w:rPr>
        <w:rFonts w:hint="default" w:eastAsia="黑体"/>
        <w:sz w:val="32"/>
      </w:rPr>
    </w:lvl>
    <w:lvl w:ilvl="2" w:tentative="0">
      <w:start w:val="1"/>
      <w:numFmt w:val="decimal"/>
      <w:pStyle w:val="4"/>
      <w:suff w:val="space"/>
      <w:lvlText w:val="%1.%2.%3"/>
      <w:lvlJc w:val="left"/>
      <w:pPr>
        <w:tabs>
          <w:tab w:val="left" w:pos="0"/>
        </w:tabs>
        <w:ind w:left="0" w:leftChars="0" w:firstLine="420" w:firstLineChars="0"/>
      </w:pPr>
      <w:rPr>
        <w:rFonts w:hint="default" w:eastAsia="仿宋_GB2312"/>
        <w:sz w:val="32"/>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
    <w:nsid w:val="00000003"/>
    <w:multiLevelType w:val="multilevel"/>
    <w:tmpl w:val="00000003"/>
    <w:lvl w:ilvl="0" w:tentative="0">
      <w:start w:val="1"/>
      <w:numFmt w:val="none"/>
      <w:pStyle w:val="17"/>
      <w:lvlText w:val="表"/>
      <w:lvlJc w:val="left"/>
      <w:pPr>
        <w:tabs>
          <w:tab w:val="left" w:pos="360"/>
        </w:tabs>
        <w:ind w:left="0" w:firstLine="0"/>
      </w:pPr>
      <w:rPr>
        <w:rFonts w:hint="eastAsia" w:ascii="黑体" w:eastAsia="黑体"/>
        <w:b w:val="0"/>
        <w:i w:val="0"/>
        <w:sz w:val="21"/>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2">
    <w:nsid w:val="34B073E8"/>
    <w:multiLevelType w:val="multilevel"/>
    <w:tmpl w:val="34B073E8"/>
    <w:lvl w:ilvl="0" w:tentative="0">
      <w:start w:val="1"/>
      <w:numFmt w:val="decimal"/>
      <w:lvlText w:val="第%1条"/>
      <w:lvlJc w:val="left"/>
      <w:pPr>
        <w:ind w:left="0" w:firstLine="624"/>
      </w:pPr>
      <w:rPr>
        <w:rFonts w:hint="default"/>
        <w:lang w:val="en-US"/>
      </w:rPr>
    </w:lvl>
    <w:lvl w:ilvl="1" w:tentative="0">
      <w:start w:val="1"/>
      <w:numFmt w:val="lowerLetter"/>
      <w:lvlText w:val="%2)"/>
      <w:lvlJc w:val="left"/>
      <w:pPr>
        <w:ind w:left="1691" w:hanging="420"/>
      </w:pPr>
      <w:rPr>
        <w:rFonts w:hint="eastAsia"/>
      </w:rPr>
    </w:lvl>
    <w:lvl w:ilvl="2" w:tentative="0">
      <w:start w:val="1"/>
      <w:numFmt w:val="lowerRoman"/>
      <w:lvlText w:val="%3."/>
      <w:lvlJc w:val="right"/>
      <w:pPr>
        <w:ind w:left="2111" w:hanging="420"/>
      </w:pPr>
      <w:rPr>
        <w:rFonts w:hint="eastAsia"/>
      </w:rPr>
    </w:lvl>
    <w:lvl w:ilvl="3" w:tentative="0">
      <w:start w:val="1"/>
      <w:numFmt w:val="decimal"/>
      <w:lvlText w:val="%4."/>
      <w:lvlJc w:val="left"/>
      <w:pPr>
        <w:ind w:left="2531" w:hanging="420"/>
      </w:pPr>
      <w:rPr>
        <w:rFonts w:hint="eastAsia"/>
      </w:rPr>
    </w:lvl>
    <w:lvl w:ilvl="4" w:tentative="0">
      <w:start w:val="1"/>
      <w:numFmt w:val="lowerLetter"/>
      <w:lvlText w:val="%5)"/>
      <w:lvlJc w:val="left"/>
      <w:pPr>
        <w:ind w:left="2951" w:hanging="420"/>
      </w:pPr>
      <w:rPr>
        <w:rFonts w:hint="eastAsia"/>
      </w:rPr>
    </w:lvl>
    <w:lvl w:ilvl="5" w:tentative="0">
      <w:start w:val="1"/>
      <w:numFmt w:val="lowerRoman"/>
      <w:lvlText w:val="%6."/>
      <w:lvlJc w:val="right"/>
      <w:pPr>
        <w:ind w:left="3371" w:hanging="420"/>
      </w:pPr>
      <w:rPr>
        <w:rFonts w:hint="eastAsia"/>
      </w:rPr>
    </w:lvl>
    <w:lvl w:ilvl="6" w:tentative="0">
      <w:start w:val="1"/>
      <w:numFmt w:val="decimal"/>
      <w:lvlText w:val="%7."/>
      <w:lvlJc w:val="left"/>
      <w:pPr>
        <w:ind w:left="3791" w:hanging="420"/>
      </w:pPr>
      <w:rPr>
        <w:rFonts w:hint="eastAsia"/>
      </w:rPr>
    </w:lvl>
    <w:lvl w:ilvl="7" w:tentative="0">
      <w:start w:val="1"/>
      <w:numFmt w:val="lowerLetter"/>
      <w:lvlText w:val="%8)"/>
      <w:lvlJc w:val="left"/>
      <w:pPr>
        <w:ind w:left="4211" w:hanging="420"/>
      </w:pPr>
      <w:rPr>
        <w:rFonts w:hint="eastAsia"/>
      </w:rPr>
    </w:lvl>
    <w:lvl w:ilvl="8" w:tentative="0">
      <w:start w:val="1"/>
      <w:numFmt w:val="lowerRoman"/>
      <w:lvlText w:val="%9."/>
      <w:lvlJc w:val="right"/>
      <w:pPr>
        <w:ind w:left="4631" w:hanging="420"/>
      </w:pPr>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9AD2A5E"/>
    <w:rsid w:val="012A3712"/>
    <w:rsid w:val="09AD2A5E"/>
    <w:rsid w:val="10333F16"/>
    <w:rsid w:val="202F016D"/>
    <w:rsid w:val="20A3216D"/>
    <w:rsid w:val="31A66B36"/>
    <w:rsid w:val="410E41EE"/>
    <w:rsid w:val="5DD71A06"/>
    <w:rsid w:val="5F713D25"/>
    <w:rsid w:val="69787099"/>
    <w:rsid w:val="7B6A7B3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2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adjustRightInd w:val="0"/>
      <w:snapToGrid w:val="0"/>
      <w:spacing w:line="600" w:lineRule="exact"/>
      <w:ind w:firstLine="640" w:firstLineChars="200"/>
      <w:jc w:val="both"/>
    </w:pPr>
    <w:rPr>
      <w:rFonts w:ascii="Times New Roman" w:hAnsi="Times New Roman" w:eastAsia="仿宋_GB2312" w:cs="Times New Roman"/>
      <w:kern w:val="2"/>
      <w:sz w:val="32"/>
      <w:szCs w:val="22"/>
      <w:lang w:val="en-US" w:eastAsia="zh-CN" w:bidi="ar-SA"/>
    </w:rPr>
  </w:style>
  <w:style w:type="paragraph" w:styleId="2">
    <w:name w:val="heading 1"/>
    <w:basedOn w:val="1"/>
    <w:next w:val="1"/>
    <w:qFormat/>
    <w:uiPriority w:val="9"/>
    <w:pPr>
      <w:keepNext/>
      <w:keepLines/>
      <w:pageBreakBefore/>
      <w:numPr>
        <w:ilvl w:val="0"/>
        <w:numId w:val="1"/>
      </w:numPr>
      <w:spacing w:after="150" w:afterLines="150"/>
      <w:ind w:left="420" w:hanging="420" w:firstLineChars="0"/>
      <w:jc w:val="center"/>
      <w:outlineLvl w:val="0"/>
    </w:pPr>
    <w:rPr>
      <w:rFonts w:ascii="Arial Unicode MS" w:hAnsi="Arial Unicode MS" w:eastAsia="方正小标宋简体" w:cs="Times New Roman"/>
      <w:b/>
      <w:kern w:val="2"/>
      <w:sz w:val="36"/>
      <w:szCs w:val="22"/>
      <w:lang w:val="en-US" w:eastAsia="zh-CN" w:bidi="ar-SA"/>
    </w:rPr>
  </w:style>
  <w:style w:type="paragraph" w:styleId="3">
    <w:name w:val="heading 2"/>
    <w:next w:val="1"/>
    <w:unhideWhenUsed/>
    <w:qFormat/>
    <w:uiPriority w:val="9"/>
    <w:pPr>
      <w:keepNext/>
      <w:keepLines/>
      <w:numPr>
        <w:ilvl w:val="1"/>
        <w:numId w:val="1"/>
      </w:numPr>
      <w:spacing w:before="200" w:after="120"/>
      <w:jc w:val="center"/>
      <w:outlineLvl w:val="1"/>
    </w:pPr>
    <w:rPr>
      <w:rFonts w:ascii="黑体" w:hAnsi="黑体" w:eastAsia="黑体" w:cs="黑体"/>
      <w:color w:val="000000"/>
      <w:kern w:val="2"/>
      <w:sz w:val="32"/>
      <w:szCs w:val="22"/>
      <w:lang w:val="en-US" w:eastAsia="zh-CN" w:bidi="ar-SA"/>
    </w:rPr>
  </w:style>
  <w:style w:type="paragraph" w:styleId="4">
    <w:name w:val="heading 3"/>
    <w:basedOn w:val="5"/>
    <w:next w:val="1"/>
    <w:unhideWhenUsed/>
    <w:qFormat/>
    <w:uiPriority w:val="9"/>
    <w:pPr>
      <w:widowControl w:val="0"/>
      <w:numPr>
        <w:ilvl w:val="2"/>
        <w:numId w:val="1"/>
      </w:numPr>
      <w:spacing w:line="600" w:lineRule="atLeast"/>
      <w:ind w:firstLine="420" w:firstLineChars="0"/>
      <w:jc w:val="left"/>
      <w:outlineLvl w:val="2"/>
    </w:pPr>
    <w:rPr>
      <w:rFonts w:ascii="楷体" w:hAnsi="楷体" w:eastAsia="楷体"/>
    </w:rPr>
  </w:style>
  <w:style w:type="character" w:default="1" w:styleId="14">
    <w:name w:val="Default Paragraph Font"/>
    <w:semiHidden/>
    <w:qFormat/>
    <w:uiPriority w:val="0"/>
  </w:style>
  <w:style w:type="table" w:default="1" w:styleId="12">
    <w:name w:val="Normal Table"/>
    <w:semiHidden/>
    <w:qFormat/>
    <w:uiPriority w:val="0"/>
    <w:tblPr>
      <w:tblCellMar>
        <w:top w:w="0" w:type="dxa"/>
        <w:left w:w="108" w:type="dxa"/>
        <w:bottom w:w="0" w:type="dxa"/>
        <w:right w:w="108" w:type="dxa"/>
      </w:tblCellMar>
    </w:tblPr>
  </w:style>
  <w:style w:type="paragraph" w:styleId="5">
    <w:name w:val="List Paragraph"/>
    <w:basedOn w:val="1"/>
    <w:qFormat/>
    <w:uiPriority w:val="34"/>
    <w:pPr>
      <w:ind w:firstLine="420"/>
    </w:pPr>
  </w:style>
  <w:style w:type="paragraph" w:styleId="6">
    <w:name w:val="annotation text"/>
    <w:basedOn w:val="1"/>
    <w:unhideWhenUsed/>
    <w:qFormat/>
    <w:uiPriority w:val="99"/>
    <w:pPr>
      <w:widowControl w:val="0"/>
      <w:spacing w:line="360" w:lineRule="auto"/>
      <w:jc w:val="left"/>
    </w:pPr>
    <w:rPr>
      <w:rFonts w:ascii="宋体" w:hAnsi="宋体" w:eastAsia="宋体" w:cstheme="minorBidi"/>
    </w:rPr>
  </w:style>
  <w:style w:type="paragraph" w:styleId="7">
    <w:name w:val="Body Text"/>
    <w:basedOn w:val="1"/>
    <w:next w:val="6"/>
    <w:unhideWhenUsed/>
    <w:qFormat/>
    <w:uiPriority w:val="99"/>
    <w:pPr>
      <w:spacing w:after="120"/>
    </w:pPr>
  </w:style>
  <w:style w:type="paragraph" w:styleId="8">
    <w:name w:val="footer"/>
    <w:basedOn w:val="1"/>
    <w:unhideWhenUsed/>
    <w:qFormat/>
    <w:uiPriority w:val="99"/>
    <w:pPr>
      <w:tabs>
        <w:tab w:val="center" w:pos="4153"/>
        <w:tab w:val="right" w:pos="8306"/>
      </w:tabs>
      <w:spacing w:line="240" w:lineRule="auto"/>
    </w:pPr>
    <w:rPr>
      <w:sz w:val="18"/>
      <w:szCs w:val="18"/>
    </w:rPr>
  </w:style>
  <w:style w:type="paragraph" w:styleId="9">
    <w:name w:val="header"/>
    <w:basedOn w:val="1"/>
    <w:unhideWhenUsed/>
    <w:qFormat/>
    <w:uiPriority w:val="99"/>
    <w:pPr>
      <w:pBdr>
        <w:bottom w:val="single" w:color="auto" w:sz="6" w:space="1"/>
      </w:pBdr>
      <w:tabs>
        <w:tab w:val="center" w:pos="4153"/>
        <w:tab w:val="right" w:pos="8306"/>
      </w:tabs>
      <w:spacing w:line="240" w:lineRule="auto"/>
      <w:jc w:val="center"/>
    </w:pPr>
    <w:rPr>
      <w:sz w:val="18"/>
      <w:szCs w:val="18"/>
    </w:rPr>
  </w:style>
  <w:style w:type="paragraph" w:styleId="10">
    <w:name w:val="toc 1"/>
    <w:basedOn w:val="1"/>
    <w:next w:val="1"/>
    <w:qFormat/>
    <w:uiPriority w:val="39"/>
    <w:pPr>
      <w:spacing w:line="360" w:lineRule="auto"/>
      <w:ind w:firstLine="0" w:firstLineChars="0"/>
    </w:pPr>
    <w:rPr>
      <w:rFonts w:eastAsia="黑体"/>
    </w:rPr>
  </w:style>
  <w:style w:type="paragraph" w:styleId="11">
    <w:name w:val="toc 2"/>
    <w:basedOn w:val="1"/>
    <w:next w:val="1"/>
    <w:qFormat/>
    <w:uiPriority w:val="39"/>
    <w:pPr>
      <w:spacing w:line="360" w:lineRule="auto"/>
      <w:jc w:val="left"/>
    </w:pPr>
  </w:style>
  <w:style w:type="table" w:styleId="13">
    <w:name w:val="Table Grid"/>
    <w:basedOn w:val="12"/>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5">
    <w:name w:val="Emphasis"/>
    <w:qFormat/>
    <w:uiPriority w:val="20"/>
    <w:rPr>
      <w:rFonts w:ascii="楷体_GB2312" w:hAnsi="楷体" w:eastAsia="楷体_GB2312" w:cs="Times New Roman"/>
      <w:color w:val="auto"/>
    </w:rPr>
  </w:style>
  <w:style w:type="paragraph" w:customStyle="1" w:styleId="16">
    <w:name w:val="font6"/>
    <w:basedOn w:val="1"/>
    <w:qFormat/>
    <w:uiPriority w:val="0"/>
    <w:pPr>
      <w:spacing w:before="100" w:beforeAutospacing="1" w:after="100" w:afterAutospacing="1" w:line="240" w:lineRule="auto"/>
      <w:ind w:firstLine="0" w:firstLineChars="0"/>
      <w:jc w:val="left"/>
    </w:pPr>
    <w:rPr>
      <w:rFonts w:ascii="宋体" w:hAnsi="宋体" w:eastAsia="宋体" w:cs="宋体"/>
      <w:b/>
      <w:bCs/>
      <w:kern w:val="0"/>
      <w:sz w:val="21"/>
      <w:szCs w:val="21"/>
    </w:rPr>
  </w:style>
  <w:style w:type="paragraph" w:customStyle="1" w:styleId="17">
    <w:name w:val="条目最新"/>
    <w:basedOn w:val="4"/>
    <w:qFormat/>
    <w:uiPriority w:val="0"/>
    <w:pPr>
      <w:numPr>
        <w:ilvl w:val="0"/>
        <w:numId w:val="2"/>
      </w:numPr>
      <w:adjustRightInd/>
      <w:snapToGrid/>
      <w:spacing w:before="50" w:beforeLines="50" w:after="50" w:afterLines="50"/>
    </w:pPr>
  </w:style>
  <w:style w:type="paragraph" w:customStyle="1" w:styleId="18">
    <w:name w:val="文本"/>
    <w:basedOn w:val="1"/>
    <w:qFormat/>
    <w:uiPriority w:val="0"/>
  </w:style>
  <w:style w:type="paragraph" w:customStyle="1" w:styleId="19">
    <w:name w:val="表正文"/>
    <w:basedOn w:val="1"/>
    <w:qFormat/>
    <w:uiPriority w:val="0"/>
    <w:pPr>
      <w:spacing w:line="240" w:lineRule="auto"/>
      <w:ind w:firstLine="0" w:firstLineChars="0"/>
      <w:jc w:val="center"/>
    </w:pPr>
    <w:rPr>
      <w:sz w:val="24"/>
      <w:szCs w:val="24"/>
    </w:rPr>
  </w:style>
  <w:style w:type="paragraph" w:customStyle="1" w:styleId="20">
    <w:name w:val="附录表标题"/>
    <w:next w:val="1"/>
    <w:qFormat/>
    <w:uiPriority w:val="0"/>
    <w:pPr>
      <w:tabs>
        <w:tab w:val="left" w:pos="360"/>
      </w:tabs>
      <w:jc w:val="center"/>
      <w:textAlignment w:val="baseline"/>
    </w:pPr>
    <w:rPr>
      <w:rFonts w:ascii="黑体" w:hAnsi="Times New Roman" w:eastAsia="黑体" w:cs="Times New Roman"/>
      <w:kern w:val="21"/>
      <w:sz w:val="21"/>
      <w:lang w:val="en-US" w:eastAsia="zh-CN" w:bidi="ar-SA"/>
    </w:rPr>
  </w:style>
  <w:style w:type="paragraph" w:customStyle="1" w:styleId="21">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paragraph" w:customStyle="1" w:styleId="22">
    <w:name w:val="附表最后"/>
    <w:qFormat/>
    <w:uiPriority w:val="0"/>
    <w:pPr>
      <w:adjustRightInd w:val="0"/>
      <w:snapToGrid w:val="0"/>
      <w:spacing w:line="500" w:lineRule="exact"/>
      <w:jc w:val="center"/>
    </w:pPr>
    <w:rPr>
      <w:rFonts w:hint="eastAsia" w:ascii="仿宋_GB2312" w:hAnsi="仿宋" w:eastAsia="仿宋_GB2312" w:cs="Times New Roman"/>
      <w:color w:val="000000"/>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4" Type="http://schemas.openxmlformats.org/officeDocument/2006/relationships/fontTable" Target="fontTable.xml"/><Relationship Id="rId33" Type="http://schemas.openxmlformats.org/officeDocument/2006/relationships/numbering" Target="numbering.xml"/><Relationship Id="rId32" Type="http://schemas.openxmlformats.org/officeDocument/2006/relationships/image" Target="media/image9.jpeg"/><Relationship Id="rId31" Type="http://schemas.openxmlformats.org/officeDocument/2006/relationships/image" Target="media/image8.jpeg"/><Relationship Id="rId30" Type="http://schemas.openxmlformats.org/officeDocument/2006/relationships/image" Target="media/image7.jpeg"/><Relationship Id="rId3" Type="http://schemas.openxmlformats.org/officeDocument/2006/relationships/footnotes" Target="footnotes.xml"/><Relationship Id="rId29" Type="http://schemas.openxmlformats.org/officeDocument/2006/relationships/image" Target="media/image6.jpeg"/><Relationship Id="rId28" Type="http://schemas.openxmlformats.org/officeDocument/2006/relationships/image" Target="media/image5.jpeg"/><Relationship Id="rId27" Type="http://schemas.openxmlformats.org/officeDocument/2006/relationships/image" Target="media/image4.jpeg"/><Relationship Id="rId26" Type="http://schemas.openxmlformats.org/officeDocument/2006/relationships/image" Target="media/image3.jpeg"/><Relationship Id="rId25" Type="http://schemas.openxmlformats.org/officeDocument/2006/relationships/image" Target="media/image2.jpeg"/><Relationship Id="rId24" Type="http://schemas.openxmlformats.org/officeDocument/2006/relationships/image" Target="media/image1.jpeg"/><Relationship Id="rId23" Type="http://schemas.openxmlformats.org/officeDocument/2006/relationships/theme" Target="theme/theme1.xml"/><Relationship Id="rId22" Type="http://schemas.openxmlformats.org/officeDocument/2006/relationships/footer" Target="footer9.xml"/><Relationship Id="rId21" Type="http://schemas.openxmlformats.org/officeDocument/2006/relationships/header" Target="header9.xml"/><Relationship Id="rId20" Type="http://schemas.openxmlformats.org/officeDocument/2006/relationships/footer" Target="footer8.xml"/><Relationship Id="rId2" Type="http://schemas.openxmlformats.org/officeDocument/2006/relationships/settings" Target="settings.xml"/><Relationship Id="rId19" Type="http://schemas.openxmlformats.org/officeDocument/2006/relationships/footer" Target="footer7.xml"/><Relationship Id="rId18" Type="http://schemas.openxmlformats.org/officeDocument/2006/relationships/header" Target="header8.xml"/><Relationship Id="rId17" Type="http://schemas.openxmlformats.org/officeDocument/2006/relationships/header" Target="head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95</Pages>
  <Words>4930</Words>
  <Characters>5326</Characters>
  <Lines>0</Lines>
  <Paragraphs>0</Paragraphs>
  <TotalTime>12</TotalTime>
  <ScaleCrop>false</ScaleCrop>
  <LinksUpToDate>false</LinksUpToDate>
  <CharactersWithSpaces>5518</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2026-01-27T05:59:00Z</dcterms:created>
  <dc:creator>黄清华</dc:creator>
  <cp:lastModifiedBy>杨起</cp:lastModifiedBy>
  <dcterms:modified xsi:type="dcterms:W3CDTF">2026-03-24T07:46:34Z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7790A8771F4A4736B585CEBE2674B721_13</vt:lpwstr>
  </property>
  <property fmtid="{D5CDD505-2E9C-101B-9397-08002B2CF9AE}" pid="4" name="KSOTemplateDocerSaveRecord">
    <vt:lpwstr>eyJoZGlkIjoiOGQzMDYwYTU2NDdjMDE1YjIxNmRiZGU2ZDFkZmVlNmYiLCJ1c2VySWQiOiIxNDkzNjE0MzUyIn0=</vt:lpwstr>
  </property>
</Properties>
</file>