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7773D">
      <w:pPr>
        <w:spacing w:line="240" w:lineRule="auto"/>
        <w:ind w:firstLine="0" w:firstLineChars="0"/>
        <w:jc w:val="left"/>
        <w:rPr>
          <w:rFonts w:eastAsia="楷体_GB2312" w:cs="Times New Roman"/>
          <w:kern w:val="0"/>
          <w:sz w:val="20"/>
          <w:szCs w:val="20"/>
        </w:rPr>
      </w:pPr>
    </w:p>
    <w:p w14:paraId="16864AC3">
      <w:pPr>
        <w:pStyle w:val="20"/>
        <w:ind w:firstLine="0" w:firstLineChars="0"/>
        <w:rPr>
          <w:rFonts w:cs="Times New Roman"/>
        </w:rPr>
      </w:pPr>
    </w:p>
    <w:p w14:paraId="38EEC806">
      <w:pPr>
        <w:ind w:firstLine="0" w:firstLineChars="0"/>
        <w:jc w:val="center"/>
        <w:rPr>
          <w:rFonts w:eastAsia="方正小标宋简体" w:cs="Times New Roman"/>
          <w:sz w:val="52"/>
          <w:szCs w:val="52"/>
        </w:rPr>
      </w:pPr>
    </w:p>
    <w:p w14:paraId="3B7C55F6">
      <w:pPr>
        <w:ind w:firstLine="0" w:firstLineChars="0"/>
        <w:jc w:val="center"/>
        <w:rPr>
          <w:rFonts w:eastAsia="方正小标宋简体" w:cs="Times New Roman"/>
          <w:sz w:val="52"/>
          <w:szCs w:val="52"/>
        </w:rPr>
      </w:pPr>
    </w:p>
    <w:p w14:paraId="2BFA98A8">
      <w:pPr>
        <w:ind w:firstLine="0" w:firstLineChars="0"/>
        <w:jc w:val="center"/>
        <w:rPr>
          <w:rFonts w:eastAsia="方正小标宋简体" w:cs="Times New Roman"/>
          <w:sz w:val="52"/>
          <w:szCs w:val="52"/>
        </w:rPr>
      </w:pPr>
    </w:p>
    <w:p w14:paraId="0E26AAD6">
      <w:pPr>
        <w:widowControl/>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桓仁满族自治县向阳乡国土空间</w:t>
      </w:r>
    </w:p>
    <w:p w14:paraId="7C747DD9">
      <w:pPr>
        <w:widowControl/>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总体规划</w:t>
      </w:r>
    </w:p>
    <w:p w14:paraId="1C0CF12F">
      <w:pPr>
        <w:widowControl/>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（2021-2035年）</w:t>
      </w:r>
    </w:p>
    <w:p w14:paraId="378D5B96">
      <w:pPr>
        <w:spacing w:line="240" w:lineRule="auto"/>
        <w:ind w:firstLine="0" w:firstLineChars="0"/>
        <w:jc w:val="center"/>
        <w:rPr>
          <w:rFonts w:eastAsia="楷体_GB2312" w:cs="Times New Roman"/>
          <w:sz w:val="36"/>
          <w:szCs w:val="36"/>
        </w:rPr>
      </w:pPr>
    </w:p>
    <w:p w14:paraId="44FF5638">
      <w:pPr>
        <w:ind w:firstLine="0" w:firstLineChars="0"/>
        <w:rPr>
          <w:rFonts w:cs="Times New Roman"/>
        </w:rPr>
      </w:pPr>
    </w:p>
    <w:p w14:paraId="129B7C30">
      <w:pPr>
        <w:ind w:firstLine="0" w:firstLineChars="0"/>
        <w:rPr>
          <w:rFonts w:cs="Times New Roman"/>
        </w:rPr>
      </w:pPr>
    </w:p>
    <w:p w14:paraId="71F7E8BE">
      <w:pPr>
        <w:ind w:firstLine="0" w:firstLineChars="0"/>
        <w:rPr>
          <w:rFonts w:cs="Times New Roman"/>
        </w:rPr>
      </w:pPr>
    </w:p>
    <w:p w14:paraId="4EA8C0C7">
      <w:pPr>
        <w:ind w:firstLine="0" w:firstLineChars="0"/>
        <w:rPr>
          <w:rFonts w:cs="Times New Roman"/>
        </w:rPr>
      </w:pPr>
    </w:p>
    <w:p w14:paraId="3AF86098">
      <w:pPr>
        <w:ind w:firstLine="0" w:firstLineChars="0"/>
        <w:rPr>
          <w:rFonts w:cs="Times New Roman"/>
        </w:rPr>
      </w:pPr>
    </w:p>
    <w:p w14:paraId="659E79F0">
      <w:pPr>
        <w:ind w:firstLine="0" w:firstLineChars="0"/>
        <w:rPr>
          <w:rFonts w:cs="Times New Roman"/>
        </w:rPr>
      </w:pPr>
    </w:p>
    <w:p w14:paraId="0BB8DA69">
      <w:pPr>
        <w:ind w:firstLine="0" w:firstLineChars="0"/>
        <w:rPr>
          <w:rFonts w:cs="Times New Roman"/>
        </w:rPr>
      </w:pPr>
    </w:p>
    <w:p w14:paraId="4D9FA90A">
      <w:pPr>
        <w:ind w:firstLine="0" w:firstLineChars="0"/>
        <w:rPr>
          <w:rFonts w:cs="Times New Roman"/>
        </w:rPr>
      </w:pPr>
    </w:p>
    <w:p w14:paraId="0124B5A2">
      <w:pPr>
        <w:ind w:firstLine="0" w:firstLineChars="0"/>
        <w:rPr>
          <w:rFonts w:cs="Times New Roman"/>
        </w:rPr>
      </w:pPr>
    </w:p>
    <w:p w14:paraId="7858C8E3">
      <w:pPr>
        <w:ind w:firstLine="0" w:firstLineChars="0"/>
        <w:rPr>
          <w:rFonts w:cs="Times New Roman"/>
        </w:rPr>
      </w:pPr>
    </w:p>
    <w:p w14:paraId="011F9FC9">
      <w:pPr>
        <w:ind w:firstLine="0" w:firstLineChars="0"/>
        <w:jc w:val="center"/>
        <w:rPr>
          <w:rFonts w:eastAsia="楷体_GB2312" w:cs="Times New Roman"/>
          <w:szCs w:val="32"/>
        </w:rPr>
      </w:pPr>
      <w:r>
        <w:rPr>
          <w:rFonts w:eastAsia="楷体_GB2312" w:cs="Times New Roman"/>
          <w:szCs w:val="32"/>
        </w:rPr>
        <w:t>向阳乡人民政府</w:t>
      </w:r>
    </w:p>
    <w:p w14:paraId="35418FA7">
      <w:pPr>
        <w:ind w:firstLine="0" w:firstLineChars="0"/>
        <w:jc w:val="center"/>
        <w:rPr>
          <w:rFonts w:eastAsia="楷体_GB2312" w:cs="Times New Roman"/>
          <w:szCs w:val="32"/>
        </w:r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rPr>
        <w:t>12</w:t>
      </w:r>
      <w:r>
        <w:rPr>
          <w:rFonts w:eastAsia="楷体_GB2312" w:cs="Times New Roman"/>
          <w:szCs w:val="32"/>
        </w:rPr>
        <w:t>月</w:t>
      </w:r>
    </w:p>
    <w:p w14:paraId="2F30C4E6">
      <w:pPr>
        <w:widowControl/>
        <w:spacing w:line="240" w:lineRule="auto"/>
        <w:ind w:firstLine="0" w:firstLineChars="0"/>
        <w:jc w:val="left"/>
        <w:rPr>
          <w:rFonts w:eastAsia="楷体_GB2312" w:cs="Times New Roman"/>
          <w:szCs w:val="32"/>
        </w:rPr>
      </w:pPr>
      <w:r>
        <w:rPr>
          <w:rFonts w:eastAsia="楷体_GB2312" w:cs="Times New Roman"/>
          <w:szCs w:val="32"/>
        </w:rPr>
        <w:br w:type="page"/>
      </w:r>
    </w:p>
    <w:p w14:paraId="7CFE789D">
      <w:pPr>
        <w:pStyle w:val="20"/>
        <w:ind w:firstLine="0" w:firstLineChars="0"/>
        <w:rPr>
          <w:rFonts w:cs="Times New Roman"/>
        </w:rPr>
      </w:pPr>
    </w:p>
    <w:p w14:paraId="49662B6A">
      <w:pPr>
        <w:ind w:firstLine="0" w:firstLineChars="0"/>
        <w:jc w:val="center"/>
        <w:rPr>
          <w:rFonts w:eastAsia="方正小标宋简体" w:cs="Times New Roman"/>
          <w:sz w:val="52"/>
          <w:szCs w:val="52"/>
        </w:rPr>
      </w:pPr>
    </w:p>
    <w:p w14:paraId="6F9C53DA">
      <w:pPr>
        <w:ind w:firstLine="0" w:firstLineChars="0"/>
        <w:jc w:val="center"/>
        <w:rPr>
          <w:rFonts w:eastAsia="方正小标宋简体" w:cs="Times New Roman"/>
          <w:sz w:val="52"/>
          <w:szCs w:val="52"/>
        </w:rPr>
      </w:pPr>
    </w:p>
    <w:p w14:paraId="5B49C3EF">
      <w:pPr>
        <w:ind w:firstLine="0" w:firstLineChars="0"/>
        <w:jc w:val="center"/>
        <w:rPr>
          <w:rFonts w:eastAsia="方正小标宋简体" w:cs="Times New Roman"/>
          <w:sz w:val="52"/>
          <w:szCs w:val="52"/>
        </w:rPr>
      </w:pPr>
    </w:p>
    <w:p w14:paraId="5829F7CD">
      <w:pPr>
        <w:widowControl/>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桓仁满族自治县向阳乡国土空间</w:t>
      </w:r>
    </w:p>
    <w:p w14:paraId="5D14643D">
      <w:pPr>
        <w:widowControl/>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总体规划</w:t>
      </w:r>
    </w:p>
    <w:p w14:paraId="72566028">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ascii="方正小标宋简体" w:hAnsi="方正小标宋简体" w:eastAsia="方正小标宋简体" w:cs="方正小标宋简体"/>
          <w:kern w:val="0"/>
          <w:sz w:val="48"/>
          <w:szCs w:val="48"/>
        </w:rPr>
        <w:t>（2021-2035年）</w:t>
      </w:r>
    </w:p>
    <w:p w14:paraId="76B3E33A">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（说 明 书）</w:t>
      </w:r>
    </w:p>
    <w:p w14:paraId="6E211C48">
      <w:pPr>
        <w:ind w:firstLine="0" w:firstLineChars="0"/>
        <w:rPr>
          <w:rFonts w:cs="Times New Roman"/>
        </w:rPr>
      </w:pPr>
    </w:p>
    <w:p w14:paraId="0746EBDF">
      <w:pPr>
        <w:ind w:firstLine="0" w:firstLineChars="0"/>
        <w:rPr>
          <w:rFonts w:cs="Times New Roman"/>
        </w:rPr>
      </w:pPr>
    </w:p>
    <w:p w14:paraId="46D38B46">
      <w:pPr>
        <w:ind w:firstLine="0" w:firstLineChars="0"/>
        <w:rPr>
          <w:rFonts w:cs="Times New Roman"/>
        </w:rPr>
      </w:pPr>
    </w:p>
    <w:p w14:paraId="3C92DE49">
      <w:pPr>
        <w:ind w:firstLine="0" w:firstLineChars="0"/>
        <w:rPr>
          <w:rFonts w:cs="Times New Roman"/>
        </w:rPr>
      </w:pPr>
    </w:p>
    <w:p w14:paraId="696678E6">
      <w:pPr>
        <w:ind w:firstLine="0" w:firstLineChars="0"/>
        <w:rPr>
          <w:rFonts w:cs="Times New Roman"/>
        </w:rPr>
      </w:pPr>
    </w:p>
    <w:p w14:paraId="1B38FC5A">
      <w:pPr>
        <w:ind w:firstLine="0" w:firstLineChars="0"/>
        <w:rPr>
          <w:rFonts w:cs="Times New Roman"/>
        </w:rPr>
      </w:pPr>
    </w:p>
    <w:p w14:paraId="7435D8A4">
      <w:pPr>
        <w:ind w:firstLine="0" w:firstLineChars="0"/>
        <w:rPr>
          <w:rFonts w:cs="Times New Roman"/>
        </w:rPr>
      </w:pPr>
    </w:p>
    <w:p w14:paraId="50C50483">
      <w:pPr>
        <w:ind w:firstLine="0" w:firstLineChars="0"/>
        <w:rPr>
          <w:rFonts w:cs="Times New Roman"/>
        </w:rPr>
      </w:pPr>
    </w:p>
    <w:p w14:paraId="314AF606">
      <w:pPr>
        <w:ind w:firstLine="0" w:firstLineChars="0"/>
        <w:rPr>
          <w:rFonts w:cs="Times New Roman"/>
        </w:rPr>
      </w:pPr>
    </w:p>
    <w:p w14:paraId="23CD1541">
      <w:pPr>
        <w:ind w:firstLine="0" w:firstLineChars="0"/>
        <w:rPr>
          <w:rFonts w:cs="Times New Roman"/>
        </w:rPr>
      </w:pPr>
    </w:p>
    <w:p w14:paraId="0DB5269F">
      <w:pPr>
        <w:ind w:firstLine="0" w:firstLineChars="0"/>
        <w:rPr>
          <w:rFonts w:cs="Times New Roman"/>
        </w:rPr>
      </w:pPr>
    </w:p>
    <w:p w14:paraId="79976A97">
      <w:pPr>
        <w:ind w:firstLine="0" w:firstLineChars="0"/>
        <w:jc w:val="center"/>
        <w:rPr>
          <w:rFonts w:eastAsia="楷体_GB2312" w:cs="Times New Roman"/>
          <w:szCs w:val="32"/>
        </w:rPr>
      </w:pPr>
      <w:r>
        <w:rPr>
          <w:rFonts w:eastAsia="楷体_GB2312" w:cs="Times New Roman"/>
          <w:szCs w:val="32"/>
        </w:rPr>
        <w:t>向阳乡人民政府</w:t>
      </w:r>
    </w:p>
    <w:p w14:paraId="40E111F9">
      <w:pPr>
        <w:ind w:firstLine="0" w:firstLineChars="0"/>
        <w:jc w:val="center"/>
        <w:rPr>
          <w:rFonts w:eastAsia="楷体_GB2312" w:cs="Times New Roman"/>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 w:linePitch="312" w:charSpace="0"/>
        </w:sect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rPr>
        <w:t>12</w:t>
      </w:r>
      <w:r>
        <w:rPr>
          <w:rFonts w:eastAsia="楷体_GB2312" w:cs="Times New Roman"/>
          <w:szCs w:val="32"/>
        </w:rPr>
        <w:t>月</w:t>
      </w:r>
    </w:p>
    <w:p w14:paraId="157B65AF">
      <w:pPr>
        <w:ind w:firstLine="800"/>
        <w:jc w:val="center"/>
        <w:rPr>
          <w:rFonts w:eastAsia="方正小标宋简体" w:cs="Times New Roman"/>
          <w:sz w:val="40"/>
          <w:szCs w:val="40"/>
        </w:rPr>
      </w:pPr>
      <w:r>
        <w:rPr>
          <w:rFonts w:eastAsia="方正小标宋简体" w:cs="Times New Roman"/>
          <w:sz w:val="40"/>
          <w:szCs w:val="40"/>
        </w:rPr>
        <w:t>目  录</w:t>
      </w:r>
    </w:p>
    <w:p w14:paraId="39F8B774">
      <w:pPr>
        <w:ind w:firstLine="720"/>
        <w:jc w:val="center"/>
        <w:rPr>
          <w:rFonts w:eastAsia="方正小标宋简体" w:cs="Times New Roman"/>
          <w:sz w:val="36"/>
          <w:szCs w:val="36"/>
        </w:rPr>
      </w:pPr>
    </w:p>
    <w:p w14:paraId="43BC37AF">
      <w:pPr>
        <w:pStyle w:val="11"/>
        <w:tabs>
          <w:tab w:val="right" w:leader="dot" w:pos="8312"/>
          <w:tab w:val="clear" w:pos="8302"/>
        </w:tabs>
        <w:rPr>
          <w:rFonts w:hint="eastAsia"/>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rPr>
          <w:rFonts w:cs="Times New Roman"/>
        </w:rPr>
        <w:fldChar w:fldCharType="begin"/>
      </w:r>
      <w:r>
        <w:rPr>
          <w:rFonts w:cs="Times New Roman"/>
        </w:rPr>
        <w:instrText xml:space="preserve"> HYPERLINK \l _Toc4846 </w:instrText>
      </w:r>
      <w:r>
        <w:rPr>
          <w:rFonts w:cs="Times New Roman"/>
        </w:rPr>
        <w:fldChar w:fldCharType="separate"/>
      </w:r>
      <w:r>
        <w:rPr>
          <w:rFonts w:ascii="Times New Roman" w:hAnsi="Times New Roman" w:cs="Times New Roman"/>
        </w:rPr>
        <w:t>第一章 总 则</w:t>
      </w:r>
      <w:r>
        <w:tab/>
      </w:r>
      <w:r>
        <w:fldChar w:fldCharType="begin"/>
      </w:r>
      <w:r>
        <w:instrText xml:space="preserve"> PAGEREF _Toc4846 \h </w:instrText>
      </w:r>
      <w:r>
        <w:fldChar w:fldCharType="separate"/>
      </w:r>
      <w:r>
        <w:t>1</w:t>
      </w:r>
      <w:r>
        <w:fldChar w:fldCharType="end"/>
      </w:r>
      <w:r>
        <w:rPr>
          <w:rFonts w:cs="Times New Roman"/>
        </w:rPr>
        <w:fldChar w:fldCharType="end"/>
      </w:r>
    </w:p>
    <w:p w14:paraId="26B11861">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_Toc23262 </w:instrText>
      </w:r>
      <w:r>
        <w:rPr>
          <w:rFonts w:cs="Times New Roman"/>
        </w:rPr>
        <w:fldChar w:fldCharType="separate"/>
      </w:r>
      <w:r>
        <w:rPr>
          <w:rFonts w:ascii="Times New Roman" w:hAnsi="Times New Roman" w:cs="Times New Roman"/>
        </w:rPr>
        <w:t>第二章 发展定位与目标</w:t>
      </w:r>
      <w:r>
        <w:tab/>
      </w:r>
      <w:r>
        <w:fldChar w:fldCharType="begin"/>
      </w:r>
      <w:r>
        <w:instrText xml:space="preserve"> PAGEREF _Toc23262 \h </w:instrText>
      </w:r>
      <w:r>
        <w:fldChar w:fldCharType="separate"/>
      </w:r>
      <w:r>
        <w:t>6</w:t>
      </w:r>
      <w:r>
        <w:fldChar w:fldCharType="end"/>
      </w:r>
      <w:r>
        <w:rPr>
          <w:rFonts w:cs="Times New Roman"/>
        </w:rPr>
        <w:fldChar w:fldCharType="end"/>
      </w:r>
    </w:p>
    <w:p w14:paraId="730118FA">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_Toc14070 </w:instrText>
      </w:r>
      <w:r>
        <w:rPr>
          <w:rFonts w:eastAsia="黑体" w:cs="Times New Roman"/>
        </w:rPr>
        <w:fldChar w:fldCharType="separate"/>
      </w:r>
      <w:r>
        <w:rPr>
          <w:rFonts w:cs="Times New Roman"/>
        </w:rPr>
        <w:t>第一节 乡镇功能定位</w:t>
      </w:r>
      <w:r>
        <w:tab/>
      </w:r>
      <w:r>
        <w:fldChar w:fldCharType="begin"/>
      </w:r>
      <w:r>
        <w:instrText xml:space="preserve"> PAGEREF _Toc14070 \h </w:instrText>
      </w:r>
      <w:r>
        <w:fldChar w:fldCharType="separate"/>
      </w:r>
      <w:r>
        <w:t>6</w:t>
      </w:r>
      <w:r>
        <w:fldChar w:fldCharType="end"/>
      </w:r>
      <w:r>
        <w:rPr>
          <w:rFonts w:eastAsia="黑体" w:cs="Times New Roman"/>
        </w:rPr>
        <w:fldChar w:fldCharType="end"/>
      </w:r>
    </w:p>
    <w:p w14:paraId="0C282390">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_Toc25378 </w:instrText>
      </w:r>
      <w:r>
        <w:rPr>
          <w:rFonts w:eastAsia="黑体" w:cs="Times New Roman"/>
        </w:rPr>
        <w:fldChar w:fldCharType="separate"/>
      </w:r>
      <w:r>
        <w:rPr>
          <w:rFonts w:cs="Times New Roman"/>
        </w:rPr>
        <w:t>第二节 国土空间开发保护目标</w:t>
      </w:r>
      <w:r>
        <w:tab/>
      </w:r>
      <w:r>
        <w:fldChar w:fldCharType="begin"/>
      </w:r>
      <w:r>
        <w:instrText xml:space="preserve"> PAGEREF _Toc25378 \h </w:instrText>
      </w:r>
      <w:r>
        <w:fldChar w:fldCharType="separate"/>
      </w:r>
      <w:r>
        <w:t>7</w:t>
      </w:r>
      <w:r>
        <w:fldChar w:fldCharType="end"/>
      </w:r>
      <w:r>
        <w:rPr>
          <w:rFonts w:eastAsia="黑体" w:cs="Times New Roman"/>
        </w:rPr>
        <w:fldChar w:fldCharType="end"/>
      </w:r>
    </w:p>
    <w:p w14:paraId="7AE8FEC9">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_Toc18609 </w:instrText>
      </w:r>
      <w:r>
        <w:rPr>
          <w:rFonts w:cs="Times New Roman"/>
        </w:rPr>
        <w:fldChar w:fldCharType="separate"/>
      </w:r>
      <w:r>
        <w:rPr>
          <w:rFonts w:ascii="Times New Roman" w:hAnsi="Times New Roman" w:cs="Times New Roman"/>
        </w:rPr>
        <w:t>第三章 国土空间开发保护格局</w:t>
      </w:r>
      <w:r>
        <w:tab/>
      </w:r>
      <w:r>
        <w:fldChar w:fldCharType="begin"/>
      </w:r>
      <w:r>
        <w:instrText xml:space="preserve"> PAGEREF _Toc18609 \h </w:instrText>
      </w:r>
      <w:r>
        <w:fldChar w:fldCharType="separate"/>
      </w:r>
      <w:r>
        <w:t>11</w:t>
      </w:r>
      <w:r>
        <w:fldChar w:fldCharType="end"/>
      </w:r>
      <w:r>
        <w:rPr>
          <w:rFonts w:cs="Times New Roman"/>
        </w:rPr>
        <w:fldChar w:fldCharType="end"/>
      </w:r>
    </w:p>
    <w:p w14:paraId="57835D0E">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_Toc6009 </w:instrText>
      </w:r>
      <w:r>
        <w:rPr>
          <w:rFonts w:eastAsia="黑体" w:cs="Times New Roman"/>
        </w:rPr>
        <w:fldChar w:fldCharType="separate"/>
      </w:r>
      <w:r>
        <w:rPr>
          <w:rFonts w:cs="Times New Roman"/>
        </w:rPr>
        <w:t>第一节 总体格局</w:t>
      </w:r>
      <w:r>
        <w:tab/>
      </w:r>
      <w:r>
        <w:fldChar w:fldCharType="begin"/>
      </w:r>
      <w:r>
        <w:instrText xml:space="preserve"> PAGEREF _Toc6009 \h </w:instrText>
      </w:r>
      <w:r>
        <w:fldChar w:fldCharType="separate"/>
      </w:r>
      <w:r>
        <w:t>11</w:t>
      </w:r>
      <w:r>
        <w:fldChar w:fldCharType="end"/>
      </w:r>
      <w:r>
        <w:rPr>
          <w:rFonts w:eastAsia="黑体" w:cs="Times New Roman"/>
        </w:rPr>
        <w:fldChar w:fldCharType="end"/>
      </w:r>
    </w:p>
    <w:p w14:paraId="6595BBA0">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_Toc13234 </w:instrText>
      </w:r>
      <w:r>
        <w:rPr>
          <w:rFonts w:eastAsia="黑体" w:cs="Times New Roman"/>
        </w:rPr>
        <w:fldChar w:fldCharType="separate"/>
      </w:r>
      <w:r>
        <w:rPr>
          <w:rFonts w:cs="Times New Roman"/>
        </w:rPr>
        <w:t>第二节 重要控制线划定</w:t>
      </w:r>
      <w:r>
        <w:tab/>
      </w:r>
      <w:r>
        <w:fldChar w:fldCharType="begin"/>
      </w:r>
      <w:r>
        <w:instrText xml:space="preserve"> PAGEREF _Toc13234 \h </w:instrText>
      </w:r>
      <w:r>
        <w:fldChar w:fldCharType="separate"/>
      </w:r>
      <w:r>
        <w:t>13</w:t>
      </w:r>
      <w:r>
        <w:fldChar w:fldCharType="end"/>
      </w:r>
      <w:r>
        <w:rPr>
          <w:rFonts w:eastAsia="黑体" w:cs="Times New Roman"/>
        </w:rPr>
        <w:fldChar w:fldCharType="end"/>
      </w:r>
    </w:p>
    <w:p w14:paraId="3C4BC54A">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_Toc28804 </w:instrText>
      </w:r>
      <w:r>
        <w:rPr>
          <w:rFonts w:eastAsia="黑体" w:cs="Times New Roman"/>
        </w:rPr>
        <w:fldChar w:fldCharType="separate"/>
      </w:r>
      <w:r>
        <w:rPr>
          <w:rFonts w:cs="Times New Roman"/>
        </w:rPr>
        <w:t>第三节 规划分区</w:t>
      </w:r>
      <w:r>
        <w:tab/>
      </w:r>
      <w:r>
        <w:fldChar w:fldCharType="begin"/>
      </w:r>
      <w:r>
        <w:instrText xml:space="preserve"> PAGEREF _Toc28804 \h </w:instrText>
      </w:r>
      <w:r>
        <w:fldChar w:fldCharType="separate"/>
      </w:r>
      <w:r>
        <w:t>16</w:t>
      </w:r>
      <w:r>
        <w:fldChar w:fldCharType="end"/>
      </w:r>
      <w:r>
        <w:rPr>
          <w:rFonts w:eastAsia="黑体" w:cs="Times New Roman"/>
        </w:rPr>
        <w:fldChar w:fldCharType="end"/>
      </w:r>
    </w:p>
    <w:p w14:paraId="41DC6B65">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_Toc17417 </w:instrText>
      </w:r>
      <w:r>
        <w:rPr>
          <w:rFonts w:eastAsia="黑体" w:cs="Times New Roman"/>
        </w:rPr>
        <w:fldChar w:fldCharType="separate"/>
      </w:r>
      <w:r>
        <w:rPr>
          <w:rFonts w:cs="Times New Roman"/>
        </w:rPr>
        <w:t>第四节 国土空间用途结构优化</w:t>
      </w:r>
      <w:r>
        <w:tab/>
      </w:r>
      <w:r>
        <w:fldChar w:fldCharType="begin"/>
      </w:r>
      <w:r>
        <w:instrText xml:space="preserve"> PAGEREF _Toc17417 \h </w:instrText>
      </w:r>
      <w:r>
        <w:fldChar w:fldCharType="separate"/>
      </w:r>
      <w:r>
        <w:t>17</w:t>
      </w:r>
      <w:r>
        <w:fldChar w:fldCharType="end"/>
      </w:r>
      <w:r>
        <w:rPr>
          <w:rFonts w:eastAsia="黑体" w:cs="Times New Roman"/>
        </w:rPr>
        <w:fldChar w:fldCharType="end"/>
      </w:r>
    </w:p>
    <w:p w14:paraId="4010CE6B">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_Toc12350 </w:instrText>
      </w:r>
      <w:r>
        <w:rPr>
          <w:rFonts w:cs="Times New Roman"/>
        </w:rPr>
        <w:fldChar w:fldCharType="separate"/>
      </w:r>
      <w:r>
        <w:rPr>
          <w:rFonts w:ascii="Times New Roman" w:hAnsi="Times New Roman" w:cs="Times New Roman"/>
        </w:rPr>
        <w:t>第四章 资源保护与利用</w:t>
      </w:r>
      <w:r>
        <w:tab/>
      </w:r>
      <w:r>
        <w:fldChar w:fldCharType="begin"/>
      </w:r>
      <w:r>
        <w:instrText xml:space="preserve"> PAGEREF _Toc12350 \h </w:instrText>
      </w:r>
      <w:r>
        <w:fldChar w:fldCharType="separate"/>
      </w:r>
      <w:r>
        <w:t>21</w:t>
      </w:r>
      <w:r>
        <w:fldChar w:fldCharType="end"/>
      </w:r>
      <w:r>
        <w:rPr>
          <w:rFonts w:cs="Times New Roman"/>
        </w:rPr>
        <w:fldChar w:fldCharType="end"/>
      </w:r>
    </w:p>
    <w:p w14:paraId="5FCBB8B5">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_Toc26948 </w:instrText>
      </w:r>
      <w:r>
        <w:rPr>
          <w:rFonts w:eastAsia="黑体" w:cs="Times New Roman"/>
        </w:rPr>
        <w:fldChar w:fldCharType="separate"/>
      </w:r>
      <w:r>
        <w:rPr>
          <w:rFonts w:cs="Times New Roman"/>
        </w:rPr>
        <w:t>第一节 耕地资源</w:t>
      </w:r>
      <w:r>
        <w:tab/>
      </w:r>
      <w:r>
        <w:fldChar w:fldCharType="begin"/>
      </w:r>
      <w:r>
        <w:instrText xml:space="preserve"> PAGEREF _Toc26948 \h </w:instrText>
      </w:r>
      <w:r>
        <w:fldChar w:fldCharType="separate"/>
      </w:r>
      <w:r>
        <w:t>21</w:t>
      </w:r>
      <w:r>
        <w:fldChar w:fldCharType="end"/>
      </w:r>
      <w:r>
        <w:rPr>
          <w:rFonts w:eastAsia="黑体" w:cs="Times New Roman"/>
        </w:rPr>
        <w:fldChar w:fldCharType="end"/>
      </w:r>
    </w:p>
    <w:p w14:paraId="2579EFCA">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_Toc28530 </w:instrText>
      </w:r>
      <w:r>
        <w:rPr>
          <w:rFonts w:eastAsia="黑体" w:cs="Times New Roman"/>
        </w:rPr>
        <w:fldChar w:fldCharType="separate"/>
      </w:r>
      <w:r>
        <w:rPr>
          <w:rFonts w:cs="Times New Roman"/>
        </w:rPr>
        <w:t>第二节 水资源</w:t>
      </w:r>
      <w:r>
        <w:tab/>
      </w:r>
      <w:r>
        <w:fldChar w:fldCharType="begin"/>
      </w:r>
      <w:r>
        <w:instrText xml:space="preserve"> PAGEREF _Toc28530 \h </w:instrText>
      </w:r>
      <w:r>
        <w:fldChar w:fldCharType="separate"/>
      </w:r>
      <w:r>
        <w:t>23</w:t>
      </w:r>
      <w:r>
        <w:fldChar w:fldCharType="end"/>
      </w:r>
      <w:r>
        <w:rPr>
          <w:rFonts w:eastAsia="黑体" w:cs="Times New Roman"/>
        </w:rPr>
        <w:fldChar w:fldCharType="end"/>
      </w:r>
    </w:p>
    <w:p w14:paraId="51F0F1C6">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_Toc2709 </w:instrText>
      </w:r>
      <w:r>
        <w:rPr>
          <w:rFonts w:eastAsia="黑体" w:cs="Times New Roman"/>
        </w:rPr>
        <w:fldChar w:fldCharType="separate"/>
      </w:r>
      <w:r>
        <w:rPr>
          <w:rFonts w:cs="Times New Roman"/>
        </w:rPr>
        <w:t>第三节 湿地资源</w:t>
      </w:r>
      <w:r>
        <w:tab/>
      </w:r>
      <w:r>
        <w:fldChar w:fldCharType="begin"/>
      </w:r>
      <w:r>
        <w:instrText xml:space="preserve"> PAGEREF _Toc2709 \h </w:instrText>
      </w:r>
      <w:r>
        <w:fldChar w:fldCharType="separate"/>
      </w:r>
      <w:r>
        <w:t>24</w:t>
      </w:r>
      <w:r>
        <w:fldChar w:fldCharType="end"/>
      </w:r>
      <w:r>
        <w:rPr>
          <w:rFonts w:eastAsia="黑体" w:cs="Times New Roman"/>
        </w:rPr>
        <w:fldChar w:fldCharType="end"/>
      </w:r>
    </w:p>
    <w:p w14:paraId="23780728">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_Toc11225 </w:instrText>
      </w:r>
      <w:r>
        <w:rPr>
          <w:rFonts w:eastAsia="黑体" w:cs="Times New Roman"/>
        </w:rPr>
        <w:fldChar w:fldCharType="separate"/>
      </w:r>
      <w:r>
        <w:rPr>
          <w:rFonts w:cs="Times New Roman"/>
        </w:rPr>
        <w:t>第四节 林草资源</w:t>
      </w:r>
      <w:r>
        <w:tab/>
      </w:r>
      <w:r>
        <w:fldChar w:fldCharType="begin"/>
      </w:r>
      <w:r>
        <w:instrText xml:space="preserve"> PAGEREF _Toc11225 \h </w:instrText>
      </w:r>
      <w:r>
        <w:fldChar w:fldCharType="separate"/>
      </w:r>
      <w:r>
        <w:t>24</w:t>
      </w:r>
      <w:r>
        <w:fldChar w:fldCharType="end"/>
      </w:r>
      <w:r>
        <w:rPr>
          <w:rFonts w:eastAsia="黑体" w:cs="Times New Roman"/>
        </w:rPr>
        <w:fldChar w:fldCharType="end"/>
      </w:r>
    </w:p>
    <w:p w14:paraId="4EB75548">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_Toc15602 </w:instrText>
      </w:r>
      <w:r>
        <w:rPr>
          <w:rFonts w:eastAsia="黑体" w:cs="Times New Roman"/>
        </w:rPr>
        <w:fldChar w:fldCharType="separate"/>
      </w:r>
      <w:r>
        <w:rPr>
          <w:rFonts w:cs="Times New Roman"/>
        </w:rPr>
        <w:t>第五节 矿产资源</w:t>
      </w:r>
      <w:r>
        <w:tab/>
      </w:r>
      <w:r>
        <w:fldChar w:fldCharType="begin"/>
      </w:r>
      <w:r>
        <w:instrText xml:space="preserve"> PAGEREF _Toc15602 \h </w:instrText>
      </w:r>
      <w:r>
        <w:fldChar w:fldCharType="separate"/>
      </w:r>
      <w:r>
        <w:t>25</w:t>
      </w:r>
      <w:r>
        <w:fldChar w:fldCharType="end"/>
      </w:r>
      <w:r>
        <w:rPr>
          <w:rFonts w:eastAsia="黑体" w:cs="Times New Roman"/>
        </w:rPr>
        <w:fldChar w:fldCharType="end"/>
      </w:r>
    </w:p>
    <w:p w14:paraId="6A4F9D7F">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_Toc1066 </w:instrText>
      </w:r>
      <w:r>
        <w:rPr>
          <w:rFonts w:eastAsia="黑体" w:cs="Times New Roman"/>
        </w:rPr>
        <w:fldChar w:fldCharType="separate"/>
      </w:r>
      <w:r>
        <w:rPr>
          <w:rFonts w:cs="Times New Roman"/>
        </w:rPr>
        <w:t>第六节 历史文化资源</w:t>
      </w:r>
      <w:r>
        <w:tab/>
      </w:r>
      <w:r>
        <w:fldChar w:fldCharType="begin"/>
      </w:r>
      <w:r>
        <w:instrText xml:space="preserve"> PAGEREF _Toc1066 \h </w:instrText>
      </w:r>
      <w:r>
        <w:fldChar w:fldCharType="separate"/>
      </w:r>
      <w:r>
        <w:t>26</w:t>
      </w:r>
      <w:r>
        <w:fldChar w:fldCharType="end"/>
      </w:r>
      <w:r>
        <w:rPr>
          <w:rFonts w:eastAsia="黑体" w:cs="Times New Roman"/>
        </w:rPr>
        <w:fldChar w:fldCharType="end"/>
      </w:r>
    </w:p>
    <w:p w14:paraId="0B59F206">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_Toc29546 </w:instrText>
      </w:r>
      <w:r>
        <w:rPr>
          <w:rFonts w:cs="Times New Roman"/>
        </w:rPr>
        <w:fldChar w:fldCharType="separate"/>
      </w:r>
      <w:r>
        <w:rPr>
          <w:rFonts w:ascii="Times New Roman" w:hAnsi="Times New Roman" w:cs="Times New Roman"/>
        </w:rPr>
        <w:t>第五章 镇村统筹发展</w:t>
      </w:r>
      <w:r>
        <w:tab/>
      </w:r>
      <w:r>
        <w:fldChar w:fldCharType="begin"/>
      </w:r>
      <w:r>
        <w:instrText xml:space="preserve"> PAGEREF _Toc29546 \h </w:instrText>
      </w:r>
      <w:r>
        <w:fldChar w:fldCharType="separate"/>
      </w:r>
      <w:r>
        <w:t>29</w:t>
      </w:r>
      <w:r>
        <w:fldChar w:fldCharType="end"/>
      </w:r>
      <w:r>
        <w:rPr>
          <w:rFonts w:cs="Times New Roman"/>
        </w:rPr>
        <w:fldChar w:fldCharType="end"/>
      </w:r>
    </w:p>
    <w:p w14:paraId="14A67E57">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_Toc31136 </w:instrText>
      </w:r>
      <w:r>
        <w:rPr>
          <w:rFonts w:eastAsia="黑体" w:cs="Times New Roman"/>
        </w:rPr>
        <w:fldChar w:fldCharType="separate"/>
      </w:r>
      <w:r>
        <w:rPr>
          <w:rFonts w:cs="Times New Roman"/>
        </w:rPr>
        <w:t>第一节 镇村体系</w:t>
      </w:r>
      <w:r>
        <w:tab/>
      </w:r>
      <w:r>
        <w:fldChar w:fldCharType="begin"/>
      </w:r>
      <w:r>
        <w:instrText xml:space="preserve"> PAGEREF _Toc31136 \h </w:instrText>
      </w:r>
      <w:r>
        <w:fldChar w:fldCharType="separate"/>
      </w:r>
      <w:r>
        <w:t>29</w:t>
      </w:r>
      <w:r>
        <w:fldChar w:fldCharType="end"/>
      </w:r>
      <w:r>
        <w:rPr>
          <w:rFonts w:eastAsia="黑体" w:cs="Times New Roman"/>
        </w:rPr>
        <w:fldChar w:fldCharType="end"/>
      </w:r>
    </w:p>
    <w:p w14:paraId="52497EE2">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_Toc17166 </w:instrText>
      </w:r>
      <w:r>
        <w:rPr>
          <w:rFonts w:eastAsia="黑体" w:cs="Times New Roman"/>
        </w:rPr>
        <w:fldChar w:fldCharType="separate"/>
      </w:r>
      <w:r>
        <w:rPr>
          <w:rFonts w:cs="Times New Roman"/>
        </w:rPr>
        <w:t>第二节 村庄布局</w:t>
      </w:r>
      <w:r>
        <w:tab/>
      </w:r>
      <w:r>
        <w:fldChar w:fldCharType="begin"/>
      </w:r>
      <w:r>
        <w:instrText xml:space="preserve"> PAGEREF _Toc17166 \h </w:instrText>
      </w:r>
      <w:r>
        <w:fldChar w:fldCharType="separate"/>
      </w:r>
      <w:r>
        <w:t>30</w:t>
      </w:r>
      <w:r>
        <w:fldChar w:fldCharType="end"/>
      </w:r>
      <w:r>
        <w:rPr>
          <w:rFonts w:eastAsia="黑体" w:cs="Times New Roman"/>
        </w:rPr>
        <w:fldChar w:fldCharType="end"/>
      </w:r>
    </w:p>
    <w:p w14:paraId="6895958A">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_Toc2757 </w:instrText>
      </w:r>
      <w:r>
        <w:rPr>
          <w:rFonts w:eastAsia="黑体" w:cs="Times New Roman"/>
        </w:rPr>
        <w:fldChar w:fldCharType="separate"/>
      </w:r>
      <w:r>
        <w:rPr>
          <w:rFonts w:cs="Times New Roman"/>
        </w:rPr>
        <w:t>第三节 “通则式”村庄规划管控</w:t>
      </w:r>
      <w:r>
        <w:tab/>
      </w:r>
      <w:r>
        <w:fldChar w:fldCharType="begin"/>
      </w:r>
      <w:r>
        <w:instrText xml:space="preserve"> PAGEREF _Toc2757 \h </w:instrText>
      </w:r>
      <w:r>
        <w:fldChar w:fldCharType="separate"/>
      </w:r>
      <w:r>
        <w:t>33</w:t>
      </w:r>
      <w:r>
        <w:fldChar w:fldCharType="end"/>
      </w:r>
      <w:r>
        <w:rPr>
          <w:rFonts w:eastAsia="黑体" w:cs="Times New Roman"/>
        </w:rPr>
        <w:fldChar w:fldCharType="end"/>
      </w:r>
    </w:p>
    <w:p w14:paraId="4D96CF7C">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_Toc24338 </w:instrText>
      </w:r>
      <w:r>
        <w:rPr>
          <w:rFonts w:eastAsia="黑体" w:cs="Times New Roman"/>
        </w:rPr>
        <w:fldChar w:fldCharType="separate"/>
      </w:r>
      <w:r>
        <w:rPr>
          <w:rFonts w:cs="Times New Roman"/>
        </w:rPr>
        <w:t>第四节 产业布局</w:t>
      </w:r>
      <w:r>
        <w:tab/>
      </w:r>
      <w:r>
        <w:fldChar w:fldCharType="begin"/>
      </w:r>
      <w:r>
        <w:instrText xml:space="preserve"> PAGEREF _Toc24338 \h </w:instrText>
      </w:r>
      <w:r>
        <w:fldChar w:fldCharType="separate"/>
      </w:r>
      <w:r>
        <w:t>36</w:t>
      </w:r>
      <w:r>
        <w:fldChar w:fldCharType="end"/>
      </w:r>
      <w:r>
        <w:rPr>
          <w:rFonts w:eastAsia="黑体" w:cs="Times New Roman"/>
        </w:rPr>
        <w:fldChar w:fldCharType="end"/>
      </w:r>
    </w:p>
    <w:p w14:paraId="2DA2A7A8">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_Toc22913 </w:instrText>
      </w:r>
      <w:r>
        <w:rPr>
          <w:rFonts w:eastAsia="黑体" w:cs="Times New Roman"/>
        </w:rPr>
        <w:fldChar w:fldCharType="separate"/>
      </w:r>
      <w:r>
        <w:rPr>
          <w:rFonts w:cs="Times New Roman"/>
        </w:rPr>
        <w:t>第五节 景观风貌</w:t>
      </w:r>
      <w:r>
        <w:tab/>
      </w:r>
      <w:r>
        <w:fldChar w:fldCharType="begin"/>
      </w:r>
      <w:r>
        <w:instrText xml:space="preserve"> PAGEREF _Toc22913 \h </w:instrText>
      </w:r>
      <w:r>
        <w:fldChar w:fldCharType="separate"/>
      </w:r>
      <w:r>
        <w:t>42</w:t>
      </w:r>
      <w:r>
        <w:fldChar w:fldCharType="end"/>
      </w:r>
      <w:r>
        <w:rPr>
          <w:rFonts w:eastAsia="黑体" w:cs="Times New Roman"/>
        </w:rPr>
        <w:fldChar w:fldCharType="end"/>
      </w:r>
    </w:p>
    <w:p w14:paraId="5406A92D">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_Toc22300 </w:instrText>
      </w:r>
      <w:r>
        <w:rPr>
          <w:rFonts w:cs="Times New Roman"/>
        </w:rPr>
        <w:fldChar w:fldCharType="separate"/>
      </w:r>
      <w:r>
        <w:rPr>
          <w:rFonts w:ascii="Times New Roman" w:hAnsi="Times New Roman" w:cs="Times New Roman"/>
        </w:rPr>
        <w:t>第六章 生态修复和国土综合整治</w:t>
      </w:r>
      <w:r>
        <w:tab/>
      </w:r>
      <w:r>
        <w:fldChar w:fldCharType="begin"/>
      </w:r>
      <w:r>
        <w:instrText xml:space="preserve"> PAGEREF _Toc22300 \h </w:instrText>
      </w:r>
      <w:r>
        <w:fldChar w:fldCharType="separate"/>
      </w:r>
      <w:r>
        <w:t>47</w:t>
      </w:r>
      <w:r>
        <w:fldChar w:fldCharType="end"/>
      </w:r>
      <w:r>
        <w:rPr>
          <w:rFonts w:cs="Times New Roman"/>
        </w:rPr>
        <w:fldChar w:fldCharType="end"/>
      </w:r>
    </w:p>
    <w:p w14:paraId="1E9518B0">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_Toc24260 </w:instrText>
      </w:r>
      <w:r>
        <w:rPr>
          <w:rFonts w:eastAsia="黑体" w:cs="Times New Roman"/>
        </w:rPr>
        <w:fldChar w:fldCharType="separate"/>
      </w:r>
      <w:r>
        <w:rPr>
          <w:rFonts w:cs="Times New Roman"/>
        </w:rPr>
        <w:t>第一节 生态修复</w:t>
      </w:r>
      <w:r>
        <w:tab/>
      </w:r>
      <w:r>
        <w:fldChar w:fldCharType="begin"/>
      </w:r>
      <w:r>
        <w:instrText xml:space="preserve"> PAGEREF _Toc24260 \h </w:instrText>
      </w:r>
      <w:r>
        <w:fldChar w:fldCharType="separate"/>
      </w:r>
      <w:r>
        <w:t>47</w:t>
      </w:r>
      <w:r>
        <w:fldChar w:fldCharType="end"/>
      </w:r>
      <w:r>
        <w:rPr>
          <w:rFonts w:eastAsia="黑体" w:cs="Times New Roman"/>
        </w:rPr>
        <w:fldChar w:fldCharType="end"/>
      </w:r>
    </w:p>
    <w:p w14:paraId="58E0DCA5">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_Toc12500 </w:instrText>
      </w:r>
      <w:r>
        <w:rPr>
          <w:rFonts w:eastAsia="黑体" w:cs="Times New Roman"/>
        </w:rPr>
        <w:fldChar w:fldCharType="separate"/>
      </w:r>
      <w:r>
        <w:rPr>
          <w:rFonts w:cs="Times New Roman"/>
        </w:rPr>
        <w:t>第二节 国土综合整治</w:t>
      </w:r>
      <w:r>
        <w:tab/>
      </w:r>
      <w:r>
        <w:fldChar w:fldCharType="begin"/>
      </w:r>
      <w:r>
        <w:instrText xml:space="preserve"> PAGEREF _Toc12500 \h </w:instrText>
      </w:r>
      <w:r>
        <w:fldChar w:fldCharType="separate"/>
      </w:r>
      <w:r>
        <w:t>49</w:t>
      </w:r>
      <w:r>
        <w:fldChar w:fldCharType="end"/>
      </w:r>
      <w:r>
        <w:rPr>
          <w:rFonts w:eastAsia="黑体" w:cs="Times New Roman"/>
        </w:rPr>
        <w:fldChar w:fldCharType="end"/>
      </w:r>
    </w:p>
    <w:p w14:paraId="457D956F">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_Toc57 </w:instrText>
      </w:r>
      <w:r>
        <w:rPr>
          <w:rFonts w:cs="Times New Roman"/>
        </w:rPr>
        <w:fldChar w:fldCharType="separate"/>
      </w:r>
      <w:r>
        <w:rPr>
          <w:rFonts w:ascii="Times New Roman" w:hAnsi="Times New Roman" w:cs="Times New Roman"/>
        </w:rPr>
        <w:t>第七章 乡中心区功能布局与规划管控</w:t>
      </w:r>
      <w:r>
        <w:tab/>
      </w:r>
      <w:r>
        <w:fldChar w:fldCharType="begin"/>
      </w:r>
      <w:r>
        <w:instrText xml:space="preserve"> PAGEREF _Toc57 \h </w:instrText>
      </w:r>
      <w:r>
        <w:fldChar w:fldCharType="separate"/>
      </w:r>
      <w:r>
        <w:t>52</w:t>
      </w:r>
      <w:r>
        <w:fldChar w:fldCharType="end"/>
      </w:r>
      <w:r>
        <w:rPr>
          <w:rFonts w:cs="Times New Roman"/>
        </w:rPr>
        <w:fldChar w:fldCharType="end"/>
      </w:r>
    </w:p>
    <w:p w14:paraId="7DDAA7F3">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_Toc32567 </w:instrText>
      </w:r>
      <w:r>
        <w:rPr>
          <w:rFonts w:eastAsia="黑体" w:cs="Times New Roman"/>
        </w:rPr>
        <w:fldChar w:fldCharType="separate"/>
      </w:r>
      <w:r>
        <w:rPr>
          <w:rFonts w:cs="Times New Roman"/>
        </w:rPr>
        <w:t>第一节 规划分区与用途管制</w:t>
      </w:r>
      <w:r>
        <w:tab/>
      </w:r>
      <w:r>
        <w:fldChar w:fldCharType="begin"/>
      </w:r>
      <w:r>
        <w:instrText xml:space="preserve"> PAGEREF _Toc32567 \h </w:instrText>
      </w:r>
      <w:r>
        <w:fldChar w:fldCharType="separate"/>
      </w:r>
      <w:r>
        <w:t>52</w:t>
      </w:r>
      <w:r>
        <w:fldChar w:fldCharType="end"/>
      </w:r>
      <w:r>
        <w:rPr>
          <w:rFonts w:eastAsia="黑体" w:cs="Times New Roman"/>
        </w:rPr>
        <w:fldChar w:fldCharType="end"/>
      </w:r>
    </w:p>
    <w:p w14:paraId="486A134E">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_Toc16620 </w:instrText>
      </w:r>
      <w:r>
        <w:rPr>
          <w:rFonts w:eastAsia="黑体" w:cs="Times New Roman"/>
        </w:rPr>
        <w:fldChar w:fldCharType="separate"/>
      </w:r>
      <w:r>
        <w:rPr>
          <w:rFonts w:cs="Times New Roman"/>
        </w:rPr>
        <w:t>第二节 用地结构和布局</w:t>
      </w:r>
      <w:r>
        <w:tab/>
      </w:r>
      <w:r>
        <w:fldChar w:fldCharType="begin"/>
      </w:r>
      <w:r>
        <w:instrText xml:space="preserve"> PAGEREF _Toc16620 \h </w:instrText>
      </w:r>
      <w:r>
        <w:fldChar w:fldCharType="separate"/>
      </w:r>
      <w:r>
        <w:t>54</w:t>
      </w:r>
      <w:r>
        <w:fldChar w:fldCharType="end"/>
      </w:r>
      <w:r>
        <w:rPr>
          <w:rFonts w:eastAsia="黑体" w:cs="Times New Roman"/>
        </w:rPr>
        <w:fldChar w:fldCharType="end"/>
      </w:r>
    </w:p>
    <w:p w14:paraId="28738542">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_Toc27958 </w:instrText>
      </w:r>
      <w:r>
        <w:rPr>
          <w:rFonts w:eastAsia="黑体" w:cs="Times New Roman"/>
        </w:rPr>
        <w:fldChar w:fldCharType="separate"/>
      </w:r>
      <w:r>
        <w:rPr>
          <w:rFonts w:cs="Times New Roman"/>
        </w:rPr>
        <w:t>第三节 绿地系统和开敞空间</w:t>
      </w:r>
      <w:r>
        <w:tab/>
      </w:r>
      <w:r>
        <w:fldChar w:fldCharType="begin"/>
      </w:r>
      <w:r>
        <w:instrText xml:space="preserve"> PAGEREF _Toc27958 \h </w:instrText>
      </w:r>
      <w:r>
        <w:fldChar w:fldCharType="separate"/>
      </w:r>
      <w:r>
        <w:t>56</w:t>
      </w:r>
      <w:r>
        <w:fldChar w:fldCharType="end"/>
      </w:r>
      <w:r>
        <w:rPr>
          <w:rFonts w:eastAsia="黑体" w:cs="Times New Roman"/>
        </w:rPr>
        <w:fldChar w:fldCharType="end"/>
      </w:r>
    </w:p>
    <w:p w14:paraId="72CBFA5B">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_Toc19399 </w:instrText>
      </w:r>
      <w:r>
        <w:rPr>
          <w:rFonts w:eastAsia="黑体" w:cs="Times New Roman"/>
        </w:rPr>
        <w:fldChar w:fldCharType="separate"/>
      </w:r>
      <w:r>
        <w:rPr>
          <w:rFonts w:cs="Times New Roman"/>
        </w:rPr>
        <w:t>第四节 景观风貌</w:t>
      </w:r>
      <w:r>
        <w:tab/>
      </w:r>
      <w:r>
        <w:fldChar w:fldCharType="begin"/>
      </w:r>
      <w:r>
        <w:instrText xml:space="preserve"> PAGEREF _Toc19399 \h </w:instrText>
      </w:r>
      <w:r>
        <w:fldChar w:fldCharType="separate"/>
      </w:r>
      <w:r>
        <w:t>58</w:t>
      </w:r>
      <w:r>
        <w:fldChar w:fldCharType="end"/>
      </w:r>
      <w:r>
        <w:rPr>
          <w:rFonts w:eastAsia="黑体" w:cs="Times New Roman"/>
        </w:rPr>
        <w:fldChar w:fldCharType="end"/>
      </w:r>
    </w:p>
    <w:p w14:paraId="16507CE8">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_Toc7856 </w:instrText>
      </w:r>
      <w:r>
        <w:rPr>
          <w:rFonts w:eastAsia="黑体" w:cs="Times New Roman"/>
        </w:rPr>
        <w:fldChar w:fldCharType="separate"/>
      </w:r>
      <w:r>
        <w:rPr>
          <w:rFonts w:cs="Times New Roman"/>
        </w:rPr>
        <w:t>第五节 住房保障</w:t>
      </w:r>
      <w:r>
        <w:tab/>
      </w:r>
      <w:r>
        <w:fldChar w:fldCharType="begin"/>
      </w:r>
      <w:r>
        <w:instrText xml:space="preserve"> PAGEREF _Toc7856 \h </w:instrText>
      </w:r>
      <w:r>
        <w:fldChar w:fldCharType="separate"/>
      </w:r>
      <w:r>
        <w:t>61</w:t>
      </w:r>
      <w:r>
        <w:fldChar w:fldCharType="end"/>
      </w:r>
      <w:r>
        <w:rPr>
          <w:rFonts w:eastAsia="黑体" w:cs="Times New Roman"/>
        </w:rPr>
        <w:fldChar w:fldCharType="end"/>
      </w:r>
    </w:p>
    <w:p w14:paraId="28D48FE6">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_Toc20308 </w:instrText>
      </w:r>
      <w:r>
        <w:rPr>
          <w:rFonts w:eastAsia="黑体" w:cs="Times New Roman"/>
        </w:rPr>
        <w:fldChar w:fldCharType="separate"/>
      </w:r>
      <w:r>
        <w:rPr>
          <w:rFonts w:cs="Times New Roman"/>
        </w:rPr>
        <w:t>第六节 城镇更新</w:t>
      </w:r>
      <w:r>
        <w:tab/>
      </w:r>
      <w:r>
        <w:fldChar w:fldCharType="begin"/>
      </w:r>
      <w:r>
        <w:instrText xml:space="preserve"> PAGEREF _Toc20308 \h </w:instrText>
      </w:r>
      <w:r>
        <w:fldChar w:fldCharType="separate"/>
      </w:r>
      <w:r>
        <w:t>61</w:t>
      </w:r>
      <w:r>
        <w:fldChar w:fldCharType="end"/>
      </w:r>
      <w:r>
        <w:rPr>
          <w:rFonts w:eastAsia="黑体" w:cs="Times New Roman"/>
        </w:rPr>
        <w:fldChar w:fldCharType="end"/>
      </w:r>
    </w:p>
    <w:p w14:paraId="7DA12632">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_Toc8641 </w:instrText>
      </w:r>
      <w:r>
        <w:rPr>
          <w:rFonts w:eastAsia="黑体" w:cs="Times New Roman"/>
        </w:rPr>
        <w:fldChar w:fldCharType="separate"/>
      </w:r>
      <w:r>
        <w:rPr>
          <w:rFonts w:cs="Times New Roman"/>
        </w:rPr>
        <w:t>第七节 “四线”管控</w:t>
      </w:r>
      <w:r>
        <w:tab/>
      </w:r>
      <w:r>
        <w:fldChar w:fldCharType="begin"/>
      </w:r>
      <w:r>
        <w:instrText xml:space="preserve"> PAGEREF _Toc8641 \h </w:instrText>
      </w:r>
      <w:r>
        <w:fldChar w:fldCharType="separate"/>
      </w:r>
      <w:r>
        <w:t>62</w:t>
      </w:r>
      <w:r>
        <w:fldChar w:fldCharType="end"/>
      </w:r>
      <w:r>
        <w:rPr>
          <w:rFonts w:eastAsia="黑体" w:cs="Times New Roman"/>
        </w:rPr>
        <w:fldChar w:fldCharType="end"/>
      </w:r>
    </w:p>
    <w:p w14:paraId="2A433C7C">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_Toc7201 </w:instrText>
      </w:r>
      <w:r>
        <w:rPr>
          <w:rFonts w:cs="Times New Roman"/>
        </w:rPr>
        <w:fldChar w:fldCharType="separate"/>
      </w:r>
      <w:r>
        <w:rPr>
          <w:rFonts w:ascii="Times New Roman" w:hAnsi="Times New Roman" w:cs="Times New Roman"/>
        </w:rPr>
        <w:t>第八章 国土空间保障支撑体系</w:t>
      </w:r>
      <w:r>
        <w:tab/>
      </w:r>
      <w:r>
        <w:fldChar w:fldCharType="begin"/>
      </w:r>
      <w:r>
        <w:instrText xml:space="preserve"> PAGEREF _Toc7201 \h </w:instrText>
      </w:r>
      <w:r>
        <w:fldChar w:fldCharType="separate"/>
      </w:r>
      <w:r>
        <w:t>64</w:t>
      </w:r>
      <w:r>
        <w:fldChar w:fldCharType="end"/>
      </w:r>
      <w:r>
        <w:rPr>
          <w:rFonts w:cs="Times New Roman"/>
        </w:rPr>
        <w:fldChar w:fldCharType="end"/>
      </w:r>
    </w:p>
    <w:p w14:paraId="70741F4F">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_Toc15353 </w:instrText>
      </w:r>
      <w:r>
        <w:rPr>
          <w:rFonts w:eastAsia="黑体" w:cs="Times New Roman"/>
        </w:rPr>
        <w:fldChar w:fldCharType="separate"/>
      </w:r>
      <w:r>
        <w:rPr>
          <w:rFonts w:cs="Times New Roman"/>
        </w:rPr>
        <w:t>第一节 公共服务设施</w:t>
      </w:r>
      <w:r>
        <w:tab/>
      </w:r>
      <w:r>
        <w:fldChar w:fldCharType="begin"/>
      </w:r>
      <w:r>
        <w:instrText xml:space="preserve"> PAGEREF _Toc15353 \h </w:instrText>
      </w:r>
      <w:r>
        <w:fldChar w:fldCharType="separate"/>
      </w:r>
      <w:r>
        <w:t>64</w:t>
      </w:r>
      <w:r>
        <w:fldChar w:fldCharType="end"/>
      </w:r>
      <w:r>
        <w:rPr>
          <w:rFonts w:eastAsia="黑体" w:cs="Times New Roman"/>
        </w:rPr>
        <w:fldChar w:fldCharType="end"/>
      </w:r>
    </w:p>
    <w:p w14:paraId="31E217BB">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_Toc17340 </w:instrText>
      </w:r>
      <w:r>
        <w:rPr>
          <w:rFonts w:eastAsia="黑体" w:cs="Times New Roman"/>
        </w:rPr>
        <w:fldChar w:fldCharType="separate"/>
      </w:r>
      <w:r>
        <w:rPr>
          <w:rFonts w:cs="Times New Roman"/>
        </w:rPr>
        <w:t>第二节 综合交通设施</w:t>
      </w:r>
      <w:r>
        <w:tab/>
      </w:r>
      <w:r>
        <w:fldChar w:fldCharType="begin"/>
      </w:r>
      <w:r>
        <w:instrText xml:space="preserve"> PAGEREF _Toc17340 \h </w:instrText>
      </w:r>
      <w:r>
        <w:fldChar w:fldCharType="separate"/>
      </w:r>
      <w:r>
        <w:t>69</w:t>
      </w:r>
      <w:r>
        <w:fldChar w:fldCharType="end"/>
      </w:r>
      <w:r>
        <w:rPr>
          <w:rFonts w:eastAsia="黑体" w:cs="Times New Roman"/>
        </w:rPr>
        <w:fldChar w:fldCharType="end"/>
      </w:r>
    </w:p>
    <w:p w14:paraId="49B5287D">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_Toc31236 </w:instrText>
      </w:r>
      <w:r>
        <w:rPr>
          <w:rFonts w:eastAsia="黑体" w:cs="Times New Roman"/>
        </w:rPr>
        <w:fldChar w:fldCharType="separate"/>
      </w:r>
      <w:r>
        <w:rPr>
          <w:rFonts w:cs="Times New Roman"/>
        </w:rPr>
        <w:t>第三节 市政基础设施</w:t>
      </w:r>
      <w:r>
        <w:tab/>
      </w:r>
      <w:r>
        <w:fldChar w:fldCharType="begin"/>
      </w:r>
      <w:r>
        <w:instrText xml:space="preserve"> PAGEREF _Toc31236 \h </w:instrText>
      </w:r>
      <w:r>
        <w:fldChar w:fldCharType="separate"/>
      </w:r>
      <w:r>
        <w:t>72</w:t>
      </w:r>
      <w:r>
        <w:fldChar w:fldCharType="end"/>
      </w:r>
      <w:r>
        <w:rPr>
          <w:rFonts w:eastAsia="黑体" w:cs="Times New Roman"/>
        </w:rPr>
        <w:fldChar w:fldCharType="end"/>
      </w:r>
    </w:p>
    <w:p w14:paraId="45DF2F28">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_Toc9253 </w:instrText>
      </w:r>
      <w:r>
        <w:rPr>
          <w:rFonts w:eastAsia="黑体" w:cs="Times New Roman"/>
        </w:rPr>
        <w:fldChar w:fldCharType="separate"/>
      </w:r>
      <w:r>
        <w:rPr>
          <w:rFonts w:cs="Times New Roman"/>
        </w:rPr>
        <w:t>第四节 防灾减灾设施</w:t>
      </w:r>
      <w:r>
        <w:tab/>
      </w:r>
      <w:r>
        <w:fldChar w:fldCharType="begin"/>
      </w:r>
      <w:r>
        <w:instrText xml:space="preserve"> PAGEREF _Toc9253 \h </w:instrText>
      </w:r>
      <w:r>
        <w:fldChar w:fldCharType="separate"/>
      </w:r>
      <w:r>
        <w:t>80</w:t>
      </w:r>
      <w:r>
        <w:fldChar w:fldCharType="end"/>
      </w:r>
      <w:r>
        <w:rPr>
          <w:rFonts w:eastAsia="黑体" w:cs="Times New Roman"/>
        </w:rPr>
        <w:fldChar w:fldCharType="end"/>
      </w:r>
    </w:p>
    <w:p w14:paraId="1E20F304">
      <w:pPr>
        <w:pStyle w:val="11"/>
        <w:tabs>
          <w:tab w:val="right" w:leader="dot" w:pos="8312"/>
          <w:tab w:val="clear" w:pos="8302"/>
        </w:tabs>
        <w:rPr>
          <w:rFonts w:hint="eastAsia"/>
        </w:rPr>
      </w:pPr>
      <w:r>
        <w:rPr>
          <w:rFonts w:cs="Times New Roman"/>
        </w:rPr>
        <w:fldChar w:fldCharType="begin"/>
      </w:r>
      <w:r>
        <w:rPr>
          <w:rFonts w:cs="Times New Roman"/>
        </w:rPr>
        <w:instrText xml:space="preserve"> HYPERLINK \l _Toc24001 </w:instrText>
      </w:r>
      <w:r>
        <w:rPr>
          <w:rFonts w:cs="Times New Roman"/>
        </w:rPr>
        <w:fldChar w:fldCharType="separate"/>
      </w:r>
      <w:r>
        <w:rPr>
          <w:rFonts w:ascii="Times New Roman" w:hAnsi="Times New Roman" w:cs="Times New Roman"/>
        </w:rPr>
        <w:t>第九章 规划传导与近期建设</w:t>
      </w:r>
      <w:r>
        <w:tab/>
      </w:r>
      <w:r>
        <w:fldChar w:fldCharType="begin"/>
      </w:r>
      <w:r>
        <w:instrText xml:space="preserve"> PAGEREF _Toc24001 \h </w:instrText>
      </w:r>
      <w:r>
        <w:fldChar w:fldCharType="separate"/>
      </w:r>
      <w:r>
        <w:t>86</w:t>
      </w:r>
      <w:r>
        <w:fldChar w:fldCharType="end"/>
      </w:r>
      <w:r>
        <w:rPr>
          <w:rFonts w:cs="Times New Roman"/>
        </w:rPr>
        <w:fldChar w:fldCharType="end"/>
      </w:r>
    </w:p>
    <w:p w14:paraId="71179FFD">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_Toc27680 </w:instrText>
      </w:r>
      <w:r>
        <w:rPr>
          <w:rFonts w:eastAsia="黑体" w:cs="Times New Roman"/>
        </w:rPr>
        <w:fldChar w:fldCharType="separate"/>
      </w:r>
      <w:r>
        <w:rPr>
          <w:rFonts w:cs="Times New Roman"/>
        </w:rPr>
        <w:t>第一节 加强党的领导</w:t>
      </w:r>
      <w:r>
        <w:tab/>
      </w:r>
      <w:r>
        <w:fldChar w:fldCharType="begin"/>
      </w:r>
      <w:r>
        <w:instrText xml:space="preserve"> PAGEREF _Toc27680 \h </w:instrText>
      </w:r>
      <w:r>
        <w:fldChar w:fldCharType="separate"/>
      </w:r>
      <w:r>
        <w:t>86</w:t>
      </w:r>
      <w:r>
        <w:fldChar w:fldCharType="end"/>
      </w:r>
      <w:r>
        <w:rPr>
          <w:rFonts w:eastAsia="黑体" w:cs="Times New Roman"/>
        </w:rPr>
        <w:fldChar w:fldCharType="end"/>
      </w:r>
    </w:p>
    <w:p w14:paraId="3261AE50">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_Toc9692 </w:instrText>
      </w:r>
      <w:r>
        <w:rPr>
          <w:rFonts w:eastAsia="黑体" w:cs="Times New Roman"/>
        </w:rPr>
        <w:fldChar w:fldCharType="separate"/>
      </w:r>
      <w:r>
        <w:rPr>
          <w:rFonts w:cs="Times New Roman"/>
        </w:rPr>
        <w:t>第二节 详细规划传导</w:t>
      </w:r>
      <w:r>
        <w:tab/>
      </w:r>
      <w:r>
        <w:fldChar w:fldCharType="begin"/>
      </w:r>
      <w:r>
        <w:instrText xml:space="preserve"> PAGEREF _Toc9692 \h </w:instrText>
      </w:r>
      <w:r>
        <w:fldChar w:fldCharType="separate"/>
      </w:r>
      <w:r>
        <w:t>87</w:t>
      </w:r>
      <w:r>
        <w:fldChar w:fldCharType="end"/>
      </w:r>
      <w:r>
        <w:rPr>
          <w:rFonts w:eastAsia="黑体" w:cs="Times New Roman"/>
        </w:rPr>
        <w:fldChar w:fldCharType="end"/>
      </w:r>
    </w:p>
    <w:p w14:paraId="68690136">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_Toc18130 </w:instrText>
      </w:r>
      <w:r>
        <w:rPr>
          <w:rFonts w:eastAsia="黑体" w:cs="Times New Roman"/>
        </w:rPr>
        <w:fldChar w:fldCharType="separate"/>
      </w:r>
      <w:r>
        <w:rPr>
          <w:rFonts w:cs="Times New Roman"/>
        </w:rPr>
        <w:t>第三节 近期建设</w:t>
      </w:r>
      <w:r>
        <w:tab/>
      </w:r>
      <w:r>
        <w:fldChar w:fldCharType="begin"/>
      </w:r>
      <w:r>
        <w:instrText xml:space="preserve"> PAGEREF _Toc18130 \h </w:instrText>
      </w:r>
      <w:r>
        <w:fldChar w:fldCharType="separate"/>
      </w:r>
      <w:r>
        <w:t>89</w:t>
      </w:r>
      <w:r>
        <w:fldChar w:fldCharType="end"/>
      </w:r>
      <w:r>
        <w:rPr>
          <w:rFonts w:eastAsia="黑体" w:cs="Times New Roman"/>
        </w:rPr>
        <w:fldChar w:fldCharType="end"/>
      </w:r>
    </w:p>
    <w:p w14:paraId="1F605FC4">
      <w:pPr>
        <w:pStyle w:val="12"/>
        <w:tabs>
          <w:tab w:val="right" w:leader="dot" w:pos="8312"/>
        </w:tabs>
        <w:ind w:left="640" w:firstLine="640"/>
      </w:pPr>
      <w:r>
        <w:rPr>
          <w:rFonts w:eastAsia="黑体" w:cs="Times New Roman"/>
        </w:rPr>
        <w:fldChar w:fldCharType="begin"/>
      </w:r>
      <w:r>
        <w:rPr>
          <w:rFonts w:eastAsia="黑体" w:cs="Times New Roman"/>
        </w:rPr>
        <w:instrText xml:space="preserve"> HYPERLINK \l _Toc17249 </w:instrText>
      </w:r>
      <w:r>
        <w:rPr>
          <w:rFonts w:eastAsia="黑体" w:cs="Times New Roman"/>
        </w:rPr>
        <w:fldChar w:fldCharType="separate"/>
      </w:r>
      <w:r>
        <w:rPr>
          <w:rFonts w:cs="Times New Roman"/>
        </w:rPr>
        <w:t>第四节 “一张图”建设与实施监督</w:t>
      </w:r>
      <w:r>
        <w:tab/>
      </w:r>
      <w:r>
        <w:fldChar w:fldCharType="begin"/>
      </w:r>
      <w:r>
        <w:instrText xml:space="preserve"> PAGEREF _Toc17249 \h </w:instrText>
      </w:r>
      <w:r>
        <w:fldChar w:fldCharType="separate"/>
      </w:r>
      <w:r>
        <w:t>92</w:t>
      </w:r>
      <w:r>
        <w:fldChar w:fldCharType="end"/>
      </w:r>
      <w:r>
        <w:rPr>
          <w:rFonts w:eastAsia="黑体" w:cs="Times New Roman"/>
        </w:rPr>
        <w:fldChar w:fldCharType="end"/>
      </w:r>
    </w:p>
    <w:p w14:paraId="4F46B24D">
      <w:pPr>
        <w:ind w:firstLine="640"/>
        <w:rPr>
          <w:rFonts w:cs="Times New Roman"/>
        </w:rPr>
        <w:sectPr>
          <w:footerReference r:id="rId11" w:type="default"/>
          <w:pgSz w:w="11906" w:h="16838"/>
          <w:pgMar w:top="1440" w:right="1797" w:bottom="1440" w:left="1797" w:header="851" w:footer="992" w:gutter="0"/>
          <w:pgNumType w:fmt="upperRoman" w:start="1"/>
          <w:cols w:space="425" w:num="1"/>
          <w:docGrid w:type="lines" w:linePitch="312" w:charSpace="0"/>
        </w:sectPr>
      </w:pPr>
      <w:r>
        <w:rPr>
          <w:rFonts w:eastAsia="黑体" w:cs="Times New Roman"/>
        </w:rPr>
        <w:fldChar w:fldCharType="end"/>
      </w:r>
    </w:p>
    <w:p w14:paraId="6633147A">
      <w:pPr>
        <w:pStyle w:val="2"/>
        <w:spacing w:before="312" w:after="312"/>
        <w:ind w:left="420" w:hanging="420"/>
        <w:rPr>
          <w:rFonts w:ascii="Times New Roman" w:hAnsi="Times New Roman" w:cs="Times New Roman"/>
        </w:rPr>
      </w:pPr>
      <w:bookmarkStart w:id="0" w:name="_Toc185844277"/>
      <w:bookmarkStart w:id="1" w:name="_Toc4846"/>
      <w:r>
        <w:rPr>
          <w:rFonts w:ascii="Times New Roman" w:hAnsi="Times New Roman" w:cs="Times New Roman"/>
        </w:rPr>
        <w:t>第一章 总 则</w:t>
      </w:r>
      <w:bookmarkEnd w:id="0"/>
      <w:bookmarkEnd w:id="1"/>
    </w:p>
    <w:p w14:paraId="50A58AB9">
      <w:pPr>
        <w:pStyle w:val="4"/>
        <w:numPr>
          <w:ilvl w:val="0"/>
          <w:numId w:val="1"/>
        </w:numPr>
        <w:ind w:left="860" w:firstLine="361" w:firstLineChars="113"/>
      </w:pPr>
      <w:r>
        <w:t>规划定位</w:t>
      </w:r>
    </w:p>
    <w:p w14:paraId="79C7C574">
      <w:pPr>
        <w:ind w:firstLine="640"/>
        <w:rPr>
          <w:rFonts w:cs="Times New Roman"/>
        </w:rPr>
      </w:pPr>
      <w:r>
        <w:rPr>
          <w:rFonts w:cs="Times New Roman"/>
        </w:rPr>
        <w:t>《桓仁满族自治县向阳乡国土空间总体规划（2021-2035年）》（以下简称《规划》）是对《桓仁满族自治县国土空间总体规划（2021-2035年）》的细化落实，是对规划期内向阳乡国土空间保护、开发、利用、修复做出的综合部署和具体安排，是编制相关专项规划、详细规划、村庄规划和实施国土空间用途管制的基本依据。</w:t>
      </w:r>
    </w:p>
    <w:p w14:paraId="7FEEE2B5">
      <w:pPr>
        <w:pStyle w:val="4"/>
        <w:numPr>
          <w:ilvl w:val="0"/>
          <w:numId w:val="1"/>
        </w:numPr>
        <w:ind w:left="860" w:firstLine="361" w:firstLineChars="113"/>
      </w:pPr>
      <w:r>
        <w:t>指导思想</w:t>
      </w:r>
    </w:p>
    <w:p w14:paraId="0A7C256E">
      <w:pPr>
        <w:ind w:firstLine="640"/>
        <w:rPr>
          <w:rFonts w:cs="Times New Roman"/>
        </w:rPr>
      </w:pPr>
      <w:r>
        <w:rPr>
          <w:rFonts w:cs="Times New Roman"/>
        </w:rPr>
        <w:t>坚持以习近平新时代中国特色社会主义思想为指导，全面贯彻落实党的二十大及相关会议精神，深入贯彻习近平总书记关于东北振兴、辽宁振兴发展的重要讲话和指示批示精神，立足新发展阶段，完整、准确、全面贯彻新发展理念，服务和融入新发展格局，顺应新时代国土空间治理要求，牢牢把握高质量发展这个首要任务和构建新发展格局这个战略任务，融入辽宁省“一圈一带两区”区域发展格局，以绿色发展为主线，牢固树立生态文明思想，促进生态资源产业化发展，提高国土空间资源利用效率，彰显国土空间品质，全面提升国土空间治理体系和治理能力现代化水平，形成对省、市、县重大战略的强有力支撑，为实现向阳乡全面振兴、全方位振兴提供空间引领和保障。</w:t>
      </w:r>
    </w:p>
    <w:p w14:paraId="57B4A12F">
      <w:pPr>
        <w:pStyle w:val="4"/>
        <w:numPr>
          <w:ilvl w:val="0"/>
          <w:numId w:val="1"/>
        </w:numPr>
        <w:ind w:left="860" w:firstLine="361" w:firstLineChars="113"/>
      </w:pPr>
      <w:r>
        <w:t>规划依据</w:t>
      </w:r>
    </w:p>
    <w:p w14:paraId="47987911">
      <w:pPr>
        <w:ind w:firstLine="640"/>
        <w:rPr>
          <w:rFonts w:cs="Times New Roman"/>
          <w:szCs w:val="32"/>
        </w:rPr>
      </w:pPr>
      <w:r>
        <w:rPr>
          <w:rFonts w:cs="Times New Roman"/>
          <w:szCs w:val="32"/>
        </w:rPr>
        <w:t>1.法律法规</w:t>
      </w:r>
    </w:p>
    <w:p w14:paraId="3F6957B8">
      <w:pPr>
        <w:ind w:firstLine="640"/>
        <w:rPr>
          <w:rFonts w:cs="Times New Roman"/>
        </w:rPr>
      </w:pPr>
      <w:r>
        <w:rPr>
          <w:rFonts w:cs="Times New Roman"/>
        </w:rPr>
        <w:t>（1）《中华人民共和国土地管理法》（2019年修正）；</w:t>
      </w:r>
    </w:p>
    <w:p w14:paraId="4756FFD1">
      <w:pPr>
        <w:ind w:firstLine="640"/>
        <w:rPr>
          <w:rFonts w:cs="Times New Roman"/>
        </w:rPr>
      </w:pPr>
      <w:r>
        <w:rPr>
          <w:rFonts w:cs="Times New Roman"/>
        </w:rPr>
        <w:t>（2）《中华人民共和国城乡规划法》（2019年修正）；</w:t>
      </w:r>
    </w:p>
    <w:p w14:paraId="6FA0C3D3">
      <w:pPr>
        <w:ind w:firstLine="640"/>
        <w:rPr>
          <w:rFonts w:cs="Times New Roman"/>
        </w:rPr>
      </w:pPr>
      <w:r>
        <w:rPr>
          <w:rFonts w:cs="Times New Roman"/>
        </w:rPr>
        <w:t>（3）《中华人民共和国乡村振兴促进法》（2021年）；</w:t>
      </w:r>
    </w:p>
    <w:p w14:paraId="058559C3">
      <w:pPr>
        <w:ind w:firstLine="640"/>
        <w:rPr>
          <w:rFonts w:cs="Times New Roman"/>
        </w:rPr>
      </w:pPr>
      <w:r>
        <w:rPr>
          <w:rFonts w:cs="Times New Roman"/>
        </w:rPr>
        <w:t>（4）《基本农田保护条例》（2011年修订）。</w:t>
      </w:r>
    </w:p>
    <w:p w14:paraId="67D134BA">
      <w:pPr>
        <w:ind w:firstLine="640"/>
        <w:rPr>
          <w:rFonts w:cs="Times New Roman"/>
          <w:szCs w:val="32"/>
        </w:rPr>
      </w:pPr>
      <w:r>
        <w:rPr>
          <w:rFonts w:cs="Times New Roman"/>
          <w:szCs w:val="32"/>
        </w:rPr>
        <w:t>2.政策文件</w:t>
      </w:r>
    </w:p>
    <w:p w14:paraId="5FE0A7D3">
      <w:pPr>
        <w:ind w:firstLine="640"/>
        <w:rPr>
          <w:rFonts w:cs="Times New Roman"/>
        </w:rPr>
      </w:pPr>
      <w:r>
        <w:rPr>
          <w:rFonts w:cs="Times New Roman"/>
        </w:rPr>
        <w:t>（1）《中共中央 国务院关于建立国土空间规划体系并监督实施的若干意见》（中发〔2019〕18 号）；</w:t>
      </w:r>
    </w:p>
    <w:p w14:paraId="489324D7">
      <w:pPr>
        <w:ind w:firstLine="640"/>
        <w:rPr>
          <w:rFonts w:cs="Times New Roman"/>
        </w:rPr>
      </w:pPr>
      <w:r>
        <w:rPr>
          <w:rFonts w:cs="Times New Roman"/>
        </w:rPr>
        <w:t>（2）《中共中央 国务院关于实施乡村振兴战略的意见》（中发〔2018〕1号）；</w:t>
      </w:r>
    </w:p>
    <w:p w14:paraId="4FF9281E">
      <w:pPr>
        <w:ind w:firstLine="640"/>
        <w:rPr>
          <w:rFonts w:cs="Times New Roman"/>
        </w:rPr>
      </w:pPr>
      <w:r>
        <w:rPr>
          <w:rFonts w:cs="Times New Roman"/>
        </w:rPr>
        <w:t>（3）《中共中央办公厅 国务院办公厅印发&lt;关于在国土空间规划中统筹划定落实三条控制线的指导意见&gt;的通知》（厅字〔2019〕48 号）；</w:t>
      </w:r>
    </w:p>
    <w:p w14:paraId="2484E2D6">
      <w:pPr>
        <w:ind w:firstLine="640"/>
        <w:rPr>
          <w:rFonts w:cs="Times New Roman"/>
        </w:rPr>
      </w:pPr>
      <w:r>
        <w:rPr>
          <w:rFonts w:cs="Times New Roman"/>
        </w:rPr>
        <w:t>（4）《自然资源部关于全面开展国土空间规划工作的通知》（自然资发〔2019〕87 号）；</w:t>
      </w:r>
    </w:p>
    <w:p w14:paraId="18FF00B7">
      <w:pPr>
        <w:ind w:firstLine="640"/>
        <w:rPr>
          <w:rFonts w:cs="Times New Roman"/>
        </w:rPr>
      </w:pPr>
      <w:r>
        <w:rPr>
          <w:rFonts w:cs="Times New Roman"/>
        </w:rPr>
        <w:t>（5）《辽宁省委 省政府关于建立全省国土空间规划体系并监督实施的意见》（辽委发〔2020〕12号）。</w:t>
      </w:r>
    </w:p>
    <w:p w14:paraId="09CB1F36">
      <w:pPr>
        <w:ind w:firstLine="640"/>
        <w:rPr>
          <w:rFonts w:cs="Times New Roman"/>
          <w:szCs w:val="32"/>
        </w:rPr>
      </w:pPr>
      <w:r>
        <w:rPr>
          <w:rFonts w:cs="Times New Roman"/>
          <w:szCs w:val="32"/>
        </w:rPr>
        <w:t>3.标准规范</w:t>
      </w:r>
    </w:p>
    <w:p w14:paraId="50790CF8">
      <w:pPr>
        <w:ind w:firstLine="640"/>
        <w:rPr>
          <w:rFonts w:cs="Times New Roman"/>
        </w:rPr>
      </w:pPr>
      <w:r>
        <w:rPr>
          <w:rFonts w:cs="Times New Roman"/>
        </w:rPr>
        <w:t>（1）《国土空间调查、规划、用途管制用地用海分类指南（试行）》（2023年印发）；</w:t>
      </w:r>
    </w:p>
    <w:p w14:paraId="4EF36254">
      <w:pPr>
        <w:ind w:firstLine="640"/>
        <w:rPr>
          <w:rFonts w:cs="Times New Roman"/>
        </w:rPr>
      </w:pPr>
      <w:r>
        <w:rPr>
          <w:rFonts w:cs="Times New Roman"/>
        </w:rPr>
        <w:t>（2）《辽宁省乡镇级国土空间总体规划编制导则》（试行）。</w:t>
      </w:r>
    </w:p>
    <w:p w14:paraId="6A10215B">
      <w:pPr>
        <w:ind w:firstLine="640"/>
        <w:rPr>
          <w:rFonts w:cs="Times New Roman"/>
          <w:szCs w:val="32"/>
        </w:rPr>
      </w:pPr>
      <w:r>
        <w:rPr>
          <w:rFonts w:cs="Times New Roman"/>
          <w:szCs w:val="32"/>
        </w:rPr>
        <w:t>4.相关规划</w:t>
      </w:r>
    </w:p>
    <w:p w14:paraId="07DC8F08">
      <w:pPr>
        <w:ind w:firstLine="640"/>
        <w:rPr>
          <w:rFonts w:cs="Times New Roman"/>
        </w:rPr>
      </w:pPr>
      <w:r>
        <w:rPr>
          <w:rFonts w:cs="Times New Roman"/>
        </w:rPr>
        <w:t>（1）《本溪市国民经济和社会发展第十四个五年规划和二</w:t>
      </w:r>
      <w:r>
        <w:rPr>
          <w:rFonts w:eastAsia="微软雅黑" w:cs="Times New Roman"/>
        </w:rPr>
        <w:t>〇</w:t>
      </w:r>
      <w:r>
        <w:rPr>
          <w:rFonts w:cs="Times New Roman"/>
        </w:rPr>
        <w:t>三五年远景目标纲要》；</w:t>
      </w:r>
    </w:p>
    <w:p w14:paraId="3367D9C2">
      <w:pPr>
        <w:ind w:firstLine="640"/>
        <w:rPr>
          <w:rFonts w:cs="Times New Roman"/>
        </w:rPr>
      </w:pPr>
      <w:r>
        <w:rPr>
          <w:rFonts w:cs="Times New Roman"/>
        </w:rPr>
        <w:t>（2）《本溪市国土空间总体规划（2021-2035年）》；</w:t>
      </w:r>
    </w:p>
    <w:p w14:paraId="3219B5A1">
      <w:pPr>
        <w:ind w:firstLine="640"/>
        <w:rPr>
          <w:rFonts w:cs="Times New Roman"/>
        </w:rPr>
      </w:pPr>
      <w:r>
        <w:rPr>
          <w:rFonts w:cs="Times New Roman"/>
        </w:rPr>
        <w:t>（3）《桓仁满族自治县国民经济和社会发展第十四个五年规划和二</w:t>
      </w:r>
      <w:r>
        <w:rPr>
          <w:rFonts w:eastAsia="微软雅黑" w:cs="Times New Roman"/>
        </w:rPr>
        <w:t>〇</w:t>
      </w:r>
      <w:r>
        <w:rPr>
          <w:rFonts w:cs="Times New Roman"/>
        </w:rPr>
        <w:t>三五年远景目标纲要》；</w:t>
      </w:r>
    </w:p>
    <w:p w14:paraId="1F59A646">
      <w:pPr>
        <w:ind w:firstLine="640"/>
        <w:rPr>
          <w:rFonts w:cs="Times New Roman"/>
        </w:rPr>
      </w:pPr>
      <w:r>
        <w:rPr>
          <w:rFonts w:cs="Times New Roman"/>
        </w:rPr>
        <w:t>（4）《桓仁满族自治县国土空间总体规划（2021-2035年）》。</w:t>
      </w:r>
    </w:p>
    <w:p w14:paraId="4D4C9B87">
      <w:pPr>
        <w:ind w:firstLine="640"/>
        <w:rPr>
          <w:rFonts w:cs="Times New Roman"/>
        </w:rPr>
      </w:pPr>
      <w:r>
        <w:rPr>
          <w:rFonts w:cs="Times New Roman"/>
          <w:szCs w:val="32"/>
        </w:rPr>
        <w:t>5.其他相关法律法规、政策文件、标准规范和规划成果</w:t>
      </w:r>
      <w:r>
        <w:rPr>
          <w:rFonts w:cs="Times New Roman"/>
        </w:rPr>
        <w:t>。</w:t>
      </w:r>
    </w:p>
    <w:p w14:paraId="0EF76A8E">
      <w:pPr>
        <w:pStyle w:val="4"/>
        <w:numPr>
          <w:ilvl w:val="0"/>
          <w:numId w:val="1"/>
        </w:numPr>
        <w:ind w:left="860" w:firstLine="361" w:firstLineChars="113"/>
      </w:pPr>
      <w:r>
        <w:t>规划原则</w:t>
      </w:r>
    </w:p>
    <w:p w14:paraId="44BF7B43">
      <w:pPr>
        <w:ind w:firstLine="640"/>
        <w:rPr>
          <w:rFonts w:cs="Times New Roman"/>
        </w:rPr>
      </w:pPr>
      <w:r>
        <w:rPr>
          <w:rFonts w:eastAsia="楷体_GB2312" w:cs="Times New Roman"/>
        </w:rPr>
        <w:t>底线约束，保护优先。</w:t>
      </w:r>
      <w:r>
        <w:rPr>
          <w:rFonts w:cs="Times New Roman"/>
        </w:rPr>
        <w:t>树立底线思维，严守安全底线，保护自然资源，引导全域国土空间节约集约、绿色低碳发展。严控建设用地增量、盘活存量，探索内涵式、集约型的高质量发展路径，提高国土空间开发利用效率和质量。加快转变城乡建设方式，控制和减少碳排放，促进人与自然和谐共生。</w:t>
      </w:r>
    </w:p>
    <w:p w14:paraId="00E8A398">
      <w:pPr>
        <w:ind w:firstLine="640"/>
        <w:rPr>
          <w:rFonts w:cs="Times New Roman"/>
        </w:rPr>
      </w:pPr>
      <w:r>
        <w:rPr>
          <w:rFonts w:eastAsia="楷体_GB2312" w:cs="Times New Roman"/>
        </w:rPr>
        <w:t>承接传导，细化落实。</w:t>
      </w:r>
      <w:r>
        <w:rPr>
          <w:rFonts w:cs="Times New Roman"/>
        </w:rPr>
        <w:t>强化对上位规划的承接落实，严格落实约束性指标、规划控制线、区域性设施等规划强制性内容，深化细化管控要求，明确对专项规划、详细规划的传导内容，保障规划自上而下传导落位，构建上下联动的双向传导衔接机制，实现对全域自然资源要素的覆盖与管控。</w:t>
      </w:r>
    </w:p>
    <w:p w14:paraId="77D8A10F">
      <w:pPr>
        <w:ind w:firstLine="640"/>
        <w:rPr>
          <w:rFonts w:cs="Times New Roman"/>
        </w:rPr>
      </w:pPr>
      <w:r>
        <w:rPr>
          <w:rFonts w:eastAsia="楷体_GB2312" w:cs="Times New Roman"/>
        </w:rPr>
        <w:t>人民至上，品质提升。</w:t>
      </w:r>
      <w:r>
        <w:rPr>
          <w:rFonts w:cs="Times New Roman"/>
        </w:rPr>
        <w:t>坚持以人民为中心的发展思想，以人民对美好生活的向往为目标，优化配置空间资源，完善基础设施和公共服务设施，提升人居环境品质，实现高质量发展、高品质生活和高水平治理，不断提高人民群众的获得感、幸福感、安全感。</w:t>
      </w:r>
      <w:r>
        <w:rPr>
          <w:rFonts w:cs="Times New Roman"/>
        </w:rPr>
        <w:cr/>
      </w:r>
      <w:r>
        <w:rPr>
          <w:rFonts w:cs="Times New Roman"/>
        </w:rPr>
        <w:t xml:space="preserve">  </w:t>
      </w:r>
      <w:r>
        <w:rPr>
          <w:rFonts w:eastAsia="楷体_GB2312" w:cs="Times New Roman"/>
        </w:rPr>
        <w:t xml:space="preserve">  因地制宜，彰显特色。</w:t>
      </w:r>
      <w:r>
        <w:rPr>
          <w:rFonts w:cs="Times New Roman"/>
        </w:rPr>
        <w:t>深入挖掘向阳乡资源禀赋、历史文化、人文景观、乡村产业等特征，突出地域特色，加快资源优势向经济优势转变，因地制宜体现美丽田园、民族融合、乡土风俗、冰雪风光、温泉养生等特色，凸显向阳韵味。</w:t>
      </w:r>
    </w:p>
    <w:p w14:paraId="4CA7A80C">
      <w:pPr>
        <w:ind w:firstLine="640"/>
        <w:rPr>
          <w:rFonts w:cs="Times New Roman"/>
        </w:rPr>
      </w:pPr>
      <w:r>
        <w:rPr>
          <w:rFonts w:eastAsia="楷体_GB2312" w:cs="Times New Roman"/>
        </w:rPr>
        <w:t>公众参与，科学规划。</w:t>
      </w:r>
      <w:r>
        <w:rPr>
          <w:rFonts w:cs="Times New Roman"/>
        </w:rPr>
        <w:t>坚持“开门编规划”，组织相关部门、专家、居民参与到规划编制的全过程，通过公众参与凝聚社会智慧。充分应用大数据分析等数字化手段的辅助支撑作用，提升规划编制和管理水平。</w:t>
      </w:r>
    </w:p>
    <w:p w14:paraId="56E6B371">
      <w:pPr>
        <w:pStyle w:val="4"/>
        <w:numPr>
          <w:ilvl w:val="0"/>
          <w:numId w:val="1"/>
        </w:numPr>
        <w:ind w:left="860" w:firstLine="361" w:firstLineChars="113"/>
      </w:pPr>
      <w:r>
        <w:t>规划范围</w:t>
      </w:r>
    </w:p>
    <w:p w14:paraId="6B7EE325">
      <w:pPr>
        <w:ind w:firstLine="640"/>
        <w:rPr>
          <w:rFonts w:cs="Times New Roman"/>
        </w:rPr>
      </w:pPr>
      <w:r>
        <w:rPr>
          <w:rFonts w:cs="Times New Roman"/>
        </w:rPr>
        <w:t>本次规划范围为向阳乡行政辖区内全部国土空间，包括全域和</w:t>
      </w:r>
      <w:r>
        <w:rPr>
          <w:rFonts w:cs="Times New Roman"/>
          <w:szCs w:val="32"/>
        </w:rPr>
        <w:t>乡中心区</w:t>
      </w:r>
      <w:r>
        <w:rPr>
          <w:rFonts w:cs="Times New Roman"/>
        </w:rPr>
        <w:t>两个层次。</w:t>
      </w:r>
    </w:p>
    <w:p w14:paraId="7DDCEE43">
      <w:pPr>
        <w:ind w:firstLine="640"/>
        <w:rPr>
          <w:rFonts w:cs="Times New Roman"/>
        </w:rPr>
      </w:pPr>
      <w:r>
        <w:rPr>
          <w:rFonts w:cs="Times New Roman"/>
        </w:rPr>
        <w:t>全域范围：包含向阳村、双合村、北岔村、回龙村、爬宝村、和平村，总面积208.36平方公里，总人口7703人。</w:t>
      </w:r>
    </w:p>
    <w:p w14:paraId="1FAD68DE">
      <w:pPr>
        <w:ind w:firstLine="640"/>
        <w:rPr>
          <w:rFonts w:cs="Times New Roman"/>
        </w:rPr>
      </w:pPr>
      <w:r>
        <w:rPr>
          <w:rFonts w:cs="Times New Roman"/>
        </w:rPr>
        <w:t>乡中心区范围：包括向阳村，总面积36.63</w:t>
      </w:r>
      <w:r>
        <w:rPr>
          <w:rFonts w:hint="eastAsia" w:cs="Times New Roman"/>
        </w:rPr>
        <w:t>公顷</w:t>
      </w:r>
      <w:r>
        <w:rPr>
          <w:rFonts w:cs="Times New Roman"/>
        </w:rPr>
        <w:t>。</w:t>
      </w:r>
    </w:p>
    <w:p w14:paraId="5A9CCF1C">
      <w:pPr>
        <w:pStyle w:val="4"/>
        <w:numPr>
          <w:ilvl w:val="0"/>
          <w:numId w:val="1"/>
        </w:numPr>
        <w:ind w:left="860" w:firstLine="361" w:firstLineChars="113"/>
      </w:pPr>
      <w:r>
        <w:t>规划期限</w:t>
      </w:r>
    </w:p>
    <w:p w14:paraId="4CC2436E">
      <w:pPr>
        <w:ind w:firstLine="640"/>
        <w:rPr>
          <w:rFonts w:cs="Times New Roman"/>
        </w:rPr>
      </w:pPr>
      <w:r>
        <w:rPr>
          <w:rFonts w:cs="Times New Roman"/>
        </w:rPr>
        <w:t>规划期限为2021-2035年。规划基期年为2020年，近期为2025年，规划目标年为2035年。</w:t>
      </w:r>
    </w:p>
    <w:p w14:paraId="53A1C021">
      <w:pPr>
        <w:pStyle w:val="4"/>
        <w:numPr>
          <w:ilvl w:val="0"/>
          <w:numId w:val="1"/>
        </w:numPr>
        <w:ind w:left="860" w:firstLine="361" w:firstLineChars="113"/>
      </w:pPr>
      <w:r>
        <w:t>强制性内容</w:t>
      </w:r>
    </w:p>
    <w:p w14:paraId="7F54A4C6">
      <w:pPr>
        <w:ind w:firstLine="640"/>
        <w:rPr>
          <w:rFonts w:cs="Times New Roman"/>
        </w:rPr>
      </w:pPr>
      <w:r>
        <w:rPr>
          <w:rFonts w:cs="Times New Roman"/>
        </w:rPr>
        <w:t>文本中加下划线的内容为规划的强制性内容，必须严格执行。</w:t>
      </w:r>
    </w:p>
    <w:p w14:paraId="6D424A9F">
      <w:pPr>
        <w:ind w:firstLine="640"/>
        <w:rPr>
          <w:rFonts w:cs="Times New Roman"/>
        </w:rPr>
      </w:pPr>
    </w:p>
    <w:p w14:paraId="233597FF">
      <w:pPr>
        <w:pStyle w:val="2"/>
        <w:spacing w:before="312" w:after="312"/>
        <w:rPr>
          <w:rFonts w:ascii="Times New Roman" w:hAnsi="Times New Roman" w:cs="Times New Roman"/>
        </w:rPr>
      </w:pPr>
      <w:bookmarkStart w:id="2" w:name="_Toc23262"/>
      <w:bookmarkStart w:id="3" w:name="_Toc185844278"/>
      <w:r>
        <w:rPr>
          <w:rFonts w:ascii="Times New Roman" w:hAnsi="Times New Roman" w:cs="Times New Roman"/>
        </w:rPr>
        <w:t>第二章 发展定位与目标</w:t>
      </w:r>
      <w:bookmarkEnd w:id="2"/>
      <w:bookmarkEnd w:id="3"/>
    </w:p>
    <w:p w14:paraId="5A14CA35">
      <w:pPr>
        <w:ind w:firstLine="640"/>
        <w:rPr>
          <w:rFonts w:cs="Times New Roman"/>
        </w:rPr>
      </w:pPr>
      <w:r>
        <w:rPr>
          <w:rFonts w:cs="Times New Roman"/>
        </w:rPr>
        <w:t>落实国家东北东部绿色经济带和辽宁省“一圈一带两区”发展战略，以及桓仁满族自治县（以下简称“桓仁县”）国土空间开发保护目标战略要求，立足向阳乡资源环境条件、社会经济发展水平、产业基础发展趋势、自然人文特色等，明确国土空间开发保护目标和功能定位，优化国土空间格局。</w:t>
      </w:r>
    </w:p>
    <w:p w14:paraId="6A9E3269">
      <w:pPr>
        <w:pStyle w:val="3"/>
        <w:rPr>
          <w:rFonts w:ascii="Times New Roman" w:hAnsi="Times New Roman" w:cs="Times New Roman"/>
        </w:rPr>
      </w:pPr>
      <w:bookmarkStart w:id="4" w:name="_Toc185844279"/>
      <w:bookmarkStart w:id="5" w:name="_Toc14070"/>
      <w:r>
        <w:rPr>
          <w:rFonts w:ascii="Times New Roman" w:hAnsi="Times New Roman" w:cs="Times New Roman"/>
        </w:rPr>
        <w:t>第一节 乡镇功能定位</w:t>
      </w:r>
      <w:bookmarkEnd w:id="4"/>
      <w:bookmarkEnd w:id="5"/>
    </w:p>
    <w:p w14:paraId="5200DA35">
      <w:pPr>
        <w:pStyle w:val="4"/>
        <w:numPr>
          <w:ilvl w:val="0"/>
          <w:numId w:val="3"/>
        </w:numPr>
        <w:ind w:left="420" w:firstLine="361" w:firstLineChars="113"/>
      </w:pPr>
      <w:r>
        <w:t>功能定位</w:t>
      </w:r>
    </w:p>
    <w:p w14:paraId="05C00AF5">
      <w:pPr>
        <w:ind w:firstLine="640"/>
        <w:rPr>
          <w:rFonts w:cs="Times New Roman"/>
        </w:rPr>
      </w:pPr>
      <w:r>
        <w:rPr>
          <w:rFonts w:hint="eastAsia"/>
        </w:rPr>
        <w:t>根据《桓仁满族自治县国土空间总体规划（2021—2035年）》对乡镇的分类职能定位指引，规划确定向阳乡为一般镇。依据《辽宁省乡镇级国土空间总体规划编制导则（试行）》对乡镇的分类指引，确定向阳乡为现代农业型乡镇。主体功能为重点生态功能区。</w:t>
      </w:r>
      <w:r>
        <w:rPr>
          <w:rFonts w:cs="Times New Roman"/>
        </w:rPr>
        <w:t>结合向阳乡资源环境条件和产业发展基础等，确定向阳乡的功能定位为</w:t>
      </w:r>
      <w:bookmarkStart w:id="6" w:name="_Hlk187237570"/>
      <w:r>
        <w:rPr>
          <w:rFonts w:hint="eastAsia" w:cs="Times New Roman"/>
        </w:rPr>
        <w:t>辽宁省休闲农业与乡村旅游示范镇、本溪市生态旅游度假胜地、县域全域旅游发展样板区</w:t>
      </w:r>
      <w:bookmarkEnd w:id="6"/>
      <w:r>
        <w:rPr>
          <w:rFonts w:cs="Times New Roman"/>
        </w:rPr>
        <w:t>。</w:t>
      </w:r>
    </w:p>
    <w:p w14:paraId="33711B77">
      <w:pPr>
        <w:ind w:firstLine="643"/>
        <w:rPr>
          <w:rFonts w:cs="Times New Roman"/>
        </w:rPr>
      </w:pPr>
      <w:r>
        <w:rPr>
          <w:rFonts w:cs="Times New Roman"/>
          <w:b/>
          <w:bCs/>
        </w:rPr>
        <w:t>辽宁省休闲农业与乡村旅游示范镇。</w:t>
      </w:r>
      <w:bookmarkStart w:id="7" w:name="_Hlk187245832"/>
      <w:r>
        <w:rPr>
          <w:rFonts w:cs="Times New Roman"/>
        </w:rPr>
        <w:t>以枫林谷、虎谷峡、回龙湖等生态山水田园为载体，以板栗、大榛子、食用菌、中药材等特色农业为基础，抓住国家大力发展休闲农业与乡村旅游的历史机遇，以休闲度假为导向，大力发展休闲农业和乡村旅游，推动东北亚特色农业观光带建设，建设“农文旅”三位一体发展的特色旅游型乡镇，</w:t>
      </w:r>
      <w:bookmarkEnd w:id="7"/>
      <w:r>
        <w:rPr>
          <w:rFonts w:cs="Times New Roman"/>
        </w:rPr>
        <w:t>努力打造成为辽宁省休闲农业与乡村旅游示范乡镇。</w:t>
      </w:r>
    </w:p>
    <w:p w14:paraId="1537827E">
      <w:pPr>
        <w:ind w:firstLine="643"/>
        <w:rPr>
          <w:rFonts w:cs="Times New Roman"/>
        </w:rPr>
      </w:pPr>
      <w:r>
        <w:rPr>
          <w:rFonts w:cs="Times New Roman"/>
          <w:b/>
          <w:bCs/>
        </w:rPr>
        <w:t>本溪市生态旅游度假地。</w:t>
      </w:r>
      <w:bookmarkStart w:id="8" w:name="_Hlk187245871"/>
      <w:r>
        <w:rPr>
          <w:rFonts w:cs="Times New Roman"/>
        </w:rPr>
        <w:t>依托“山、水、湖、林、洞、泉”等丰富的生态资源优势，</w:t>
      </w:r>
      <w:bookmarkEnd w:id="8"/>
      <w:r>
        <w:rPr>
          <w:rFonts w:cs="Times New Roman"/>
        </w:rPr>
        <w:t>以打造生态环境优美、生态经济高效的国家级生态乡镇和旅游名镇为目标，坚持环境整治与生态保护并举，持续提升宜居乡村建设质量，建设休闲田园宜居乡村，推进乡村旅游与特色农业、文化体验融合发展，加强区域交通等基础设施建设，强化品牌塑造和宣传推广，打造具有独特吸引力的市生态旅游度假地。</w:t>
      </w:r>
    </w:p>
    <w:p w14:paraId="0D95E296">
      <w:pPr>
        <w:ind w:firstLine="643"/>
        <w:rPr>
          <w:rFonts w:cs="Times New Roman"/>
        </w:rPr>
      </w:pPr>
      <w:r>
        <w:rPr>
          <w:rFonts w:hint="eastAsia" w:cs="Times New Roman"/>
          <w:b/>
          <w:bCs/>
        </w:rPr>
        <w:t>县域全域旅游发展样板区</w:t>
      </w:r>
      <w:r>
        <w:rPr>
          <w:rFonts w:cs="Times New Roman"/>
          <w:b/>
          <w:bCs/>
        </w:rPr>
        <w:t>。</w:t>
      </w:r>
      <w:r>
        <w:rPr>
          <w:rFonts w:cs="Times New Roman"/>
        </w:rPr>
        <w:t>依托</w:t>
      </w:r>
      <w:bookmarkStart w:id="9" w:name="_Hlk187246125"/>
      <w:r>
        <w:rPr>
          <w:rFonts w:cs="Times New Roman"/>
        </w:rPr>
        <w:t>“一谷一峡一园两岛一带”旅游资源开发建设</w:t>
      </w:r>
      <w:bookmarkEnd w:id="9"/>
      <w:r>
        <w:rPr>
          <w:rFonts w:cs="Times New Roman"/>
        </w:rPr>
        <w:t>，深入挖掘自然风光和人文历史，将民俗文化融入旅游发展，提升旅游功能品质、服务品质、文化品质、生态品质，全面推动农文旅融合发展。依托枫林谷和回龙湖优美的生态环境，开发包括夏季避暑度假和冬季冰雪旅游等森林旅游、休闲度假、康体养生、运动娱乐等产品，积极创新“绿水青山就是金山银山”实现路径，推动生态价值转化，打造桓仁县全域旅游发展样板区。</w:t>
      </w:r>
    </w:p>
    <w:p w14:paraId="4A223A8E">
      <w:pPr>
        <w:pStyle w:val="3"/>
        <w:rPr>
          <w:rFonts w:ascii="Times New Roman" w:hAnsi="Times New Roman" w:cs="Times New Roman"/>
        </w:rPr>
      </w:pPr>
      <w:bookmarkStart w:id="10" w:name="_Toc185844280"/>
      <w:bookmarkStart w:id="11" w:name="_Toc25378"/>
      <w:r>
        <w:rPr>
          <w:rFonts w:ascii="Times New Roman" w:hAnsi="Times New Roman" w:cs="Times New Roman"/>
        </w:rPr>
        <w:t>第二节 国土空间开发保护目标</w:t>
      </w:r>
      <w:bookmarkEnd w:id="10"/>
      <w:bookmarkEnd w:id="11"/>
    </w:p>
    <w:p w14:paraId="1E2D3DEB">
      <w:pPr>
        <w:pStyle w:val="4"/>
        <w:numPr>
          <w:ilvl w:val="0"/>
          <w:numId w:val="4"/>
        </w:numPr>
        <w:ind w:left="420" w:firstLine="361" w:firstLineChars="113"/>
      </w:pPr>
      <w:r>
        <w:t>总体目标</w:t>
      </w:r>
    </w:p>
    <w:p w14:paraId="48AD1C2A">
      <w:pPr>
        <w:ind w:firstLine="640"/>
        <w:rPr>
          <w:rFonts w:cs="Times New Roman"/>
        </w:rPr>
      </w:pPr>
      <w:r>
        <w:rPr>
          <w:rFonts w:cs="Times New Roman"/>
        </w:rPr>
        <w:t>发挥向阳乡地理区位、自然资源、产业基础等优势条件，抢抓新时代发展机遇，积极应对国土空间问题挑战，统筹推进全域国土空间保护、开发、利用、修复，实现人与自然和谐共生、经济社会良性互促。到2025年，产镇融合度显著提升，充满活力的城乡发展格局基本奠定，农业产业格局得到优化，三条空间管制控制线全面落地，生态保护和修复体系基本建立。到2035年，形成主体功能明显、优势互补、高质量发展的国土空间开发保护新格局，基本建成生产空间集约高效、生活空间宜居适度、生态空间山清水秀，安全、绿色、开放、智慧、富有竞争力的美丽国土，进一步巩固向阳乡在桓仁县区域发展格局中的战略地位，建成区域强镇，形成对省、市、县重大战略的强有力支撑。</w:t>
      </w:r>
    </w:p>
    <w:p w14:paraId="341E4F26">
      <w:pPr>
        <w:pStyle w:val="4"/>
        <w:numPr>
          <w:ilvl w:val="0"/>
          <w:numId w:val="1"/>
        </w:numPr>
        <w:ind w:left="860" w:firstLine="361" w:firstLineChars="113"/>
      </w:pPr>
      <w:r>
        <w:t>近期目标</w:t>
      </w:r>
    </w:p>
    <w:p w14:paraId="09CF411F">
      <w:pPr>
        <w:ind w:firstLine="643"/>
        <w:rPr>
          <w:rFonts w:cs="Times New Roman"/>
        </w:rPr>
      </w:pPr>
      <w:r>
        <w:rPr>
          <w:rFonts w:cs="Times New Roman"/>
          <w:b/>
          <w:bCs/>
        </w:rPr>
        <w:t>国土空间保护水平显著提升</w:t>
      </w:r>
      <w:r>
        <w:rPr>
          <w:rFonts w:cs="Times New Roman"/>
        </w:rPr>
        <w:t>。最严格的耕地保护制度、水资源管理制度和生态环境保护制度得到有效落实。耕地和永久基本农田、生态保护红线、城镇开发边界三条控制线得到有效管控。生态资源保护利用更加科学，生态系统保护和修复取得明显成效，生产方式和生活方式加快向低碳、绿色转变，生态文明建设实现新进步，生态安全屏障更加牢固。至2025年，全面融入东北东部绿色经济带和辽东绿色经济区建设。能源和矿产资源保障水平不断提高，关系国土安全韧性的各类基础设施建设得到充分保障。</w:t>
      </w:r>
    </w:p>
    <w:p w14:paraId="6F01ED58">
      <w:pPr>
        <w:ind w:firstLine="643"/>
        <w:rPr>
          <w:rFonts w:cs="Times New Roman"/>
        </w:rPr>
      </w:pPr>
      <w:r>
        <w:rPr>
          <w:rFonts w:cs="Times New Roman"/>
          <w:b/>
          <w:bCs/>
        </w:rPr>
        <w:t>国土空间开发格局持续优化。</w:t>
      </w:r>
      <w:r>
        <w:rPr>
          <w:rFonts w:cs="Times New Roman"/>
        </w:rPr>
        <w:t>主动融入东北东部绿色经济带和辽宁“一圈一带两区”布局，区域协同发展水平不断提高。以乡中心区为主体、中心村、一般村为支撑的镇村协调发展的镇村体系更加合理。城镇综合承载能力不断提升，新型城镇化和乡村振兴战略全面推进，城镇布局更加紧凑，人居环境持续改善。至2025年，多中心、网络化、集约式、开放式、协调式的国土空间开发格局基本形成。</w:t>
      </w:r>
    </w:p>
    <w:p w14:paraId="37FB33D1">
      <w:pPr>
        <w:ind w:firstLine="643"/>
        <w:rPr>
          <w:rFonts w:cs="Times New Roman"/>
        </w:rPr>
      </w:pPr>
      <w:r>
        <w:rPr>
          <w:rFonts w:cs="Times New Roman"/>
          <w:b/>
          <w:bCs/>
        </w:rPr>
        <w:t>资源利用更加集约高效。</w:t>
      </w:r>
      <w:r>
        <w:rPr>
          <w:rFonts w:cs="Times New Roman"/>
        </w:rPr>
        <w:t>顺应人口变化趋势，基于资源环境承载能力合理确定并严格管控城镇建设用地总量，建设用地结构更趋合理，节约集约用地水平进一步提高。统筹山水林田湖草湿系统保护与利用，资源配置更加合理，利用效率大幅提高，能源矿产资源保障能力显著提升，农业生产格局、方式与水土光热资源条件更加契合。到2025年，基本建成集约、绿色、低碳、循环的资源利用体系。</w:t>
      </w:r>
    </w:p>
    <w:p w14:paraId="3AFFB3AA">
      <w:pPr>
        <w:ind w:firstLine="643"/>
        <w:rPr>
          <w:rFonts w:cs="Times New Roman"/>
        </w:rPr>
      </w:pPr>
      <w:r>
        <w:rPr>
          <w:rFonts w:cs="Times New Roman"/>
          <w:b/>
          <w:bCs/>
        </w:rPr>
        <w:t>国土空间治理体系逐步健全。</w:t>
      </w:r>
      <w:r>
        <w:rPr>
          <w:rFonts w:cs="Times New Roman"/>
        </w:rPr>
        <w:t>创新体系更加完善，有为政府和有效市场更好结合，体制机制创新取得显著成效。到2025年，自然资源资产管理、国土空间用途管制、生态文明绩效评价考核等制度更加健全，基本形成以国土空间规划为基础，以统一用途管制为手段的国土空间开发保护制度。</w:t>
      </w:r>
    </w:p>
    <w:p w14:paraId="7E9C5952">
      <w:pPr>
        <w:ind w:firstLine="640"/>
        <w:rPr>
          <w:rFonts w:cs="Times New Roman"/>
        </w:rPr>
      </w:pPr>
    </w:p>
    <w:tbl>
      <w:tblPr>
        <w:tblStyle w:val="15"/>
        <w:tblpPr w:leftFromText="180" w:rightFromText="180" w:vertAnchor="text" w:horzAnchor="page" w:tblpX="1681" w:tblpY="87"/>
        <w:tblOverlap w:val="never"/>
        <w:tblW w:w="8500" w:type="dxa"/>
        <w:tblInd w:w="0" w:type="dxa"/>
        <w:tblLayout w:type="fixed"/>
        <w:tblCellMar>
          <w:top w:w="0" w:type="dxa"/>
          <w:left w:w="10" w:type="dxa"/>
          <w:bottom w:w="0" w:type="dxa"/>
          <w:right w:w="10" w:type="dxa"/>
        </w:tblCellMar>
      </w:tblPr>
      <w:tblGrid>
        <w:gridCol w:w="605"/>
        <w:gridCol w:w="3218"/>
        <w:gridCol w:w="850"/>
        <w:gridCol w:w="1276"/>
        <w:gridCol w:w="1134"/>
        <w:gridCol w:w="850"/>
        <w:gridCol w:w="567"/>
      </w:tblGrid>
      <w:tr w14:paraId="4BDBB635">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F1B9374">
            <w:pPr>
              <w:spacing w:line="240" w:lineRule="auto"/>
              <w:ind w:firstLine="0" w:firstLineChars="0"/>
              <w:jc w:val="center"/>
              <w:rPr>
                <w:rFonts w:eastAsia="仿宋" w:cs="Times New Roman"/>
                <w:b/>
                <w:bCs/>
                <w:sz w:val="21"/>
                <w:lang w:bidi="zh-CN"/>
              </w:rPr>
            </w:pPr>
            <w:r>
              <w:rPr>
                <w:rFonts w:eastAsia="仿宋" w:cs="Times New Roman"/>
                <w:b/>
                <w:bCs/>
                <w:sz w:val="21"/>
                <w:lang w:bidi="zh-CN"/>
              </w:rPr>
              <w:t>编号</w:t>
            </w:r>
          </w:p>
        </w:tc>
        <w:tc>
          <w:tcPr>
            <w:tcW w:w="3218" w:type="dxa"/>
            <w:tcBorders>
              <w:top w:val="single" w:color="auto" w:sz="4" w:space="0"/>
              <w:left w:val="single" w:color="auto" w:sz="4" w:space="0"/>
            </w:tcBorders>
            <w:shd w:val="clear" w:color="auto" w:fill="FFFFFF"/>
            <w:vAlign w:val="center"/>
          </w:tcPr>
          <w:p w14:paraId="6FF49BEF">
            <w:pPr>
              <w:spacing w:line="240" w:lineRule="auto"/>
              <w:ind w:firstLine="0" w:firstLineChars="0"/>
              <w:jc w:val="center"/>
              <w:rPr>
                <w:rFonts w:eastAsia="仿宋" w:cs="Times New Roman"/>
                <w:b/>
                <w:bCs/>
                <w:sz w:val="21"/>
                <w:lang w:bidi="zh-CN"/>
              </w:rPr>
            </w:pPr>
            <w:r>
              <w:rPr>
                <w:rFonts w:eastAsia="仿宋" w:cs="Times New Roman"/>
                <w:b/>
                <w:bCs/>
                <w:sz w:val="21"/>
                <w:lang w:bidi="zh-CN"/>
              </w:rPr>
              <w:t>指标名称</w:t>
            </w:r>
          </w:p>
        </w:tc>
        <w:tc>
          <w:tcPr>
            <w:tcW w:w="850" w:type="dxa"/>
            <w:tcBorders>
              <w:top w:val="single" w:color="auto" w:sz="4" w:space="0"/>
              <w:left w:val="single" w:color="auto" w:sz="4" w:space="0"/>
            </w:tcBorders>
            <w:shd w:val="clear" w:color="auto" w:fill="FFFFFF"/>
            <w:vAlign w:val="center"/>
          </w:tcPr>
          <w:p w14:paraId="160F1504">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5BA5F139">
            <w:pPr>
              <w:spacing w:line="240" w:lineRule="auto"/>
              <w:ind w:firstLine="0" w:firstLineChars="0"/>
              <w:jc w:val="center"/>
              <w:rPr>
                <w:rFonts w:eastAsia="仿宋" w:cs="Times New Roman"/>
                <w:b/>
                <w:bCs/>
                <w:sz w:val="21"/>
                <w:lang w:bidi="zh-CN"/>
              </w:rPr>
            </w:pPr>
            <w:r>
              <w:rPr>
                <w:rFonts w:eastAsia="仿宋" w:cs="Times New Roman"/>
                <w:b/>
                <w:bCs/>
                <w:sz w:val="21"/>
                <w:lang w:bidi="zh-CN"/>
              </w:rPr>
              <w:t>基期年</w:t>
            </w:r>
          </w:p>
        </w:tc>
        <w:tc>
          <w:tcPr>
            <w:tcW w:w="1276" w:type="dxa"/>
            <w:tcBorders>
              <w:top w:val="single" w:color="auto" w:sz="4" w:space="0"/>
              <w:left w:val="single" w:color="auto" w:sz="4" w:space="0"/>
            </w:tcBorders>
            <w:shd w:val="clear" w:color="auto" w:fill="FFFFFF"/>
            <w:vAlign w:val="center"/>
          </w:tcPr>
          <w:p w14:paraId="08240F72">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6A7145EE">
            <w:pPr>
              <w:spacing w:line="240" w:lineRule="auto"/>
              <w:ind w:firstLine="0" w:firstLineChars="0"/>
              <w:jc w:val="center"/>
              <w:rPr>
                <w:rFonts w:eastAsia="仿宋" w:cs="Times New Roman"/>
                <w:b/>
                <w:bCs/>
                <w:sz w:val="21"/>
                <w:lang w:bidi="zh-CN"/>
              </w:rPr>
            </w:pPr>
            <w:r>
              <w:rPr>
                <w:rFonts w:eastAsia="仿宋" w:cs="Times New Roman"/>
                <w:b/>
                <w:bCs/>
                <w:sz w:val="21"/>
                <w:lang w:bidi="zh-CN"/>
              </w:rPr>
              <w:t>近期年</w:t>
            </w:r>
          </w:p>
        </w:tc>
        <w:tc>
          <w:tcPr>
            <w:tcW w:w="1134" w:type="dxa"/>
            <w:tcBorders>
              <w:top w:val="single" w:color="auto" w:sz="4" w:space="0"/>
              <w:left w:val="single" w:color="auto" w:sz="4" w:space="0"/>
            </w:tcBorders>
            <w:shd w:val="clear" w:color="auto" w:fill="FFFFFF"/>
            <w:vAlign w:val="center"/>
          </w:tcPr>
          <w:p w14:paraId="16949A2C">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5DEB543D">
            <w:pPr>
              <w:spacing w:line="240" w:lineRule="auto"/>
              <w:ind w:firstLine="0" w:firstLineChars="0"/>
              <w:jc w:val="center"/>
              <w:rPr>
                <w:rFonts w:eastAsia="仿宋" w:cs="Times New Roman"/>
                <w:b/>
                <w:bCs/>
                <w:sz w:val="21"/>
                <w:lang w:bidi="zh-CN"/>
              </w:rPr>
            </w:pPr>
            <w:r>
              <w:rPr>
                <w:rFonts w:eastAsia="仿宋" w:cs="Times New Roman"/>
                <w:b/>
                <w:bCs/>
                <w:sz w:val="21"/>
                <w:lang w:bidi="zh-CN"/>
              </w:rPr>
              <w:t>目标年</w:t>
            </w:r>
          </w:p>
        </w:tc>
        <w:tc>
          <w:tcPr>
            <w:tcW w:w="850" w:type="dxa"/>
            <w:tcBorders>
              <w:top w:val="single" w:color="auto" w:sz="4" w:space="0"/>
              <w:left w:val="single" w:color="auto" w:sz="4" w:space="0"/>
            </w:tcBorders>
            <w:shd w:val="clear" w:color="auto" w:fill="FFFFFF"/>
            <w:vAlign w:val="center"/>
          </w:tcPr>
          <w:p w14:paraId="280B823A">
            <w:pPr>
              <w:spacing w:line="240" w:lineRule="auto"/>
              <w:ind w:firstLine="0" w:firstLineChars="0"/>
              <w:jc w:val="center"/>
              <w:rPr>
                <w:rFonts w:eastAsia="仿宋" w:cs="Times New Roman"/>
                <w:b/>
                <w:bCs/>
                <w:sz w:val="21"/>
                <w:lang w:bidi="zh-CN"/>
              </w:rPr>
            </w:pPr>
            <w:r>
              <w:rPr>
                <w:rFonts w:eastAsia="仿宋" w:cs="Times New Roman"/>
                <w:b/>
                <w:bCs/>
                <w:sz w:val="21"/>
                <w:lang w:bidi="zh-CN"/>
              </w:rPr>
              <w:t>指标</w:t>
            </w:r>
          </w:p>
          <w:p w14:paraId="5C8FAB48">
            <w:pPr>
              <w:spacing w:line="240" w:lineRule="auto"/>
              <w:ind w:firstLine="0" w:firstLineChars="0"/>
              <w:jc w:val="center"/>
              <w:rPr>
                <w:rFonts w:eastAsia="仿宋" w:cs="Times New Roman"/>
                <w:b/>
                <w:bCs/>
                <w:sz w:val="21"/>
                <w:lang w:bidi="zh-CN"/>
              </w:rPr>
            </w:pPr>
            <w:r>
              <w:rPr>
                <w:rFonts w:eastAsia="仿宋" w:cs="Times New Roman"/>
                <w:b/>
                <w:bCs/>
                <w:sz w:val="21"/>
                <w:lang w:bidi="zh-CN"/>
              </w:rPr>
              <w:t>属性</w:t>
            </w:r>
          </w:p>
        </w:tc>
        <w:tc>
          <w:tcPr>
            <w:tcW w:w="567" w:type="dxa"/>
            <w:tcBorders>
              <w:top w:val="single" w:color="auto" w:sz="4" w:space="0"/>
              <w:left w:val="single" w:color="auto" w:sz="4" w:space="0"/>
              <w:right w:val="single" w:color="auto" w:sz="4" w:space="0"/>
            </w:tcBorders>
            <w:shd w:val="clear" w:color="auto" w:fill="FFFFFF"/>
            <w:vAlign w:val="center"/>
          </w:tcPr>
          <w:p w14:paraId="0EAADC8D">
            <w:pPr>
              <w:spacing w:line="240" w:lineRule="auto"/>
              <w:ind w:firstLine="0" w:firstLineChars="0"/>
              <w:jc w:val="center"/>
              <w:rPr>
                <w:rFonts w:eastAsia="仿宋" w:cs="Times New Roman"/>
                <w:b/>
                <w:bCs/>
                <w:sz w:val="21"/>
                <w:lang w:bidi="zh-CN"/>
              </w:rPr>
            </w:pPr>
            <w:r>
              <w:rPr>
                <w:rFonts w:eastAsia="仿宋" w:cs="Times New Roman"/>
                <w:b/>
                <w:bCs/>
                <w:sz w:val="21"/>
                <w:lang w:bidi="zh-CN"/>
              </w:rPr>
              <w:t>指标层级</w:t>
            </w:r>
          </w:p>
        </w:tc>
      </w:tr>
      <w:tr w14:paraId="18AE17BA">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46E9F6CE">
            <w:pPr>
              <w:spacing w:line="240" w:lineRule="auto"/>
              <w:ind w:firstLine="0" w:firstLineChars="0"/>
              <w:jc w:val="center"/>
              <w:rPr>
                <w:rFonts w:eastAsia="仿宋" w:cs="Times New Roman"/>
                <w:b/>
                <w:bCs/>
                <w:sz w:val="21"/>
                <w:lang w:bidi="zh-CN"/>
              </w:rPr>
            </w:pPr>
            <w:r>
              <w:rPr>
                <w:rFonts w:eastAsia="仿宋" w:cs="Times New Roman"/>
                <w:b/>
                <w:bCs/>
                <w:sz w:val="21"/>
                <w:lang w:bidi="zh-CN"/>
              </w:rPr>
              <w:t>一、空间底线</w:t>
            </w:r>
          </w:p>
        </w:tc>
      </w:tr>
      <w:tr w14:paraId="00E29066">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69D0FAB5">
            <w:pPr>
              <w:spacing w:line="240" w:lineRule="auto"/>
              <w:ind w:firstLine="0" w:firstLineChars="0"/>
              <w:jc w:val="center"/>
              <w:rPr>
                <w:rFonts w:eastAsia="仿宋" w:cs="Times New Roman"/>
                <w:sz w:val="21"/>
                <w:lang w:bidi="zh-CN"/>
              </w:rPr>
            </w:pPr>
            <w:r>
              <w:rPr>
                <w:rFonts w:eastAsia="仿宋" w:cs="Times New Roman"/>
                <w:sz w:val="21"/>
                <w:lang w:bidi="zh-CN"/>
              </w:rPr>
              <w:t>1</w:t>
            </w:r>
          </w:p>
        </w:tc>
        <w:tc>
          <w:tcPr>
            <w:tcW w:w="3218" w:type="dxa"/>
            <w:tcBorders>
              <w:top w:val="single" w:color="auto" w:sz="4" w:space="0"/>
              <w:left w:val="single" w:color="auto" w:sz="4" w:space="0"/>
            </w:tcBorders>
            <w:shd w:val="clear" w:color="auto" w:fill="FFFFFF"/>
            <w:vAlign w:val="center"/>
          </w:tcPr>
          <w:p w14:paraId="112EDE2E">
            <w:pPr>
              <w:spacing w:line="240" w:lineRule="auto"/>
              <w:ind w:firstLine="0" w:firstLineChars="0"/>
              <w:jc w:val="center"/>
              <w:rPr>
                <w:rFonts w:eastAsia="仿宋" w:cs="Times New Roman"/>
                <w:sz w:val="21"/>
                <w:lang w:bidi="zh-CN"/>
              </w:rPr>
            </w:pPr>
            <w:r>
              <w:rPr>
                <w:rFonts w:eastAsia="仿宋" w:cs="Times New Roman"/>
                <w:sz w:val="21"/>
                <w:lang w:bidi="zh-CN"/>
              </w:rPr>
              <w:t>耕地保有量（公顷）</w:t>
            </w:r>
          </w:p>
        </w:tc>
        <w:tc>
          <w:tcPr>
            <w:tcW w:w="850" w:type="dxa"/>
            <w:tcBorders>
              <w:top w:val="single" w:color="auto" w:sz="4" w:space="0"/>
              <w:left w:val="single" w:color="auto" w:sz="4" w:space="0"/>
            </w:tcBorders>
            <w:shd w:val="clear" w:color="auto" w:fill="FFFFFF"/>
            <w:vAlign w:val="center"/>
          </w:tcPr>
          <w:p w14:paraId="4E0E37D1">
            <w:pPr>
              <w:spacing w:line="240" w:lineRule="auto"/>
              <w:ind w:firstLine="0" w:firstLineChars="0"/>
              <w:jc w:val="center"/>
              <w:rPr>
                <w:rFonts w:eastAsia="仿宋" w:cs="Times New Roman"/>
                <w:sz w:val="21"/>
                <w:lang w:bidi="zh-CN"/>
              </w:rPr>
            </w:pPr>
            <w:r>
              <w:rPr>
                <w:rFonts w:cs="Times New Roman"/>
                <w:kern w:val="0"/>
                <w:sz w:val="21"/>
                <w:szCs w:val="21"/>
              </w:rPr>
              <w:t>1022.28</w:t>
            </w:r>
          </w:p>
        </w:tc>
        <w:tc>
          <w:tcPr>
            <w:tcW w:w="1276" w:type="dxa"/>
            <w:tcBorders>
              <w:top w:val="single" w:color="auto" w:sz="4" w:space="0"/>
              <w:left w:val="single" w:color="auto" w:sz="4" w:space="0"/>
            </w:tcBorders>
            <w:shd w:val="clear" w:color="auto" w:fill="FFFFFF"/>
            <w:vAlign w:val="center"/>
          </w:tcPr>
          <w:p w14:paraId="1280341B">
            <w:pPr>
              <w:spacing w:line="240" w:lineRule="auto"/>
              <w:ind w:firstLine="0" w:firstLineChars="0"/>
              <w:jc w:val="center"/>
              <w:rPr>
                <w:rFonts w:eastAsia="仿宋" w:cs="Times New Roman"/>
                <w:sz w:val="21"/>
                <w:lang w:bidi="zh-CN"/>
              </w:rPr>
            </w:pPr>
            <w:r>
              <w:rPr>
                <w:rFonts w:cs="Times New Roman"/>
                <w:kern w:val="0"/>
                <w:sz w:val="21"/>
                <w:szCs w:val="21"/>
              </w:rPr>
              <w:t>≥1022.28</w:t>
            </w:r>
          </w:p>
        </w:tc>
        <w:tc>
          <w:tcPr>
            <w:tcW w:w="1134" w:type="dxa"/>
            <w:tcBorders>
              <w:top w:val="single" w:color="auto" w:sz="4" w:space="0"/>
              <w:left w:val="single" w:color="auto" w:sz="4" w:space="0"/>
            </w:tcBorders>
            <w:shd w:val="clear" w:color="auto" w:fill="FFFFFF"/>
            <w:vAlign w:val="center"/>
          </w:tcPr>
          <w:p w14:paraId="5B5BA7DB">
            <w:pPr>
              <w:spacing w:line="240" w:lineRule="auto"/>
              <w:ind w:firstLine="0" w:firstLineChars="0"/>
              <w:jc w:val="center"/>
              <w:rPr>
                <w:rFonts w:eastAsia="仿宋" w:cs="Times New Roman"/>
                <w:sz w:val="21"/>
                <w:lang w:bidi="zh-CN"/>
              </w:rPr>
            </w:pPr>
            <w:r>
              <w:rPr>
                <w:rFonts w:cs="Times New Roman"/>
                <w:kern w:val="0"/>
                <w:sz w:val="21"/>
                <w:szCs w:val="21"/>
              </w:rPr>
              <w:t>≥1022.28</w:t>
            </w:r>
          </w:p>
        </w:tc>
        <w:tc>
          <w:tcPr>
            <w:tcW w:w="850" w:type="dxa"/>
            <w:tcBorders>
              <w:top w:val="single" w:color="auto" w:sz="4" w:space="0"/>
              <w:left w:val="single" w:color="auto" w:sz="4" w:space="0"/>
            </w:tcBorders>
            <w:shd w:val="clear" w:color="auto" w:fill="FFFFFF"/>
            <w:vAlign w:val="center"/>
          </w:tcPr>
          <w:p w14:paraId="6643514D">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3F92E185">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22600C8B">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0ECA4DCF">
            <w:pPr>
              <w:spacing w:line="240" w:lineRule="auto"/>
              <w:ind w:firstLine="0" w:firstLineChars="0"/>
              <w:jc w:val="center"/>
              <w:rPr>
                <w:rFonts w:eastAsia="仿宋" w:cs="Times New Roman"/>
                <w:sz w:val="21"/>
                <w:lang w:bidi="zh-CN"/>
              </w:rPr>
            </w:pPr>
            <w:r>
              <w:rPr>
                <w:rFonts w:eastAsia="仿宋" w:cs="Times New Roman"/>
                <w:sz w:val="21"/>
                <w:lang w:bidi="zh-CN"/>
              </w:rPr>
              <w:t>2</w:t>
            </w:r>
          </w:p>
        </w:tc>
        <w:tc>
          <w:tcPr>
            <w:tcW w:w="3218" w:type="dxa"/>
            <w:tcBorders>
              <w:top w:val="single" w:color="auto" w:sz="4" w:space="0"/>
              <w:left w:val="single" w:color="auto" w:sz="4" w:space="0"/>
            </w:tcBorders>
            <w:shd w:val="clear" w:color="auto" w:fill="FFFFFF"/>
            <w:vAlign w:val="center"/>
          </w:tcPr>
          <w:p w14:paraId="0217ACE3">
            <w:pPr>
              <w:spacing w:line="240" w:lineRule="auto"/>
              <w:ind w:firstLine="0" w:firstLineChars="0"/>
              <w:jc w:val="center"/>
              <w:rPr>
                <w:rFonts w:eastAsia="仿宋" w:cs="Times New Roman"/>
                <w:sz w:val="21"/>
                <w:lang w:bidi="zh-CN"/>
              </w:rPr>
            </w:pPr>
            <w:r>
              <w:rPr>
                <w:rFonts w:eastAsia="仿宋" w:cs="Times New Roman"/>
                <w:sz w:val="21"/>
                <w:lang w:bidi="zh-CN"/>
              </w:rPr>
              <w:t>永久基本农田保护面积（公顷）</w:t>
            </w:r>
          </w:p>
        </w:tc>
        <w:tc>
          <w:tcPr>
            <w:tcW w:w="850" w:type="dxa"/>
            <w:tcBorders>
              <w:top w:val="single" w:color="auto" w:sz="4" w:space="0"/>
              <w:left w:val="single" w:color="auto" w:sz="4" w:space="0"/>
            </w:tcBorders>
            <w:shd w:val="clear" w:color="auto" w:fill="FFFFFF"/>
            <w:vAlign w:val="center"/>
          </w:tcPr>
          <w:p w14:paraId="61501F4C">
            <w:pPr>
              <w:spacing w:line="240" w:lineRule="auto"/>
              <w:ind w:firstLine="0" w:firstLineChars="0"/>
              <w:jc w:val="center"/>
              <w:rPr>
                <w:rFonts w:eastAsia="仿宋" w:cs="Times New Roman"/>
                <w:sz w:val="21"/>
                <w:lang w:bidi="zh-CN"/>
              </w:rPr>
            </w:pPr>
            <w:r>
              <w:rPr>
                <w:rFonts w:eastAsia="仿宋" w:cs="Times New Roman"/>
                <w:sz w:val="21"/>
                <w:lang w:bidi="zh-CN"/>
              </w:rPr>
              <w:t>986.29</w:t>
            </w:r>
          </w:p>
        </w:tc>
        <w:tc>
          <w:tcPr>
            <w:tcW w:w="1276" w:type="dxa"/>
            <w:tcBorders>
              <w:top w:val="single" w:color="auto" w:sz="4" w:space="0"/>
              <w:left w:val="single" w:color="auto" w:sz="4" w:space="0"/>
            </w:tcBorders>
            <w:shd w:val="clear" w:color="auto" w:fill="FFFFFF"/>
            <w:vAlign w:val="center"/>
          </w:tcPr>
          <w:p w14:paraId="59CD89DA">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986.29</w:t>
            </w:r>
          </w:p>
        </w:tc>
        <w:tc>
          <w:tcPr>
            <w:tcW w:w="1134" w:type="dxa"/>
            <w:tcBorders>
              <w:top w:val="single" w:color="auto" w:sz="4" w:space="0"/>
              <w:left w:val="single" w:color="auto" w:sz="4" w:space="0"/>
            </w:tcBorders>
            <w:shd w:val="clear" w:color="auto" w:fill="FFFFFF"/>
            <w:vAlign w:val="center"/>
          </w:tcPr>
          <w:p w14:paraId="3D2E642F">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986.29</w:t>
            </w:r>
          </w:p>
        </w:tc>
        <w:tc>
          <w:tcPr>
            <w:tcW w:w="850" w:type="dxa"/>
            <w:tcBorders>
              <w:top w:val="single" w:color="auto" w:sz="4" w:space="0"/>
              <w:left w:val="single" w:color="auto" w:sz="4" w:space="0"/>
            </w:tcBorders>
            <w:shd w:val="clear" w:color="auto" w:fill="FFFFFF"/>
            <w:vAlign w:val="center"/>
          </w:tcPr>
          <w:p w14:paraId="37C63FCF">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4B8AAEC8">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0C5AC8E2">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9CDFAD3">
            <w:pPr>
              <w:spacing w:line="240" w:lineRule="auto"/>
              <w:ind w:firstLine="0" w:firstLineChars="0"/>
              <w:jc w:val="center"/>
              <w:rPr>
                <w:rFonts w:eastAsia="仿宋" w:cs="Times New Roman"/>
                <w:sz w:val="21"/>
                <w:lang w:bidi="zh-CN"/>
              </w:rPr>
            </w:pPr>
            <w:r>
              <w:rPr>
                <w:rFonts w:eastAsia="仿宋" w:cs="Times New Roman"/>
                <w:sz w:val="21"/>
                <w:lang w:bidi="zh-CN"/>
              </w:rPr>
              <w:t>3</w:t>
            </w:r>
          </w:p>
        </w:tc>
        <w:tc>
          <w:tcPr>
            <w:tcW w:w="3218" w:type="dxa"/>
            <w:tcBorders>
              <w:top w:val="single" w:color="auto" w:sz="4" w:space="0"/>
              <w:left w:val="single" w:color="auto" w:sz="4" w:space="0"/>
            </w:tcBorders>
            <w:shd w:val="clear" w:color="auto" w:fill="FFFFFF"/>
            <w:vAlign w:val="center"/>
          </w:tcPr>
          <w:p w14:paraId="4E1C51AF">
            <w:pPr>
              <w:spacing w:line="240" w:lineRule="auto"/>
              <w:ind w:firstLine="0" w:firstLineChars="0"/>
              <w:jc w:val="center"/>
              <w:rPr>
                <w:rFonts w:eastAsia="仿宋" w:cs="Times New Roman"/>
                <w:sz w:val="21"/>
                <w:lang w:bidi="zh-CN"/>
              </w:rPr>
            </w:pPr>
            <w:r>
              <w:rPr>
                <w:rFonts w:eastAsia="仿宋" w:cs="Times New Roman"/>
                <w:sz w:val="21"/>
                <w:lang w:bidi="zh-CN"/>
              </w:rPr>
              <w:t>生态保护红线面积（公顷）</w:t>
            </w:r>
          </w:p>
        </w:tc>
        <w:tc>
          <w:tcPr>
            <w:tcW w:w="850" w:type="dxa"/>
            <w:tcBorders>
              <w:top w:val="single" w:color="auto" w:sz="4" w:space="0"/>
              <w:left w:val="single" w:color="auto" w:sz="4" w:space="0"/>
            </w:tcBorders>
            <w:shd w:val="clear" w:color="auto" w:fill="FFFFFF"/>
            <w:vAlign w:val="center"/>
          </w:tcPr>
          <w:p w14:paraId="2F768908">
            <w:pPr>
              <w:spacing w:line="240" w:lineRule="auto"/>
              <w:ind w:firstLine="0" w:firstLineChars="0"/>
              <w:jc w:val="center"/>
              <w:rPr>
                <w:rFonts w:eastAsia="仿宋" w:cs="Times New Roman"/>
                <w:sz w:val="21"/>
                <w:lang w:bidi="zh-CN"/>
              </w:rPr>
            </w:pPr>
            <w:r>
              <w:rPr>
                <w:rFonts w:eastAsia="仿宋" w:cs="Times New Roman"/>
                <w:sz w:val="21"/>
                <w:lang w:bidi="zh-CN"/>
              </w:rPr>
              <w:t>5237.97</w:t>
            </w:r>
          </w:p>
        </w:tc>
        <w:tc>
          <w:tcPr>
            <w:tcW w:w="1276" w:type="dxa"/>
            <w:tcBorders>
              <w:top w:val="single" w:color="auto" w:sz="4" w:space="0"/>
              <w:left w:val="single" w:color="auto" w:sz="4" w:space="0"/>
            </w:tcBorders>
            <w:shd w:val="clear" w:color="auto" w:fill="FFFFFF"/>
            <w:vAlign w:val="center"/>
          </w:tcPr>
          <w:p w14:paraId="7173C54E">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5237.97</w:t>
            </w:r>
          </w:p>
        </w:tc>
        <w:tc>
          <w:tcPr>
            <w:tcW w:w="1134" w:type="dxa"/>
            <w:tcBorders>
              <w:top w:val="single" w:color="auto" w:sz="4" w:space="0"/>
              <w:left w:val="single" w:color="auto" w:sz="4" w:space="0"/>
            </w:tcBorders>
            <w:shd w:val="clear" w:color="auto" w:fill="FFFFFF"/>
            <w:vAlign w:val="center"/>
          </w:tcPr>
          <w:p w14:paraId="01653388">
            <w:pPr>
              <w:spacing w:line="240" w:lineRule="auto"/>
              <w:ind w:firstLine="0" w:firstLineChars="0"/>
              <w:jc w:val="center"/>
              <w:rPr>
                <w:rFonts w:eastAsia="仿宋" w:cs="Times New Roman"/>
                <w:sz w:val="21"/>
                <w:lang w:bidi="zh-CN"/>
              </w:rPr>
            </w:pPr>
            <w:r>
              <w:rPr>
                <w:rFonts w:cs="Times New Roman"/>
                <w:kern w:val="0"/>
                <w:sz w:val="21"/>
                <w:szCs w:val="21"/>
              </w:rPr>
              <w:t>≥5237.97</w:t>
            </w:r>
          </w:p>
        </w:tc>
        <w:tc>
          <w:tcPr>
            <w:tcW w:w="850" w:type="dxa"/>
            <w:tcBorders>
              <w:top w:val="single" w:color="auto" w:sz="4" w:space="0"/>
              <w:left w:val="single" w:color="auto" w:sz="4" w:space="0"/>
            </w:tcBorders>
            <w:shd w:val="clear" w:color="auto" w:fill="FFFFFF"/>
            <w:vAlign w:val="center"/>
          </w:tcPr>
          <w:p w14:paraId="227694FE">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3A3E8AAC">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1C38648C">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11D9408C">
            <w:pPr>
              <w:spacing w:line="240" w:lineRule="auto"/>
              <w:ind w:firstLine="0" w:firstLineChars="0"/>
              <w:jc w:val="center"/>
              <w:rPr>
                <w:rFonts w:eastAsia="仿宋" w:cs="Times New Roman"/>
                <w:sz w:val="21"/>
                <w:lang w:bidi="zh-CN"/>
              </w:rPr>
            </w:pPr>
            <w:r>
              <w:rPr>
                <w:rFonts w:eastAsia="仿宋" w:cs="Times New Roman"/>
                <w:sz w:val="21"/>
                <w:lang w:bidi="zh-CN"/>
              </w:rPr>
              <w:t>4</w:t>
            </w:r>
          </w:p>
        </w:tc>
        <w:tc>
          <w:tcPr>
            <w:tcW w:w="3218" w:type="dxa"/>
            <w:tcBorders>
              <w:top w:val="single" w:color="auto" w:sz="4" w:space="0"/>
              <w:left w:val="single" w:color="auto" w:sz="4" w:space="0"/>
            </w:tcBorders>
            <w:shd w:val="clear" w:color="auto" w:fill="FFFFFF"/>
            <w:vAlign w:val="center"/>
          </w:tcPr>
          <w:p w14:paraId="568E0869">
            <w:pPr>
              <w:spacing w:line="240" w:lineRule="auto"/>
              <w:ind w:firstLine="0" w:firstLineChars="0"/>
              <w:jc w:val="center"/>
              <w:rPr>
                <w:rFonts w:eastAsia="仿宋" w:cs="Times New Roman"/>
                <w:sz w:val="21"/>
                <w:lang w:bidi="zh-CN"/>
              </w:rPr>
            </w:pPr>
            <w:r>
              <w:rPr>
                <w:rFonts w:eastAsia="仿宋" w:cs="Times New Roman"/>
                <w:sz w:val="21"/>
                <w:lang w:bidi="zh-CN"/>
              </w:rPr>
              <w:t>自然保护地陆域面积占陆域国土面积比例（%）</w:t>
            </w:r>
          </w:p>
        </w:tc>
        <w:tc>
          <w:tcPr>
            <w:tcW w:w="850" w:type="dxa"/>
            <w:tcBorders>
              <w:top w:val="single" w:color="auto" w:sz="4" w:space="0"/>
              <w:left w:val="single" w:color="auto" w:sz="4" w:space="0"/>
            </w:tcBorders>
            <w:shd w:val="clear" w:color="auto" w:fill="FFFFFF"/>
            <w:vAlign w:val="center"/>
          </w:tcPr>
          <w:p w14:paraId="21E57DE9">
            <w:pPr>
              <w:spacing w:line="240" w:lineRule="auto"/>
              <w:ind w:firstLine="0" w:firstLineChars="0"/>
              <w:jc w:val="center"/>
              <w:rPr>
                <w:rFonts w:eastAsia="仿宋" w:cs="Times New Roman"/>
                <w:sz w:val="21"/>
                <w:lang w:bidi="zh-CN"/>
              </w:rPr>
            </w:pPr>
            <w:r>
              <w:rPr>
                <w:rFonts w:eastAsia="仿宋" w:cs="Times New Roman"/>
                <w:sz w:val="21"/>
                <w:lang w:bidi="zh-CN"/>
              </w:rPr>
              <w:t>10.26</w:t>
            </w:r>
          </w:p>
        </w:tc>
        <w:tc>
          <w:tcPr>
            <w:tcW w:w="1276" w:type="dxa"/>
            <w:tcBorders>
              <w:top w:val="single" w:color="auto" w:sz="4" w:space="0"/>
              <w:left w:val="single" w:color="auto" w:sz="4" w:space="0"/>
            </w:tcBorders>
            <w:shd w:val="clear" w:color="auto" w:fill="FFFFFF"/>
            <w:vAlign w:val="center"/>
          </w:tcPr>
          <w:p w14:paraId="7C1C1E58">
            <w:pPr>
              <w:spacing w:line="240" w:lineRule="auto"/>
              <w:ind w:firstLine="0" w:firstLineChars="0"/>
              <w:jc w:val="center"/>
              <w:rPr>
                <w:rFonts w:eastAsia="仿宋" w:cs="Times New Roman"/>
                <w:sz w:val="21"/>
                <w:lang w:bidi="zh-CN"/>
              </w:rPr>
            </w:pPr>
            <w:r>
              <w:rPr>
                <w:rFonts w:cs="Times New Roman"/>
                <w:kern w:val="0"/>
                <w:sz w:val="21"/>
                <w:szCs w:val="21"/>
              </w:rPr>
              <w:t>≥10.26</w:t>
            </w:r>
          </w:p>
        </w:tc>
        <w:tc>
          <w:tcPr>
            <w:tcW w:w="1134" w:type="dxa"/>
            <w:tcBorders>
              <w:top w:val="single" w:color="auto" w:sz="4" w:space="0"/>
              <w:left w:val="single" w:color="auto" w:sz="4" w:space="0"/>
            </w:tcBorders>
            <w:shd w:val="clear" w:color="auto" w:fill="FFFFFF"/>
            <w:vAlign w:val="center"/>
          </w:tcPr>
          <w:p w14:paraId="5DC519D7">
            <w:pPr>
              <w:spacing w:line="240" w:lineRule="auto"/>
              <w:ind w:firstLine="0" w:firstLineChars="0"/>
              <w:jc w:val="center"/>
              <w:rPr>
                <w:rFonts w:eastAsia="仿宋" w:cs="Times New Roman"/>
                <w:sz w:val="21"/>
                <w:lang w:bidi="zh-CN"/>
              </w:rPr>
            </w:pPr>
            <w:r>
              <w:rPr>
                <w:rFonts w:cs="Times New Roman"/>
                <w:kern w:val="0"/>
                <w:sz w:val="21"/>
                <w:szCs w:val="21"/>
              </w:rPr>
              <w:t>≥10.26</w:t>
            </w:r>
          </w:p>
        </w:tc>
        <w:tc>
          <w:tcPr>
            <w:tcW w:w="850" w:type="dxa"/>
            <w:tcBorders>
              <w:top w:val="single" w:color="auto" w:sz="4" w:space="0"/>
              <w:left w:val="single" w:color="auto" w:sz="4" w:space="0"/>
            </w:tcBorders>
            <w:shd w:val="clear" w:color="auto" w:fill="FFFFFF"/>
            <w:vAlign w:val="center"/>
          </w:tcPr>
          <w:p w14:paraId="6D7D4151">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793FB60F">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7F4D1E9C">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3A761584">
            <w:pPr>
              <w:spacing w:line="240" w:lineRule="auto"/>
              <w:ind w:firstLine="0" w:firstLineChars="0"/>
              <w:jc w:val="center"/>
              <w:rPr>
                <w:rFonts w:eastAsia="仿宋" w:cs="Times New Roman"/>
                <w:sz w:val="21"/>
                <w:lang w:bidi="zh-CN"/>
              </w:rPr>
            </w:pPr>
            <w:r>
              <w:rPr>
                <w:rFonts w:eastAsia="仿宋" w:cs="Times New Roman"/>
                <w:sz w:val="21"/>
                <w:lang w:bidi="zh-CN"/>
              </w:rPr>
              <w:t>5</w:t>
            </w:r>
          </w:p>
        </w:tc>
        <w:tc>
          <w:tcPr>
            <w:tcW w:w="3218" w:type="dxa"/>
            <w:tcBorders>
              <w:top w:val="single" w:color="auto" w:sz="4" w:space="0"/>
              <w:left w:val="single" w:color="auto" w:sz="4" w:space="0"/>
            </w:tcBorders>
            <w:shd w:val="clear" w:color="auto" w:fill="FFFFFF"/>
            <w:vAlign w:val="center"/>
          </w:tcPr>
          <w:p w14:paraId="5F244DCE">
            <w:pPr>
              <w:spacing w:line="240" w:lineRule="auto"/>
              <w:ind w:firstLine="0" w:firstLineChars="0"/>
              <w:jc w:val="center"/>
              <w:rPr>
                <w:rFonts w:eastAsia="仿宋" w:cs="Times New Roman"/>
                <w:sz w:val="21"/>
                <w:lang w:bidi="zh-CN"/>
              </w:rPr>
            </w:pPr>
            <w:r>
              <w:rPr>
                <w:rFonts w:eastAsia="仿宋" w:cs="Times New Roman"/>
                <w:sz w:val="21"/>
                <w:lang w:bidi="zh-CN"/>
              </w:rPr>
              <w:t>森林覆盖率（%）</w:t>
            </w:r>
          </w:p>
        </w:tc>
        <w:tc>
          <w:tcPr>
            <w:tcW w:w="850" w:type="dxa"/>
            <w:tcBorders>
              <w:top w:val="single" w:color="auto" w:sz="4" w:space="0"/>
              <w:left w:val="single" w:color="auto" w:sz="4" w:space="0"/>
            </w:tcBorders>
            <w:shd w:val="clear" w:color="auto" w:fill="FFFFFF"/>
            <w:vAlign w:val="center"/>
          </w:tcPr>
          <w:p w14:paraId="0EC9C469">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6D80AB30">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7C342F5E">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790A2EBE">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16B02A22">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4351E9C6">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C9C32B8">
            <w:pPr>
              <w:spacing w:line="240" w:lineRule="auto"/>
              <w:ind w:firstLine="0" w:firstLineChars="0"/>
              <w:jc w:val="center"/>
              <w:rPr>
                <w:rFonts w:eastAsia="仿宋" w:cs="Times New Roman"/>
                <w:sz w:val="21"/>
                <w:lang w:bidi="zh-CN"/>
              </w:rPr>
            </w:pPr>
            <w:r>
              <w:rPr>
                <w:rFonts w:eastAsia="仿宋" w:cs="Times New Roman"/>
                <w:sz w:val="21"/>
                <w:lang w:bidi="zh-CN"/>
              </w:rPr>
              <w:t>6</w:t>
            </w:r>
          </w:p>
        </w:tc>
        <w:tc>
          <w:tcPr>
            <w:tcW w:w="3218" w:type="dxa"/>
            <w:tcBorders>
              <w:top w:val="single" w:color="auto" w:sz="4" w:space="0"/>
              <w:left w:val="single" w:color="auto" w:sz="4" w:space="0"/>
            </w:tcBorders>
            <w:shd w:val="clear" w:color="auto" w:fill="FFFFFF"/>
            <w:vAlign w:val="center"/>
          </w:tcPr>
          <w:p w14:paraId="1F5293FD">
            <w:pPr>
              <w:spacing w:line="240" w:lineRule="auto"/>
              <w:ind w:firstLine="0" w:firstLineChars="0"/>
              <w:jc w:val="center"/>
              <w:rPr>
                <w:rFonts w:eastAsia="仿宋" w:cs="Times New Roman"/>
                <w:sz w:val="21"/>
                <w:lang w:bidi="zh-CN"/>
              </w:rPr>
            </w:pPr>
            <w:r>
              <w:rPr>
                <w:rFonts w:eastAsia="仿宋" w:cs="Times New Roman"/>
                <w:sz w:val="21"/>
                <w:lang w:bidi="zh-CN"/>
              </w:rPr>
              <w:t>林地保有量（公顷）</w:t>
            </w:r>
          </w:p>
        </w:tc>
        <w:tc>
          <w:tcPr>
            <w:tcW w:w="850" w:type="dxa"/>
            <w:tcBorders>
              <w:top w:val="single" w:color="auto" w:sz="4" w:space="0"/>
              <w:left w:val="single" w:color="auto" w:sz="4" w:space="0"/>
            </w:tcBorders>
            <w:shd w:val="clear" w:color="auto" w:fill="FFFFFF"/>
            <w:vAlign w:val="center"/>
          </w:tcPr>
          <w:p w14:paraId="3E040DE7">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3C962B36">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68049DB7">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1423734A">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F0A9063">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6AF44B2C">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38823988">
            <w:pPr>
              <w:spacing w:line="240" w:lineRule="auto"/>
              <w:ind w:firstLine="0" w:firstLineChars="0"/>
              <w:jc w:val="center"/>
              <w:rPr>
                <w:rFonts w:eastAsia="仿宋" w:cs="Times New Roman"/>
                <w:sz w:val="21"/>
                <w:lang w:bidi="zh-CN"/>
              </w:rPr>
            </w:pPr>
            <w:r>
              <w:rPr>
                <w:rFonts w:eastAsia="仿宋" w:cs="Times New Roman"/>
                <w:sz w:val="21"/>
                <w:lang w:bidi="zh-CN"/>
              </w:rPr>
              <w:t>7</w:t>
            </w:r>
          </w:p>
        </w:tc>
        <w:tc>
          <w:tcPr>
            <w:tcW w:w="3218" w:type="dxa"/>
            <w:tcBorders>
              <w:top w:val="single" w:color="auto" w:sz="4" w:space="0"/>
              <w:left w:val="single" w:color="auto" w:sz="4" w:space="0"/>
            </w:tcBorders>
            <w:shd w:val="clear" w:color="auto" w:fill="FFFFFF"/>
            <w:vAlign w:val="center"/>
          </w:tcPr>
          <w:p w14:paraId="76E5DFC2">
            <w:pPr>
              <w:spacing w:line="240" w:lineRule="auto"/>
              <w:ind w:firstLine="0" w:firstLineChars="0"/>
              <w:jc w:val="center"/>
              <w:rPr>
                <w:rFonts w:eastAsia="仿宋" w:cs="Times New Roman"/>
                <w:sz w:val="21"/>
                <w:lang w:bidi="zh-CN"/>
              </w:rPr>
            </w:pPr>
            <w:r>
              <w:rPr>
                <w:rFonts w:eastAsia="仿宋" w:cs="Times New Roman"/>
                <w:sz w:val="21"/>
                <w:lang w:bidi="zh-CN"/>
              </w:rPr>
              <w:t>湿地保护率（%）</w:t>
            </w:r>
          </w:p>
        </w:tc>
        <w:tc>
          <w:tcPr>
            <w:tcW w:w="850" w:type="dxa"/>
            <w:tcBorders>
              <w:top w:val="single" w:color="auto" w:sz="4" w:space="0"/>
              <w:left w:val="single" w:color="auto" w:sz="4" w:space="0"/>
            </w:tcBorders>
            <w:shd w:val="clear" w:color="auto" w:fill="FFFFFF"/>
            <w:vAlign w:val="center"/>
          </w:tcPr>
          <w:p w14:paraId="6BC60F02">
            <w:pPr>
              <w:spacing w:line="240" w:lineRule="auto"/>
              <w:ind w:firstLine="0" w:firstLineChars="0"/>
              <w:jc w:val="center"/>
              <w:rPr>
                <w:rFonts w:eastAsia="仿宋" w:cs="Times New Roman"/>
                <w:sz w:val="21"/>
                <w:lang w:bidi="zh-CN"/>
              </w:rPr>
            </w:pPr>
            <w:r>
              <w:rPr>
                <w:rFonts w:eastAsia="仿宋" w:cs="Times New Roman"/>
                <w:sz w:val="21"/>
                <w:lang w:bidi="zh-CN"/>
              </w:rPr>
              <w:t xml:space="preserve">- </w:t>
            </w:r>
          </w:p>
        </w:tc>
        <w:tc>
          <w:tcPr>
            <w:tcW w:w="1276" w:type="dxa"/>
            <w:tcBorders>
              <w:top w:val="single" w:color="auto" w:sz="4" w:space="0"/>
              <w:left w:val="single" w:color="auto" w:sz="4" w:space="0"/>
            </w:tcBorders>
            <w:shd w:val="clear" w:color="auto" w:fill="FFFFFF"/>
            <w:vAlign w:val="center"/>
          </w:tcPr>
          <w:p w14:paraId="283AB18B">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6EB9F809">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6F6D699A">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3792E5B">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14432DE2">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38F4C953">
            <w:pPr>
              <w:spacing w:line="240" w:lineRule="auto"/>
              <w:ind w:firstLine="0" w:firstLineChars="0"/>
              <w:jc w:val="center"/>
              <w:rPr>
                <w:rFonts w:eastAsia="仿宋" w:cs="Times New Roman"/>
                <w:sz w:val="21"/>
                <w:lang w:bidi="zh-CN"/>
              </w:rPr>
            </w:pPr>
            <w:r>
              <w:rPr>
                <w:rFonts w:eastAsia="仿宋" w:cs="Times New Roman"/>
                <w:sz w:val="21"/>
                <w:lang w:bidi="zh-CN"/>
              </w:rPr>
              <w:t>8</w:t>
            </w:r>
          </w:p>
        </w:tc>
        <w:tc>
          <w:tcPr>
            <w:tcW w:w="3218" w:type="dxa"/>
            <w:tcBorders>
              <w:top w:val="single" w:color="auto" w:sz="4" w:space="0"/>
              <w:left w:val="single" w:color="auto" w:sz="4" w:space="0"/>
            </w:tcBorders>
            <w:shd w:val="clear" w:color="auto" w:fill="FFFFFF"/>
            <w:vAlign w:val="center"/>
          </w:tcPr>
          <w:p w14:paraId="21DC5630">
            <w:pPr>
              <w:spacing w:line="240" w:lineRule="auto"/>
              <w:ind w:firstLine="0" w:firstLineChars="0"/>
              <w:jc w:val="center"/>
              <w:rPr>
                <w:rFonts w:eastAsia="仿宋" w:cs="Times New Roman"/>
                <w:sz w:val="21"/>
                <w:lang w:bidi="zh-CN"/>
              </w:rPr>
            </w:pPr>
            <w:r>
              <w:rPr>
                <w:rFonts w:eastAsia="仿宋" w:cs="Times New Roman"/>
                <w:sz w:val="21"/>
                <w:lang w:bidi="zh-CN"/>
              </w:rPr>
              <w:t>水域空间保有量（公顷）</w:t>
            </w:r>
          </w:p>
        </w:tc>
        <w:tc>
          <w:tcPr>
            <w:tcW w:w="850" w:type="dxa"/>
            <w:tcBorders>
              <w:top w:val="single" w:color="auto" w:sz="4" w:space="0"/>
              <w:left w:val="single" w:color="auto" w:sz="4" w:space="0"/>
            </w:tcBorders>
            <w:shd w:val="clear" w:color="auto" w:fill="FFFFFF"/>
            <w:vAlign w:val="center"/>
          </w:tcPr>
          <w:p w14:paraId="1CE32B88">
            <w:pPr>
              <w:spacing w:line="240" w:lineRule="auto"/>
              <w:ind w:firstLine="0" w:firstLineChars="0"/>
              <w:jc w:val="center"/>
              <w:rPr>
                <w:rFonts w:eastAsia="仿宋" w:cs="Times New Roman"/>
                <w:sz w:val="21"/>
                <w:lang w:bidi="zh-CN"/>
              </w:rPr>
            </w:pPr>
            <w:r>
              <w:rPr>
                <w:rFonts w:eastAsia="仿宋" w:cs="Times New Roman"/>
                <w:sz w:val="21"/>
                <w:lang w:bidi="zh-CN"/>
              </w:rPr>
              <w:t xml:space="preserve">- </w:t>
            </w:r>
          </w:p>
        </w:tc>
        <w:tc>
          <w:tcPr>
            <w:tcW w:w="1276" w:type="dxa"/>
            <w:tcBorders>
              <w:top w:val="single" w:color="auto" w:sz="4" w:space="0"/>
              <w:left w:val="single" w:color="auto" w:sz="4" w:space="0"/>
            </w:tcBorders>
            <w:shd w:val="clear" w:color="auto" w:fill="FFFFFF"/>
            <w:vAlign w:val="center"/>
          </w:tcPr>
          <w:p w14:paraId="5209CDCE">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5D294A06">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1409C17E">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550B52C">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1E9E9EBF">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7043E2DB">
            <w:pPr>
              <w:spacing w:line="240" w:lineRule="auto"/>
              <w:ind w:firstLine="0" w:firstLineChars="0"/>
              <w:jc w:val="center"/>
              <w:rPr>
                <w:rFonts w:eastAsia="仿宋" w:cs="Times New Roman"/>
                <w:sz w:val="21"/>
                <w:lang w:bidi="zh-CN"/>
              </w:rPr>
            </w:pPr>
            <w:r>
              <w:rPr>
                <w:rFonts w:eastAsia="仿宋" w:cs="Times New Roman"/>
                <w:sz w:val="21"/>
                <w:lang w:bidi="zh-CN"/>
              </w:rPr>
              <w:t>9</w:t>
            </w:r>
          </w:p>
        </w:tc>
        <w:tc>
          <w:tcPr>
            <w:tcW w:w="3218" w:type="dxa"/>
            <w:tcBorders>
              <w:top w:val="single" w:color="auto" w:sz="4" w:space="0"/>
              <w:left w:val="single" w:color="auto" w:sz="4" w:space="0"/>
            </w:tcBorders>
            <w:shd w:val="clear" w:color="auto" w:fill="FFFFFF"/>
            <w:vAlign w:val="center"/>
          </w:tcPr>
          <w:p w14:paraId="7762EEC1">
            <w:pPr>
              <w:spacing w:line="240" w:lineRule="auto"/>
              <w:ind w:firstLine="0" w:firstLineChars="0"/>
              <w:jc w:val="center"/>
              <w:rPr>
                <w:rFonts w:eastAsia="仿宋" w:cs="Times New Roman"/>
                <w:sz w:val="21"/>
                <w:lang w:bidi="zh-CN"/>
              </w:rPr>
            </w:pPr>
            <w:r>
              <w:rPr>
                <w:rFonts w:eastAsia="仿宋" w:cs="Times New Roman"/>
                <w:sz w:val="21"/>
                <w:lang w:bidi="zh-CN"/>
              </w:rPr>
              <w:t>城镇开发边界扩展倍数</w:t>
            </w:r>
          </w:p>
        </w:tc>
        <w:tc>
          <w:tcPr>
            <w:tcW w:w="850" w:type="dxa"/>
            <w:tcBorders>
              <w:top w:val="single" w:color="auto" w:sz="4" w:space="0"/>
              <w:left w:val="single" w:color="auto" w:sz="4" w:space="0"/>
            </w:tcBorders>
            <w:shd w:val="clear" w:color="auto" w:fill="FFFFFF"/>
            <w:vAlign w:val="center"/>
          </w:tcPr>
          <w:p w14:paraId="296E646A">
            <w:pPr>
              <w:spacing w:line="240" w:lineRule="auto"/>
              <w:ind w:firstLine="0" w:firstLineChars="0"/>
              <w:jc w:val="center"/>
              <w:rPr>
                <w:rFonts w:eastAsia="仿宋" w:cs="Times New Roman"/>
                <w:sz w:val="21"/>
                <w:lang w:bidi="zh-CN"/>
              </w:rPr>
            </w:pPr>
            <w:r>
              <w:rPr>
                <w:rFonts w:eastAsia="仿宋" w:cs="Times New Roman"/>
                <w:sz w:val="21"/>
                <w:lang w:bidi="zh-CN"/>
              </w:rPr>
              <w:t>1.0</w:t>
            </w:r>
          </w:p>
        </w:tc>
        <w:tc>
          <w:tcPr>
            <w:tcW w:w="1276" w:type="dxa"/>
            <w:tcBorders>
              <w:top w:val="single" w:color="auto" w:sz="4" w:space="0"/>
              <w:left w:val="single" w:color="auto" w:sz="4" w:space="0"/>
            </w:tcBorders>
            <w:shd w:val="clear" w:color="auto" w:fill="FFFFFF"/>
            <w:vAlign w:val="center"/>
          </w:tcPr>
          <w:p w14:paraId="0B0F0B8E">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1.0</w:t>
            </w:r>
          </w:p>
        </w:tc>
        <w:tc>
          <w:tcPr>
            <w:tcW w:w="1134" w:type="dxa"/>
            <w:tcBorders>
              <w:top w:val="single" w:color="auto" w:sz="4" w:space="0"/>
              <w:left w:val="single" w:color="auto" w:sz="4" w:space="0"/>
            </w:tcBorders>
            <w:shd w:val="clear" w:color="auto" w:fill="FFFFFF"/>
            <w:vAlign w:val="center"/>
          </w:tcPr>
          <w:p w14:paraId="5B3B0048">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1.0</w:t>
            </w:r>
          </w:p>
        </w:tc>
        <w:tc>
          <w:tcPr>
            <w:tcW w:w="850" w:type="dxa"/>
            <w:tcBorders>
              <w:top w:val="single" w:color="auto" w:sz="4" w:space="0"/>
              <w:left w:val="single" w:color="auto" w:sz="4" w:space="0"/>
            </w:tcBorders>
            <w:shd w:val="clear" w:color="auto" w:fill="FFFFFF"/>
            <w:vAlign w:val="center"/>
          </w:tcPr>
          <w:p w14:paraId="01869EC1">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2485085D">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20FE9626">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63CC4E3">
            <w:pPr>
              <w:spacing w:line="240" w:lineRule="auto"/>
              <w:ind w:firstLine="0" w:firstLineChars="0"/>
              <w:jc w:val="center"/>
              <w:rPr>
                <w:rFonts w:eastAsia="仿宋" w:cs="Times New Roman"/>
                <w:sz w:val="21"/>
                <w:lang w:bidi="zh-CN"/>
              </w:rPr>
            </w:pPr>
            <w:r>
              <w:rPr>
                <w:rFonts w:eastAsia="仿宋" w:cs="Times New Roman"/>
                <w:sz w:val="21"/>
                <w:lang w:bidi="zh-CN"/>
              </w:rPr>
              <w:t>10</w:t>
            </w:r>
          </w:p>
        </w:tc>
        <w:tc>
          <w:tcPr>
            <w:tcW w:w="3218" w:type="dxa"/>
            <w:tcBorders>
              <w:top w:val="single" w:color="auto" w:sz="4" w:space="0"/>
              <w:left w:val="single" w:color="auto" w:sz="4" w:space="0"/>
            </w:tcBorders>
            <w:shd w:val="clear" w:color="auto" w:fill="FFFFFF"/>
            <w:vAlign w:val="center"/>
          </w:tcPr>
          <w:p w14:paraId="245A2334">
            <w:pPr>
              <w:spacing w:line="240" w:lineRule="auto"/>
              <w:ind w:firstLine="0" w:firstLineChars="0"/>
              <w:jc w:val="center"/>
              <w:rPr>
                <w:rFonts w:eastAsia="仿宋" w:cs="Times New Roman"/>
                <w:sz w:val="21"/>
                <w:lang w:bidi="zh-CN"/>
              </w:rPr>
            </w:pPr>
            <w:r>
              <w:rPr>
                <w:rFonts w:eastAsia="仿宋" w:cs="Times New Roman"/>
                <w:sz w:val="21"/>
                <w:lang w:bidi="zh-CN"/>
              </w:rPr>
              <w:t>村庄建设边界划定面积（公顷）</w:t>
            </w:r>
          </w:p>
        </w:tc>
        <w:tc>
          <w:tcPr>
            <w:tcW w:w="850" w:type="dxa"/>
            <w:tcBorders>
              <w:top w:val="single" w:color="auto" w:sz="4" w:space="0"/>
              <w:left w:val="single" w:color="auto" w:sz="4" w:space="0"/>
            </w:tcBorders>
            <w:shd w:val="clear" w:color="auto" w:fill="FFFFFF"/>
            <w:vAlign w:val="center"/>
          </w:tcPr>
          <w:p w14:paraId="31053EE2">
            <w:pPr>
              <w:spacing w:line="240" w:lineRule="auto"/>
              <w:ind w:firstLine="0" w:firstLineChars="0"/>
              <w:jc w:val="center"/>
              <w:rPr>
                <w:rFonts w:eastAsia="仿宋" w:cs="Times New Roman"/>
                <w:sz w:val="21"/>
                <w:lang w:bidi="zh-CN"/>
              </w:rPr>
            </w:pPr>
            <w:r>
              <w:rPr>
                <w:rFonts w:eastAsia="仿宋" w:cs="Times New Roman"/>
                <w:sz w:val="21"/>
                <w:lang w:bidi="zh-CN"/>
              </w:rPr>
              <w:t>538.62</w:t>
            </w:r>
          </w:p>
        </w:tc>
        <w:tc>
          <w:tcPr>
            <w:tcW w:w="1276" w:type="dxa"/>
            <w:tcBorders>
              <w:top w:val="single" w:color="auto" w:sz="4" w:space="0"/>
              <w:left w:val="single" w:color="auto" w:sz="4" w:space="0"/>
            </w:tcBorders>
            <w:shd w:val="clear" w:color="auto" w:fill="FFFFFF"/>
            <w:vAlign w:val="center"/>
          </w:tcPr>
          <w:p w14:paraId="314A3866">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538.62</w:t>
            </w:r>
          </w:p>
        </w:tc>
        <w:tc>
          <w:tcPr>
            <w:tcW w:w="1134" w:type="dxa"/>
            <w:tcBorders>
              <w:top w:val="single" w:color="auto" w:sz="4" w:space="0"/>
              <w:left w:val="single" w:color="auto" w:sz="4" w:space="0"/>
            </w:tcBorders>
            <w:shd w:val="clear" w:color="auto" w:fill="FFFFFF"/>
            <w:vAlign w:val="center"/>
          </w:tcPr>
          <w:p w14:paraId="076261CC">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538.62</w:t>
            </w:r>
          </w:p>
        </w:tc>
        <w:tc>
          <w:tcPr>
            <w:tcW w:w="850" w:type="dxa"/>
            <w:tcBorders>
              <w:top w:val="single" w:color="auto" w:sz="4" w:space="0"/>
              <w:left w:val="single" w:color="auto" w:sz="4" w:space="0"/>
            </w:tcBorders>
            <w:shd w:val="clear" w:color="auto" w:fill="FFFFFF"/>
            <w:vAlign w:val="center"/>
          </w:tcPr>
          <w:p w14:paraId="644E802F">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2988A4E">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749C5959">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61D2F20A">
            <w:pPr>
              <w:spacing w:line="240" w:lineRule="auto"/>
              <w:ind w:firstLine="0" w:firstLineChars="0"/>
              <w:jc w:val="center"/>
              <w:rPr>
                <w:rFonts w:eastAsia="仿宋" w:cs="Times New Roman"/>
                <w:b/>
                <w:bCs/>
                <w:sz w:val="21"/>
                <w:lang w:bidi="zh-CN"/>
              </w:rPr>
            </w:pPr>
            <w:r>
              <w:rPr>
                <w:rFonts w:eastAsia="仿宋" w:cs="Times New Roman"/>
                <w:b/>
                <w:bCs/>
                <w:sz w:val="21"/>
                <w:lang w:bidi="zh-CN"/>
              </w:rPr>
              <w:t>二、空间结构与效率</w:t>
            </w:r>
          </w:p>
        </w:tc>
      </w:tr>
      <w:tr w14:paraId="5548733D">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2D1CA4DE">
            <w:pPr>
              <w:spacing w:line="240" w:lineRule="auto"/>
              <w:ind w:firstLine="0" w:firstLineChars="0"/>
              <w:jc w:val="center"/>
              <w:rPr>
                <w:rFonts w:eastAsia="仿宋" w:cs="Times New Roman"/>
                <w:sz w:val="21"/>
                <w:lang w:bidi="zh-CN"/>
              </w:rPr>
            </w:pPr>
            <w:r>
              <w:rPr>
                <w:rFonts w:eastAsia="仿宋" w:cs="Times New Roman"/>
                <w:sz w:val="21"/>
                <w:lang w:bidi="zh-CN"/>
              </w:rPr>
              <w:t>11</w:t>
            </w:r>
          </w:p>
        </w:tc>
        <w:tc>
          <w:tcPr>
            <w:tcW w:w="3218" w:type="dxa"/>
            <w:tcBorders>
              <w:top w:val="single" w:color="auto" w:sz="4" w:space="0"/>
              <w:left w:val="single" w:color="auto" w:sz="4" w:space="0"/>
            </w:tcBorders>
            <w:shd w:val="clear" w:color="auto" w:fill="FFFFFF"/>
            <w:vAlign w:val="center"/>
          </w:tcPr>
          <w:p w14:paraId="3EEDA41A">
            <w:pPr>
              <w:spacing w:line="240" w:lineRule="auto"/>
              <w:ind w:firstLine="0" w:firstLineChars="0"/>
              <w:jc w:val="center"/>
              <w:rPr>
                <w:rFonts w:eastAsia="仿宋" w:cs="Times New Roman"/>
                <w:sz w:val="21"/>
                <w:lang w:bidi="zh-CN"/>
              </w:rPr>
            </w:pPr>
            <w:r>
              <w:rPr>
                <w:rFonts w:eastAsia="仿宋" w:cs="Times New Roman"/>
                <w:sz w:val="21"/>
                <w:lang w:bidi="zh-CN"/>
              </w:rPr>
              <w:t>人均城镇建设用地面积</w:t>
            </w:r>
          </w:p>
          <w:p w14:paraId="3DBD4FEA">
            <w:pPr>
              <w:spacing w:line="240" w:lineRule="auto"/>
              <w:ind w:firstLine="0" w:firstLineChars="0"/>
              <w:jc w:val="center"/>
              <w:rPr>
                <w:rFonts w:eastAsia="仿宋" w:cs="Times New Roman"/>
                <w:sz w:val="21"/>
                <w:lang w:bidi="zh-CN"/>
              </w:rPr>
            </w:pPr>
            <w:r>
              <w:rPr>
                <w:rFonts w:eastAsia="仿宋" w:cs="Times New Roman"/>
                <w:sz w:val="21"/>
                <w:lang w:bidi="zh-CN"/>
              </w:rPr>
              <w:t>（平方米）</w:t>
            </w:r>
          </w:p>
        </w:tc>
        <w:tc>
          <w:tcPr>
            <w:tcW w:w="850" w:type="dxa"/>
            <w:tcBorders>
              <w:top w:val="single" w:color="auto" w:sz="4" w:space="0"/>
              <w:left w:val="single" w:color="auto" w:sz="4" w:space="0"/>
            </w:tcBorders>
            <w:shd w:val="clear" w:color="auto" w:fill="FFFFFF"/>
            <w:vAlign w:val="center"/>
          </w:tcPr>
          <w:p w14:paraId="22AF8F03">
            <w:pPr>
              <w:spacing w:line="240" w:lineRule="auto"/>
              <w:ind w:firstLine="0" w:firstLineChars="0"/>
              <w:jc w:val="center"/>
              <w:rPr>
                <w:rFonts w:eastAsia="仿宋" w:cs="Times New Roman"/>
                <w:sz w:val="21"/>
                <w:lang w:bidi="zh-CN"/>
              </w:rPr>
            </w:pPr>
            <w:r>
              <w:rPr>
                <w:rFonts w:eastAsia="仿宋" w:cs="Times New Roman"/>
                <w:sz w:val="21"/>
                <w:lang w:bidi="zh-CN"/>
              </w:rPr>
              <w:t>60</w:t>
            </w:r>
          </w:p>
        </w:tc>
        <w:tc>
          <w:tcPr>
            <w:tcW w:w="1276" w:type="dxa"/>
            <w:tcBorders>
              <w:top w:val="single" w:color="auto" w:sz="4" w:space="0"/>
              <w:left w:val="single" w:color="auto" w:sz="4" w:space="0"/>
            </w:tcBorders>
            <w:shd w:val="clear" w:color="auto" w:fill="FFFFFF"/>
            <w:vAlign w:val="center"/>
          </w:tcPr>
          <w:p w14:paraId="440E391C">
            <w:pPr>
              <w:spacing w:line="240" w:lineRule="auto"/>
              <w:ind w:firstLine="0" w:firstLineChars="0"/>
              <w:jc w:val="center"/>
              <w:rPr>
                <w:rFonts w:cs="Times New Roman"/>
                <w:sz w:val="21"/>
                <w:lang w:bidi="zh-CN"/>
              </w:rPr>
            </w:pPr>
            <w:r>
              <w:rPr>
                <w:rFonts w:cs="Times New Roman"/>
                <w:kern w:val="0"/>
                <w:sz w:val="21"/>
                <w:szCs w:val="21"/>
              </w:rPr>
              <w:t>≤66</w:t>
            </w:r>
          </w:p>
        </w:tc>
        <w:tc>
          <w:tcPr>
            <w:tcW w:w="1134" w:type="dxa"/>
            <w:tcBorders>
              <w:top w:val="single" w:color="auto" w:sz="4" w:space="0"/>
              <w:left w:val="single" w:color="auto" w:sz="4" w:space="0"/>
            </w:tcBorders>
            <w:shd w:val="clear" w:color="auto" w:fill="FFFFFF"/>
            <w:vAlign w:val="center"/>
          </w:tcPr>
          <w:p w14:paraId="70B1CAE6">
            <w:pPr>
              <w:spacing w:line="240" w:lineRule="auto"/>
              <w:ind w:firstLine="0" w:firstLineChars="0"/>
              <w:jc w:val="center"/>
              <w:rPr>
                <w:rFonts w:cs="Times New Roman"/>
                <w:sz w:val="21"/>
                <w:lang w:bidi="zh-CN"/>
              </w:rPr>
            </w:pPr>
            <w:r>
              <w:rPr>
                <w:rFonts w:cs="Times New Roman"/>
                <w:kern w:val="0"/>
                <w:sz w:val="21"/>
                <w:szCs w:val="21"/>
              </w:rPr>
              <w:t>≤75</w:t>
            </w:r>
          </w:p>
        </w:tc>
        <w:tc>
          <w:tcPr>
            <w:tcW w:w="850" w:type="dxa"/>
            <w:tcBorders>
              <w:top w:val="single" w:color="auto" w:sz="4" w:space="0"/>
              <w:left w:val="single" w:color="auto" w:sz="4" w:space="0"/>
            </w:tcBorders>
            <w:shd w:val="clear" w:color="auto" w:fill="FFFFFF"/>
            <w:vAlign w:val="center"/>
          </w:tcPr>
          <w:p w14:paraId="6FC1D0B0">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796FE8F2">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0F3C8A32">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779D795">
            <w:pPr>
              <w:spacing w:line="240" w:lineRule="auto"/>
              <w:ind w:firstLine="0" w:firstLineChars="0"/>
              <w:jc w:val="center"/>
              <w:rPr>
                <w:rFonts w:eastAsia="仿宋" w:cs="Times New Roman"/>
                <w:sz w:val="21"/>
                <w:lang w:bidi="zh-CN"/>
              </w:rPr>
            </w:pPr>
            <w:r>
              <w:rPr>
                <w:rFonts w:eastAsia="仿宋" w:cs="Times New Roman"/>
                <w:sz w:val="21"/>
                <w:lang w:bidi="zh-CN"/>
              </w:rPr>
              <w:t>12</w:t>
            </w:r>
          </w:p>
        </w:tc>
        <w:tc>
          <w:tcPr>
            <w:tcW w:w="3218" w:type="dxa"/>
            <w:tcBorders>
              <w:top w:val="single" w:color="auto" w:sz="4" w:space="0"/>
              <w:left w:val="single" w:color="auto" w:sz="4" w:space="0"/>
            </w:tcBorders>
            <w:shd w:val="clear" w:color="auto" w:fill="FFFFFF"/>
            <w:vAlign w:val="center"/>
          </w:tcPr>
          <w:p w14:paraId="78504299">
            <w:pPr>
              <w:spacing w:line="240" w:lineRule="auto"/>
              <w:ind w:firstLine="0" w:firstLineChars="0"/>
              <w:jc w:val="center"/>
              <w:rPr>
                <w:rFonts w:eastAsia="仿宋" w:cs="Times New Roman"/>
                <w:sz w:val="21"/>
                <w:lang w:bidi="zh-CN"/>
              </w:rPr>
            </w:pPr>
            <w:r>
              <w:rPr>
                <w:rFonts w:eastAsia="仿宋" w:cs="Times New Roman"/>
                <w:sz w:val="21"/>
                <w:lang w:bidi="zh-CN"/>
              </w:rPr>
              <w:t>人均应急避难场所面积</w:t>
            </w:r>
          </w:p>
          <w:p w14:paraId="3A17CEC2">
            <w:pPr>
              <w:spacing w:line="240" w:lineRule="auto"/>
              <w:ind w:firstLine="0" w:firstLineChars="0"/>
              <w:jc w:val="center"/>
              <w:rPr>
                <w:rFonts w:eastAsia="仿宋" w:cs="Times New Roman"/>
                <w:sz w:val="21"/>
                <w:lang w:bidi="zh-CN"/>
              </w:rPr>
            </w:pPr>
            <w:r>
              <w:rPr>
                <w:rFonts w:eastAsia="仿宋" w:cs="Times New Roman"/>
                <w:sz w:val="21"/>
                <w:lang w:bidi="zh-CN"/>
              </w:rPr>
              <w:t>（平方米）</w:t>
            </w:r>
          </w:p>
        </w:tc>
        <w:tc>
          <w:tcPr>
            <w:tcW w:w="850" w:type="dxa"/>
            <w:tcBorders>
              <w:top w:val="single" w:color="auto" w:sz="4" w:space="0"/>
              <w:left w:val="single" w:color="auto" w:sz="4" w:space="0"/>
            </w:tcBorders>
            <w:shd w:val="clear" w:color="auto" w:fill="FFFFFF"/>
            <w:vAlign w:val="center"/>
          </w:tcPr>
          <w:p w14:paraId="3E63C6F6">
            <w:pPr>
              <w:spacing w:line="240" w:lineRule="auto"/>
              <w:ind w:firstLine="0" w:firstLineChars="0"/>
              <w:jc w:val="center"/>
              <w:rPr>
                <w:rFonts w:eastAsia="仿宋" w:cs="Times New Roman"/>
                <w:sz w:val="21"/>
                <w:lang w:bidi="zh-CN"/>
              </w:rPr>
            </w:pPr>
            <w:r>
              <w:rPr>
                <w:rFonts w:eastAsia="仿宋" w:cs="Times New Roman"/>
                <w:sz w:val="21"/>
                <w:lang w:bidi="zh-CN"/>
              </w:rPr>
              <w:t>0.49</w:t>
            </w:r>
          </w:p>
        </w:tc>
        <w:tc>
          <w:tcPr>
            <w:tcW w:w="1276" w:type="dxa"/>
            <w:tcBorders>
              <w:top w:val="single" w:color="auto" w:sz="4" w:space="0"/>
              <w:left w:val="single" w:color="auto" w:sz="4" w:space="0"/>
            </w:tcBorders>
            <w:shd w:val="clear" w:color="auto" w:fill="FFFFFF"/>
            <w:vAlign w:val="center"/>
          </w:tcPr>
          <w:p w14:paraId="14D4A715">
            <w:pPr>
              <w:spacing w:line="240" w:lineRule="auto"/>
              <w:ind w:firstLine="0" w:firstLineChars="0"/>
              <w:jc w:val="center"/>
              <w:rPr>
                <w:rFonts w:eastAsia="仿宋" w:cs="Times New Roman"/>
                <w:sz w:val="21"/>
                <w:lang w:bidi="zh-CN"/>
              </w:rPr>
            </w:pPr>
            <w:r>
              <w:rPr>
                <w:rFonts w:cs="Times New Roman"/>
                <w:kern w:val="0"/>
                <w:sz w:val="21"/>
                <w:szCs w:val="21"/>
              </w:rPr>
              <w:t>≥1.5</w:t>
            </w:r>
          </w:p>
        </w:tc>
        <w:tc>
          <w:tcPr>
            <w:tcW w:w="1134" w:type="dxa"/>
            <w:tcBorders>
              <w:top w:val="single" w:color="auto" w:sz="4" w:space="0"/>
              <w:left w:val="single" w:color="auto" w:sz="4" w:space="0"/>
            </w:tcBorders>
            <w:shd w:val="clear" w:color="auto" w:fill="FFFFFF"/>
            <w:vAlign w:val="center"/>
          </w:tcPr>
          <w:p w14:paraId="3D1A90B1">
            <w:pPr>
              <w:spacing w:line="240" w:lineRule="auto"/>
              <w:ind w:firstLine="0" w:firstLineChars="0"/>
              <w:jc w:val="center"/>
              <w:rPr>
                <w:rFonts w:eastAsia="仿宋" w:cs="Times New Roman"/>
                <w:sz w:val="21"/>
                <w:lang w:bidi="zh-CN"/>
              </w:rPr>
            </w:pPr>
            <w:r>
              <w:rPr>
                <w:rFonts w:cs="Times New Roman"/>
                <w:kern w:val="0"/>
                <w:sz w:val="21"/>
                <w:szCs w:val="21"/>
              </w:rPr>
              <w:t>≥1.5</w:t>
            </w:r>
          </w:p>
        </w:tc>
        <w:tc>
          <w:tcPr>
            <w:tcW w:w="850" w:type="dxa"/>
            <w:tcBorders>
              <w:top w:val="single" w:color="auto" w:sz="4" w:space="0"/>
              <w:left w:val="single" w:color="auto" w:sz="4" w:space="0"/>
            </w:tcBorders>
            <w:shd w:val="clear" w:color="auto" w:fill="FFFFFF"/>
            <w:vAlign w:val="center"/>
          </w:tcPr>
          <w:p w14:paraId="3F2DBBC1">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888B2B4">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3209998E">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208E5BBC">
            <w:pPr>
              <w:spacing w:line="240" w:lineRule="auto"/>
              <w:ind w:firstLine="0" w:firstLineChars="0"/>
              <w:jc w:val="center"/>
              <w:rPr>
                <w:rFonts w:eastAsia="仿宋" w:cs="Times New Roman"/>
                <w:sz w:val="21"/>
                <w:lang w:bidi="zh-CN"/>
              </w:rPr>
            </w:pPr>
            <w:r>
              <w:rPr>
                <w:rFonts w:eastAsia="仿宋" w:cs="Times New Roman"/>
                <w:sz w:val="21"/>
                <w:lang w:bidi="zh-CN"/>
              </w:rPr>
              <w:t>13</w:t>
            </w:r>
          </w:p>
        </w:tc>
        <w:tc>
          <w:tcPr>
            <w:tcW w:w="3218" w:type="dxa"/>
            <w:tcBorders>
              <w:top w:val="single" w:color="auto" w:sz="4" w:space="0"/>
              <w:left w:val="single" w:color="auto" w:sz="4" w:space="0"/>
            </w:tcBorders>
            <w:shd w:val="clear" w:color="auto" w:fill="FFFFFF"/>
            <w:vAlign w:val="center"/>
          </w:tcPr>
          <w:p w14:paraId="1061FE49">
            <w:pPr>
              <w:spacing w:line="240" w:lineRule="auto"/>
              <w:ind w:firstLine="0" w:firstLineChars="0"/>
              <w:jc w:val="center"/>
              <w:rPr>
                <w:rFonts w:eastAsia="仿宋" w:cs="Times New Roman"/>
                <w:sz w:val="21"/>
                <w:lang w:bidi="zh-CN"/>
              </w:rPr>
            </w:pPr>
            <w:r>
              <w:rPr>
                <w:rFonts w:eastAsia="仿宋" w:cs="Times New Roman"/>
                <w:sz w:val="21"/>
                <w:lang w:bidi="zh-CN"/>
              </w:rPr>
              <w:t>道路网密度（千米/平方千米）</w:t>
            </w:r>
          </w:p>
        </w:tc>
        <w:tc>
          <w:tcPr>
            <w:tcW w:w="850" w:type="dxa"/>
            <w:tcBorders>
              <w:top w:val="single" w:color="auto" w:sz="4" w:space="0"/>
              <w:left w:val="single" w:color="auto" w:sz="4" w:space="0"/>
            </w:tcBorders>
            <w:shd w:val="clear" w:color="auto" w:fill="FFFFFF"/>
            <w:vAlign w:val="center"/>
          </w:tcPr>
          <w:p w14:paraId="1A64F8D5">
            <w:pPr>
              <w:spacing w:line="240" w:lineRule="auto"/>
              <w:ind w:firstLine="0" w:firstLineChars="0"/>
              <w:jc w:val="center"/>
              <w:rPr>
                <w:rFonts w:eastAsia="仿宋" w:cs="Times New Roman"/>
                <w:sz w:val="21"/>
                <w:lang w:bidi="zh-CN"/>
              </w:rPr>
            </w:pPr>
            <w:r>
              <w:rPr>
                <w:rFonts w:cs="Times New Roman"/>
                <w:kern w:val="0"/>
                <w:sz w:val="21"/>
                <w:szCs w:val="21"/>
              </w:rPr>
              <w:t>3.97</w:t>
            </w:r>
          </w:p>
        </w:tc>
        <w:tc>
          <w:tcPr>
            <w:tcW w:w="1276" w:type="dxa"/>
            <w:tcBorders>
              <w:top w:val="single" w:color="auto" w:sz="4" w:space="0"/>
              <w:left w:val="single" w:color="auto" w:sz="4" w:space="0"/>
            </w:tcBorders>
            <w:shd w:val="clear" w:color="auto" w:fill="FFFFFF"/>
            <w:vAlign w:val="center"/>
          </w:tcPr>
          <w:p w14:paraId="2EAAD3B4">
            <w:pPr>
              <w:spacing w:line="240" w:lineRule="auto"/>
              <w:ind w:firstLine="0" w:firstLineChars="0"/>
              <w:jc w:val="center"/>
              <w:rPr>
                <w:rFonts w:eastAsia="仿宋" w:cs="Times New Roman"/>
                <w:sz w:val="21"/>
                <w:lang w:bidi="zh-CN"/>
              </w:rPr>
            </w:pPr>
            <w:r>
              <w:rPr>
                <w:rFonts w:cs="Times New Roman"/>
                <w:kern w:val="0"/>
                <w:sz w:val="21"/>
                <w:szCs w:val="21"/>
              </w:rPr>
              <w:t>≥6</w:t>
            </w:r>
          </w:p>
        </w:tc>
        <w:tc>
          <w:tcPr>
            <w:tcW w:w="1134" w:type="dxa"/>
            <w:tcBorders>
              <w:top w:val="single" w:color="auto" w:sz="4" w:space="0"/>
              <w:left w:val="single" w:color="auto" w:sz="4" w:space="0"/>
            </w:tcBorders>
            <w:shd w:val="clear" w:color="auto" w:fill="FFFFFF"/>
            <w:vAlign w:val="center"/>
          </w:tcPr>
          <w:p w14:paraId="6A886F70">
            <w:pPr>
              <w:spacing w:line="240" w:lineRule="auto"/>
              <w:ind w:firstLine="0" w:firstLineChars="0"/>
              <w:jc w:val="center"/>
              <w:rPr>
                <w:rFonts w:eastAsia="仿宋" w:cs="Times New Roman"/>
                <w:sz w:val="21"/>
                <w:lang w:bidi="zh-CN"/>
              </w:rPr>
            </w:pPr>
            <w:r>
              <w:rPr>
                <w:rFonts w:cs="Times New Roman"/>
                <w:kern w:val="0"/>
                <w:sz w:val="21"/>
                <w:szCs w:val="21"/>
              </w:rPr>
              <w:t>≥7</w:t>
            </w:r>
          </w:p>
        </w:tc>
        <w:tc>
          <w:tcPr>
            <w:tcW w:w="850" w:type="dxa"/>
            <w:tcBorders>
              <w:top w:val="single" w:color="auto" w:sz="4" w:space="0"/>
              <w:left w:val="single" w:color="auto" w:sz="4" w:space="0"/>
            </w:tcBorders>
            <w:shd w:val="clear" w:color="auto" w:fill="FFFFFF"/>
            <w:vAlign w:val="center"/>
          </w:tcPr>
          <w:p w14:paraId="0F280DBB">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0EA383F2">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41077131">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3554B0BB">
            <w:pPr>
              <w:spacing w:line="240" w:lineRule="auto"/>
              <w:ind w:firstLine="0" w:firstLineChars="0"/>
              <w:jc w:val="center"/>
              <w:rPr>
                <w:rFonts w:eastAsia="仿宋" w:cs="Times New Roman"/>
                <w:sz w:val="21"/>
                <w:lang w:bidi="zh-CN"/>
              </w:rPr>
            </w:pPr>
            <w:r>
              <w:rPr>
                <w:rFonts w:eastAsia="仿宋" w:cs="Times New Roman"/>
                <w:sz w:val="21"/>
                <w:lang w:bidi="zh-CN"/>
              </w:rPr>
              <w:t>14</w:t>
            </w:r>
          </w:p>
        </w:tc>
        <w:tc>
          <w:tcPr>
            <w:tcW w:w="3218" w:type="dxa"/>
            <w:tcBorders>
              <w:top w:val="single" w:color="auto" w:sz="4" w:space="0"/>
              <w:left w:val="single" w:color="auto" w:sz="4" w:space="0"/>
            </w:tcBorders>
            <w:shd w:val="clear" w:color="auto" w:fill="FFFFFF"/>
            <w:vAlign w:val="center"/>
          </w:tcPr>
          <w:p w14:paraId="0D0CCF1A">
            <w:pPr>
              <w:spacing w:line="240" w:lineRule="auto"/>
              <w:ind w:firstLine="0" w:firstLineChars="0"/>
              <w:jc w:val="center"/>
              <w:rPr>
                <w:rFonts w:eastAsia="仿宋" w:cs="Times New Roman"/>
                <w:sz w:val="21"/>
                <w:lang w:bidi="zh-CN"/>
              </w:rPr>
            </w:pPr>
            <w:r>
              <w:rPr>
                <w:rFonts w:eastAsia="仿宋" w:cs="Times New Roman"/>
                <w:sz w:val="21"/>
                <w:lang w:bidi="zh-CN"/>
              </w:rPr>
              <w:t>每万元地区生产总值用水下降（%）</w:t>
            </w:r>
          </w:p>
        </w:tc>
        <w:tc>
          <w:tcPr>
            <w:tcW w:w="850" w:type="dxa"/>
            <w:tcBorders>
              <w:top w:val="single" w:color="auto" w:sz="4" w:space="0"/>
              <w:left w:val="single" w:color="auto" w:sz="4" w:space="0"/>
            </w:tcBorders>
            <w:shd w:val="clear" w:color="auto" w:fill="FFFFFF"/>
            <w:vAlign w:val="center"/>
          </w:tcPr>
          <w:p w14:paraId="3F71D1C4">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0C892452">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1134" w:type="dxa"/>
            <w:tcBorders>
              <w:top w:val="single" w:color="auto" w:sz="4" w:space="0"/>
              <w:left w:val="single" w:color="auto" w:sz="4" w:space="0"/>
            </w:tcBorders>
            <w:shd w:val="clear" w:color="auto" w:fill="FFFFFF"/>
            <w:vAlign w:val="center"/>
          </w:tcPr>
          <w:p w14:paraId="044328A5">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850" w:type="dxa"/>
            <w:tcBorders>
              <w:top w:val="single" w:color="auto" w:sz="4" w:space="0"/>
              <w:left w:val="single" w:color="auto" w:sz="4" w:space="0"/>
            </w:tcBorders>
            <w:shd w:val="clear" w:color="auto" w:fill="FFFFFF"/>
            <w:vAlign w:val="center"/>
          </w:tcPr>
          <w:p w14:paraId="1F7B0707">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4DC95D27">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2DB1392B">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58E3E57">
            <w:pPr>
              <w:spacing w:line="240" w:lineRule="auto"/>
              <w:ind w:firstLine="0" w:firstLineChars="0"/>
              <w:jc w:val="center"/>
              <w:rPr>
                <w:rFonts w:eastAsia="仿宋" w:cs="Times New Roman"/>
                <w:sz w:val="21"/>
                <w:lang w:bidi="zh-CN"/>
              </w:rPr>
            </w:pPr>
            <w:r>
              <w:rPr>
                <w:rFonts w:eastAsia="仿宋" w:cs="Times New Roman"/>
                <w:sz w:val="21"/>
                <w:lang w:bidi="zh-CN"/>
              </w:rPr>
              <w:t>15</w:t>
            </w:r>
          </w:p>
        </w:tc>
        <w:tc>
          <w:tcPr>
            <w:tcW w:w="3218" w:type="dxa"/>
            <w:tcBorders>
              <w:top w:val="single" w:color="auto" w:sz="4" w:space="0"/>
              <w:left w:val="single" w:color="auto" w:sz="4" w:space="0"/>
            </w:tcBorders>
            <w:shd w:val="clear" w:color="auto" w:fill="FFFFFF"/>
            <w:vAlign w:val="center"/>
          </w:tcPr>
          <w:p w14:paraId="4CFA6BC4">
            <w:pPr>
              <w:spacing w:line="240" w:lineRule="auto"/>
              <w:ind w:firstLine="0" w:firstLineChars="0"/>
              <w:jc w:val="center"/>
              <w:rPr>
                <w:rFonts w:eastAsia="仿宋" w:cs="Times New Roman"/>
                <w:sz w:val="21"/>
                <w:lang w:bidi="zh-CN"/>
              </w:rPr>
            </w:pPr>
            <w:r>
              <w:rPr>
                <w:rFonts w:eastAsia="仿宋" w:cs="Times New Roman"/>
                <w:sz w:val="21"/>
                <w:lang w:bidi="zh-CN"/>
              </w:rPr>
              <w:t>单位地区生产总值建设用地使用面积下降（%）</w:t>
            </w:r>
          </w:p>
        </w:tc>
        <w:tc>
          <w:tcPr>
            <w:tcW w:w="850" w:type="dxa"/>
            <w:tcBorders>
              <w:top w:val="single" w:color="auto" w:sz="4" w:space="0"/>
              <w:left w:val="single" w:color="auto" w:sz="4" w:space="0"/>
            </w:tcBorders>
            <w:shd w:val="clear" w:color="auto" w:fill="FFFFFF"/>
            <w:vAlign w:val="center"/>
          </w:tcPr>
          <w:p w14:paraId="3E052814">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66DF53FD">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1134" w:type="dxa"/>
            <w:tcBorders>
              <w:top w:val="single" w:color="auto" w:sz="4" w:space="0"/>
              <w:left w:val="single" w:color="auto" w:sz="4" w:space="0"/>
            </w:tcBorders>
            <w:shd w:val="clear" w:color="auto" w:fill="FFFFFF"/>
            <w:vAlign w:val="center"/>
          </w:tcPr>
          <w:p w14:paraId="20A6111D">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850" w:type="dxa"/>
            <w:tcBorders>
              <w:top w:val="single" w:color="auto" w:sz="4" w:space="0"/>
              <w:left w:val="single" w:color="auto" w:sz="4" w:space="0"/>
            </w:tcBorders>
            <w:shd w:val="clear" w:color="auto" w:fill="FFFFFF"/>
            <w:vAlign w:val="center"/>
          </w:tcPr>
          <w:p w14:paraId="1DEB5736">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687D65A4">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0A6118DB">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02EAF261">
            <w:pPr>
              <w:spacing w:line="240" w:lineRule="auto"/>
              <w:ind w:firstLine="0" w:firstLineChars="0"/>
              <w:jc w:val="center"/>
              <w:rPr>
                <w:rFonts w:eastAsia="仿宋" w:cs="Times New Roman"/>
                <w:b/>
                <w:bCs/>
                <w:sz w:val="21"/>
                <w:lang w:bidi="zh-CN"/>
              </w:rPr>
            </w:pPr>
            <w:r>
              <w:rPr>
                <w:rFonts w:eastAsia="仿宋" w:cs="Times New Roman"/>
                <w:b/>
                <w:bCs/>
                <w:sz w:val="21"/>
                <w:lang w:bidi="zh-CN"/>
              </w:rPr>
              <w:t>三、空间品质</w:t>
            </w:r>
          </w:p>
        </w:tc>
      </w:tr>
      <w:tr w14:paraId="2A7375BF">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A034414">
            <w:pPr>
              <w:spacing w:line="240" w:lineRule="auto"/>
              <w:ind w:firstLine="0" w:firstLineChars="0"/>
              <w:jc w:val="center"/>
              <w:rPr>
                <w:rFonts w:eastAsia="仿宋" w:cs="Times New Roman"/>
                <w:sz w:val="21"/>
                <w:lang w:bidi="zh-CN"/>
              </w:rPr>
            </w:pPr>
            <w:r>
              <w:rPr>
                <w:rFonts w:eastAsia="仿宋" w:cs="Times New Roman"/>
                <w:sz w:val="21"/>
                <w:lang w:bidi="zh-CN"/>
              </w:rPr>
              <w:t>16</w:t>
            </w:r>
          </w:p>
        </w:tc>
        <w:tc>
          <w:tcPr>
            <w:tcW w:w="3218" w:type="dxa"/>
            <w:tcBorders>
              <w:top w:val="single" w:color="auto" w:sz="4" w:space="0"/>
              <w:left w:val="single" w:color="auto" w:sz="4" w:space="0"/>
            </w:tcBorders>
            <w:shd w:val="clear" w:color="auto" w:fill="FFFFFF"/>
            <w:vAlign w:val="center"/>
          </w:tcPr>
          <w:p w14:paraId="7A579EC6">
            <w:pPr>
              <w:spacing w:line="240" w:lineRule="auto"/>
              <w:ind w:firstLine="0" w:firstLineChars="0"/>
              <w:jc w:val="center"/>
              <w:rPr>
                <w:rFonts w:eastAsia="仿宋" w:cs="Times New Roman"/>
                <w:sz w:val="21"/>
                <w:lang w:bidi="zh-CN"/>
              </w:rPr>
            </w:pPr>
            <w:r>
              <w:rPr>
                <w:rFonts w:eastAsia="仿宋" w:cs="Times New Roman"/>
                <w:sz w:val="21"/>
                <w:lang w:bidi="zh-CN"/>
              </w:rPr>
              <w:t>公园绿地、广场步行5分钟覆盖率（%）</w:t>
            </w:r>
          </w:p>
        </w:tc>
        <w:tc>
          <w:tcPr>
            <w:tcW w:w="850" w:type="dxa"/>
            <w:tcBorders>
              <w:top w:val="single" w:color="auto" w:sz="4" w:space="0"/>
              <w:left w:val="single" w:color="auto" w:sz="4" w:space="0"/>
            </w:tcBorders>
            <w:shd w:val="clear" w:color="auto" w:fill="FFFFFF"/>
            <w:vAlign w:val="center"/>
          </w:tcPr>
          <w:p w14:paraId="0E731BF3">
            <w:pPr>
              <w:spacing w:line="240" w:lineRule="auto"/>
              <w:ind w:firstLine="0" w:firstLineChars="0"/>
              <w:jc w:val="center"/>
              <w:rPr>
                <w:rFonts w:eastAsia="仿宋" w:cs="Times New Roman"/>
                <w:sz w:val="21"/>
                <w:lang w:bidi="zh-CN"/>
              </w:rPr>
            </w:pPr>
            <w:r>
              <w:rPr>
                <w:rFonts w:eastAsia="仿宋" w:cs="Times New Roman"/>
                <w:sz w:val="21"/>
                <w:lang w:bidi="zh-CN"/>
              </w:rPr>
              <w:t>32.64</w:t>
            </w:r>
          </w:p>
        </w:tc>
        <w:tc>
          <w:tcPr>
            <w:tcW w:w="1276" w:type="dxa"/>
            <w:tcBorders>
              <w:top w:val="single" w:color="auto" w:sz="4" w:space="0"/>
              <w:left w:val="single" w:color="auto" w:sz="4" w:space="0"/>
            </w:tcBorders>
            <w:shd w:val="clear" w:color="auto" w:fill="FFFFFF"/>
            <w:vAlign w:val="center"/>
          </w:tcPr>
          <w:p w14:paraId="7104033B">
            <w:pPr>
              <w:spacing w:line="240" w:lineRule="auto"/>
              <w:ind w:firstLine="0" w:firstLineChars="0"/>
              <w:jc w:val="center"/>
              <w:rPr>
                <w:rFonts w:eastAsia="仿宋" w:cs="Times New Roman"/>
                <w:sz w:val="21"/>
                <w:lang w:bidi="zh-CN"/>
              </w:rPr>
            </w:pPr>
            <w:r>
              <w:rPr>
                <w:rFonts w:cs="Times New Roman"/>
                <w:kern w:val="0"/>
                <w:sz w:val="21"/>
                <w:szCs w:val="21"/>
              </w:rPr>
              <w:t>≥45</w:t>
            </w:r>
          </w:p>
        </w:tc>
        <w:tc>
          <w:tcPr>
            <w:tcW w:w="1134" w:type="dxa"/>
            <w:tcBorders>
              <w:top w:val="single" w:color="auto" w:sz="4" w:space="0"/>
              <w:left w:val="single" w:color="auto" w:sz="4" w:space="0"/>
            </w:tcBorders>
            <w:shd w:val="clear" w:color="auto" w:fill="FFFFFF"/>
            <w:vAlign w:val="center"/>
          </w:tcPr>
          <w:p w14:paraId="41FCD2FD">
            <w:pPr>
              <w:spacing w:line="240" w:lineRule="auto"/>
              <w:ind w:firstLine="0" w:firstLineChars="0"/>
              <w:jc w:val="center"/>
              <w:rPr>
                <w:rFonts w:eastAsia="仿宋" w:cs="Times New Roman"/>
                <w:sz w:val="21"/>
                <w:lang w:bidi="zh-CN"/>
              </w:rPr>
            </w:pPr>
            <w:r>
              <w:rPr>
                <w:rFonts w:cs="Times New Roman"/>
                <w:kern w:val="0"/>
                <w:sz w:val="21"/>
                <w:szCs w:val="21"/>
              </w:rPr>
              <w:t>≥75</w:t>
            </w:r>
          </w:p>
        </w:tc>
        <w:tc>
          <w:tcPr>
            <w:tcW w:w="850" w:type="dxa"/>
            <w:tcBorders>
              <w:top w:val="single" w:color="auto" w:sz="4" w:space="0"/>
              <w:left w:val="single" w:color="auto" w:sz="4" w:space="0"/>
            </w:tcBorders>
            <w:shd w:val="clear" w:color="auto" w:fill="FFFFFF"/>
            <w:vAlign w:val="center"/>
          </w:tcPr>
          <w:p w14:paraId="1B3704C3">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28BE5FF1">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62E740F2">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2A78E805">
            <w:pPr>
              <w:spacing w:line="240" w:lineRule="auto"/>
              <w:ind w:firstLine="0" w:firstLineChars="0"/>
              <w:jc w:val="center"/>
              <w:rPr>
                <w:rFonts w:eastAsia="仿宋" w:cs="Times New Roman"/>
                <w:sz w:val="21"/>
                <w:lang w:bidi="zh-CN"/>
              </w:rPr>
            </w:pPr>
            <w:r>
              <w:rPr>
                <w:rFonts w:eastAsia="仿宋" w:cs="Times New Roman"/>
                <w:sz w:val="21"/>
                <w:lang w:bidi="zh-CN"/>
              </w:rPr>
              <w:t>17</w:t>
            </w:r>
          </w:p>
        </w:tc>
        <w:tc>
          <w:tcPr>
            <w:tcW w:w="3218" w:type="dxa"/>
            <w:tcBorders>
              <w:top w:val="single" w:color="auto" w:sz="4" w:space="0"/>
              <w:left w:val="single" w:color="auto" w:sz="4" w:space="0"/>
            </w:tcBorders>
            <w:shd w:val="clear" w:color="auto" w:fill="FFFFFF"/>
            <w:vAlign w:val="center"/>
          </w:tcPr>
          <w:p w14:paraId="7B69D42A">
            <w:pPr>
              <w:spacing w:line="240" w:lineRule="auto"/>
              <w:ind w:firstLine="0" w:firstLineChars="0"/>
              <w:jc w:val="center"/>
              <w:rPr>
                <w:rFonts w:eastAsia="仿宋" w:cs="Times New Roman"/>
                <w:sz w:val="21"/>
                <w:lang w:bidi="zh-CN"/>
              </w:rPr>
            </w:pPr>
            <w:r>
              <w:rPr>
                <w:rFonts w:eastAsia="仿宋" w:cs="Times New Roman"/>
                <w:sz w:val="21"/>
                <w:lang w:bidi="zh-CN"/>
              </w:rPr>
              <w:t>卫生、养老、教育、文化、体育等社区公共服务设施步行15分钟覆盖率（%）</w:t>
            </w:r>
          </w:p>
        </w:tc>
        <w:tc>
          <w:tcPr>
            <w:tcW w:w="850" w:type="dxa"/>
            <w:tcBorders>
              <w:top w:val="single" w:color="auto" w:sz="4" w:space="0"/>
              <w:left w:val="single" w:color="auto" w:sz="4" w:space="0"/>
            </w:tcBorders>
            <w:shd w:val="clear" w:color="auto" w:fill="FFFFFF"/>
            <w:vAlign w:val="center"/>
          </w:tcPr>
          <w:p w14:paraId="25FD52FC">
            <w:pPr>
              <w:spacing w:line="240" w:lineRule="auto"/>
              <w:ind w:firstLine="0" w:firstLineChars="0"/>
              <w:jc w:val="center"/>
              <w:rPr>
                <w:rFonts w:eastAsia="仿宋" w:cs="Times New Roman"/>
                <w:sz w:val="21"/>
                <w:lang w:bidi="zh-CN"/>
              </w:rPr>
            </w:pPr>
            <w:r>
              <w:rPr>
                <w:rFonts w:eastAsia="仿宋" w:cs="Times New Roman"/>
                <w:sz w:val="21"/>
                <w:lang w:bidi="zh-CN"/>
              </w:rPr>
              <w:t>46.53</w:t>
            </w:r>
          </w:p>
        </w:tc>
        <w:tc>
          <w:tcPr>
            <w:tcW w:w="1276" w:type="dxa"/>
            <w:tcBorders>
              <w:top w:val="single" w:color="auto" w:sz="4" w:space="0"/>
              <w:left w:val="single" w:color="auto" w:sz="4" w:space="0"/>
            </w:tcBorders>
            <w:shd w:val="clear" w:color="auto" w:fill="FFFFFF"/>
            <w:vAlign w:val="center"/>
          </w:tcPr>
          <w:p w14:paraId="02654D9D">
            <w:pPr>
              <w:spacing w:line="240" w:lineRule="auto"/>
              <w:ind w:firstLine="0" w:firstLineChars="0"/>
              <w:jc w:val="center"/>
              <w:rPr>
                <w:rFonts w:eastAsia="仿宋" w:cs="Times New Roman"/>
                <w:sz w:val="21"/>
                <w:lang w:bidi="zh-CN"/>
              </w:rPr>
            </w:pPr>
            <w:r>
              <w:rPr>
                <w:rFonts w:cs="Times New Roman"/>
                <w:kern w:val="0"/>
                <w:sz w:val="21"/>
                <w:szCs w:val="21"/>
              </w:rPr>
              <w:t>≥55</w:t>
            </w:r>
          </w:p>
        </w:tc>
        <w:tc>
          <w:tcPr>
            <w:tcW w:w="1134" w:type="dxa"/>
            <w:tcBorders>
              <w:top w:val="single" w:color="auto" w:sz="4" w:space="0"/>
              <w:left w:val="single" w:color="auto" w:sz="4" w:space="0"/>
            </w:tcBorders>
            <w:shd w:val="clear" w:color="auto" w:fill="FFFFFF"/>
            <w:vAlign w:val="center"/>
          </w:tcPr>
          <w:p w14:paraId="035F3F21">
            <w:pPr>
              <w:spacing w:line="240" w:lineRule="auto"/>
              <w:ind w:firstLine="0" w:firstLineChars="0"/>
              <w:jc w:val="center"/>
              <w:rPr>
                <w:rFonts w:eastAsia="仿宋" w:cs="Times New Roman"/>
                <w:sz w:val="21"/>
                <w:lang w:bidi="zh-CN"/>
              </w:rPr>
            </w:pPr>
            <w:r>
              <w:rPr>
                <w:rFonts w:cs="Times New Roman"/>
                <w:kern w:val="0"/>
                <w:sz w:val="21"/>
                <w:szCs w:val="21"/>
              </w:rPr>
              <w:t>≥70</w:t>
            </w:r>
          </w:p>
        </w:tc>
        <w:tc>
          <w:tcPr>
            <w:tcW w:w="850" w:type="dxa"/>
            <w:tcBorders>
              <w:top w:val="single" w:color="auto" w:sz="4" w:space="0"/>
              <w:left w:val="single" w:color="auto" w:sz="4" w:space="0"/>
            </w:tcBorders>
            <w:shd w:val="clear" w:color="auto" w:fill="FFFFFF"/>
            <w:vAlign w:val="center"/>
          </w:tcPr>
          <w:p w14:paraId="78058637">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6FAE9C8">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126C765A">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CB372F5">
            <w:pPr>
              <w:spacing w:line="240" w:lineRule="auto"/>
              <w:ind w:firstLine="0" w:firstLineChars="0"/>
              <w:jc w:val="center"/>
              <w:rPr>
                <w:rFonts w:eastAsia="仿宋" w:cs="Times New Roman"/>
                <w:sz w:val="21"/>
                <w:lang w:bidi="zh-CN"/>
              </w:rPr>
            </w:pPr>
            <w:r>
              <w:rPr>
                <w:rFonts w:eastAsia="仿宋" w:cs="Times New Roman"/>
                <w:sz w:val="21"/>
                <w:lang w:bidi="zh-CN"/>
              </w:rPr>
              <w:t>18</w:t>
            </w:r>
          </w:p>
        </w:tc>
        <w:tc>
          <w:tcPr>
            <w:tcW w:w="3218" w:type="dxa"/>
            <w:tcBorders>
              <w:top w:val="single" w:color="auto" w:sz="4" w:space="0"/>
              <w:left w:val="single" w:color="auto" w:sz="4" w:space="0"/>
            </w:tcBorders>
            <w:shd w:val="clear" w:color="auto" w:fill="FFFFFF"/>
            <w:vAlign w:val="center"/>
          </w:tcPr>
          <w:p w14:paraId="6B4E022F">
            <w:pPr>
              <w:spacing w:line="240" w:lineRule="auto"/>
              <w:ind w:firstLine="0" w:firstLineChars="0"/>
              <w:jc w:val="center"/>
              <w:rPr>
                <w:rFonts w:eastAsia="仿宋" w:cs="Times New Roman"/>
                <w:sz w:val="21"/>
                <w:lang w:bidi="zh-CN"/>
              </w:rPr>
            </w:pPr>
            <w:r>
              <w:rPr>
                <w:rFonts w:eastAsia="仿宋" w:cs="Times New Roman"/>
                <w:sz w:val="21"/>
                <w:lang w:bidi="zh-CN"/>
              </w:rPr>
              <w:t>每千名老年人拥有养老床位数（张）</w:t>
            </w:r>
          </w:p>
        </w:tc>
        <w:tc>
          <w:tcPr>
            <w:tcW w:w="850" w:type="dxa"/>
            <w:tcBorders>
              <w:top w:val="single" w:color="auto" w:sz="4" w:space="0"/>
              <w:left w:val="single" w:color="auto" w:sz="4" w:space="0"/>
            </w:tcBorders>
            <w:shd w:val="clear" w:color="auto" w:fill="FFFFFF"/>
            <w:vAlign w:val="center"/>
          </w:tcPr>
          <w:p w14:paraId="2AB6B578">
            <w:pPr>
              <w:spacing w:line="240" w:lineRule="auto"/>
              <w:ind w:firstLine="0" w:firstLineChars="0"/>
              <w:jc w:val="center"/>
              <w:rPr>
                <w:rFonts w:eastAsia="仿宋" w:cs="Times New Roman"/>
                <w:sz w:val="21"/>
                <w:lang w:bidi="zh-CN"/>
              </w:rPr>
            </w:pPr>
            <w:r>
              <w:rPr>
                <w:rFonts w:eastAsia="仿宋" w:cs="Times New Roman"/>
                <w:sz w:val="21"/>
                <w:lang w:bidi="zh-CN"/>
              </w:rPr>
              <w:t>10.08</w:t>
            </w:r>
          </w:p>
        </w:tc>
        <w:tc>
          <w:tcPr>
            <w:tcW w:w="1276" w:type="dxa"/>
            <w:tcBorders>
              <w:top w:val="single" w:color="auto" w:sz="4" w:space="0"/>
              <w:left w:val="single" w:color="auto" w:sz="4" w:space="0"/>
            </w:tcBorders>
            <w:shd w:val="clear" w:color="auto" w:fill="FFFFFF"/>
            <w:vAlign w:val="center"/>
          </w:tcPr>
          <w:p w14:paraId="3E5C81C1">
            <w:pPr>
              <w:spacing w:line="240" w:lineRule="auto"/>
              <w:ind w:firstLine="0" w:firstLineChars="0"/>
              <w:jc w:val="center"/>
              <w:rPr>
                <w:rFonts w:eastAsia="仿宋" w:cs="Times New Roman"/>
                <w:sz w:val="21"/>
                <w:lang w:bidi="zh-CN"/>
              </w:rPr>
            </w:pPr>
            <w:r>
              <w:rPr>
                <w:rFonts w:cs="Times New Roman"/>
                <w:kern w:val="0"/>
                <w:sz w:val="21"/>
                <w:szCs w:val="21"/>
              </w:rPr>
              <w:t>≥15</w:t>
            </w:r>
          </w:p>
        </w:tc>
        <w:tc>
          <w:tcPr>
            <w:tcW w:w="1134" w:type="dxa"/>
            <w:tcBorders>
              <w:top w:val="single" w:color="auto" w:sz="4" w:space="0"/>
              <w:left w:val="single" w:color="auto" w:sz="4" w:space="0"/>
            </w:tcBorders>
            <w:shd w:val="clear" w:color="auto" w:fill="FFFFFF"/>
            <w:vAlign w:val="center"/>
          </w:tcPr>
          <w:p w14:paraId="7DEA95B0">
            <w:pPr>
              <w:spacing w:line="240" w:lineRule="auto"/>
              <w:ind w:firstLine="0" w:firstLineChars="0"/>
              <w:jc w:val="center"/>
              <w:rPr>
                <w:rFonts w:eastAsia="仿宋" w:cs="Times New Roman"/>
                <w:sz w:val="21"/>
                <w:lang w:bidi="zh-CN"/>
              </w:rPr>
            </w:pPr>
            <w:r>
              <w:rPr>
                <w:rFonts w:cs="Times New Roman"/>
                <w:kern w:val="0"/>
                <w:sz w:val="21"/>
                <w:szCs w:val="21"/>
              </w:rPr>
              <w:t>≥30</w:t>
            </w:r>
          </w:p>
        </w:tc>
        <w:tc>
          <w:tcPr>
            <w:tcW w:w="850" w:type="dxa"/>
            <w:tcBorders>
              <w:top w:val="single" w:color="auto" w:sz="4" w:space="0"/>
              <w:left w:val="single" w:color="auto" w:sz="4" w:space="0"/>
            </w:tcBorders>
            <w:shd w:val="clear" w:color="auto" w:fill="FFFFFF"/>
            <w:vAlign w:val="center"/>
          </w:tcPr>
          <w:p w14:paraId="2B7D7334">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6B96BE2">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66A54FAD">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6605057A">
            <w:pPr>
              <w:spacing w:line="240" w:lineRule="auto"/>
              <w:ind w:firstLine="0" w:firstLineChars="0"/>
              <w:jc w:val="center"/>
              <w:rPr>
                <w:rFonts w:eastAsia="仿宋" w:cs="Times New Roman"/>
                <w:sz w:val="21"/>
                <w:lang w:bidi="zh-CN"/>
              </w:rPr>
            </w:pPr>
            <w:r>
              <w:rPr>
                <w:rFonts w:eastAsia="仿宋" w:cs="Times New Roman"/>
                <w:sz w:val="21"/>
                <w:lang w:bidi="zh-CN"/>
              </w:rPr>
              <w:t>19</w:t>
            </w:r>
          </w:p>
        </w:tc>
        <w:tc>
          <w:tcPr>
            <w:tcW w:w="3218" w:type="dxa"/>
            <w:tcBorders>
              <w:top w:val="single" w:color="auto" w:sz="4" w:space="0"/>
              <w:left w:val="single" w:color="auto" w:sz="4" w:space="0"/>
              <w:bottom w:val="single" w:color="auto" w:sz="4" w:space="0"/>
            </w:tcBorders>
            <w:shd w:val="clear" w:color="auto" w:fill="FFFFFF"/>
            <w:vAlign w:val="center"/>
          </w:tcPr>
          <w:p w14:paraId="69B00EA8">
            <w:pPr>
              <w:spacing w:line="240" w:lineRule="auto"/>
              <w:ind w:firstLine="0" w:firstLineChars="0"/>
              <w:jc w:val="center"/>
              <w:rPr>
                <w:rFonts w:eastAsia="仿宋" w:cs="Times New Roman"/>
                <w:sz w:val="21"/>
                <w:lang w:bidi="zh-CN"/>
              </w:rPr>
            </w:pPr>
            <w:r>
              <w:rPr>
                <w:rFonts w:eastAsia="仿宋" w:cs="Times New Roman"/>
                <w:sz w:val="21"/>
                <w:lang w:bidi="zh-CN"/>
              </w:rPr>
              <w:t>每千人口医疗卫生机构床位数（张）</w:t>
            </w:r>
          </w:p>
        </w:tc>
        <w:tc>
          <w:tcPr>
            <w:tcW w:w="850" w:type="dxa"/>
            <w:tcBorders>
              <w:top w:val="single" w:color="auto" w:sz="4" w:space="0"/>
              <w:left w:val="single" w:color="auto" w:sz="4" w:space="0"/>
              <w:bottom w:val="single" w:color="auto" w:sz="4" w:space="0"/>
            </w:tcBorders>
            <w:shd w:val="clear" w:color="auto" w:fill="FFFFFF"/>
            <w:vAlign w:val="center"/>
          </w:tcPr>
          <w:p w14:paraId="222F2E1B">
            <w:pPr>
              <w:spacing w:line="240" w:lineRule="auto"/>
              <w:ind w:firstLine="0" w:firstLineChars="0"/>
              <w:jc w:val="center"/>
              <w:rPr>
                <w:rFonts w:eastAsia="仿宋" w:cs="Times New Roman"/>
                <w:sz w:val="21"/>
                <w:lang w:bidi="zh-CN"/>
              </w:rPr>
            </w:pPr>
            <w:r>
              <w:rPr>
                <w:rFonts w:eastAsia="仿宋" w:cs="Times New Roman"/>
                <w:sz w:val="21"/>
                <w:lang w:bidi="zh-CN"/>
              </w:rPr>
              <w:t>6.72</w:t>
            </w:r>
          </w:p>
        </w:tc>
        <w:tc>
          <w:tcPr>
            <w:tcW w:w="1276" w:type="dxa"/>
            <w:tcBorders>
              <w:top w:val="single" w:color="auto" w:sz="4" w:space="0"/>
              <w:left w:val="single" w:color="auto" w:sz="4" w:space="0"/>
              <w:bottom w:val="single" w:color="auto" w:sz="4" w:space="0"/>
            </w:tcBorders>
            <w:shd w:val="clear" w:color="auto" w:fill="FFFFFF"/>
            <w:vAlign w:val="center"/>
          </w:tcPr>
          <w:p w14:paraId="07088AF1">
            <w:pPr>
              <w:spacing w:line="240" w:lineRule="auto"/>
              <w:ind w:firstLine="0" w:firstLineChars="0"/>
              <w:jc w:val="center"/>
              <w:rPr>
                <w:rFonts w:eastAsia="仿宋" w:cs="Times New Roman"/>
                <w:sz w:val="21"/>
                <w:lang w:bidi="zh-CN"/>
              </w:rPr>
            </w:pPr>
            <w:r>
              <w:rPr>
                <w:rFonts w:cs="Times New Roman"/>
                <w:kern w:val="0"/>
                <w:sz w:val="21"/>
                <w:szCs w:val="21"/>
              </w:rPr>
              <w:t>≥8</w:t>
            </w:r>
          </w:p>
        </w:tc>
        <w:tc>
          <w:tcPr>
            <w:tcW w:w="1134" w:type="dxa"/>
            <w:tcBorders>
              <w:top w:val="single" w:color="auto" w:sz="4" w:space="0"/>
              <w:left w:val="single" w:color="auto" w:sz="4" w:space="0"/>
              <w:bottom w:val="single" w:color="auto" w:sz="4" w:space="0"/>
            </w:tcBorders>
            <w:shd w:val="clear" w:color="auto" w:fill="FFFFFF"/>
            <w:vAlign w:val="center"/>
          </w:tcPr>
          <w:p w14:paraId="6DC6FDD0">
            <w:pPr>
              <w:spacing w:line="240" w:lineRule="auto"/>
              <w:ind w:firstLine="0" w:firstLineChars="0"/>
              <w:jc w:val="center"/>
              <w:rPr>
                <w:rFonts w:eastAsia="仿宋" w:cs="Times New Roman"/>
                <w:sz w:val="21"/>
                <w:lang w:bidi="zh-CN"/>
              </w:rPr>
            </w:pPr>
            <w:r>
              <w:rPr>
                <w:rFonts w:cs="Times New Roman"/>
                <w:kern w:val="0"/>
                <w:sz w:val="21"/>
                <w:szCs w:val="21"/>
              </w:rPr>
              <w:t>≥8</w:t>
            </w:r>
          </w:p>
        </w:tc>
        <w:tc>
          <w:tcPr>
            <w:tcW w:w="850" w:type="dxa"/>
            <w:tcBorders>
              <w:top w:val="single" w:color="auto" w:sz="4" w:space="0"/>
              <w:left w:val="single" w:color="auto" w:sz="4" w:space="0"/>
              <w:bottom w:val="single" w:color="auto" w:sz="4" w:space="0"/>
            </w:tcBorders>
            <w:shd w:val="clear" w:color="auto" w:fill="FFFFFF"/>
            <w:vAlign w:val="center"/>
          </w:tcPr>
          <w:p w14:paraId="06041299">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654A18C6">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7B4C5F12">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right w:val="single" w:color="auto" w:sz="4" w:space="0"/>
            </w:tcBorders>
            <w:shd w:val="clear" w:color="auto" w:fill="FFFFFF"/>
            <w:vAlign w:val="center"/>
          </w:tcPr>
          <w:p w14:paraId="6EEE8154">
            <w:pPr>
              <w:spacing w:line="240" w:lineRule="auto"/>
              <w:ind w:firstLine="0" w:firstLineChars="0"/>
              <w:jc w:val="center"/>
              <w:rPr>
                <w:rFonts w:eastAsia="仿宋" w:cs="Times New Roman"/>
                <w:sz w:val="21"/>
                <w:lang w:bidi="zh-CN"/>
              </w:rPr>
            </w:pPr>
            <w:r>
              <w:rPr>
                <w:rFonts w:eastAsia="仿宋" w:cs="Times New Roman"/>
                <w:sz w:val="21"/>
                <w:lang w:bidi="zh-CN"/>
              </w:rPr>
              <w:t>20</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4EE4596B">
            <w:pPr>
              <w:spacing w:line="240" w:lineRule="auto"/>
              <w:ind w:firstLine="0" w:firstLineChars="0"/>
              <w:jc w:val="center"/>
              <w:rPr>
                <w:rFonts w:eastAsia="仿宋" w:cs="Times New Roman"/>
                <w:sz w:val="21"/>
                <w:lang w:bidi="zh-CN"/>
              </w:rPr>
            </w:pPr>
            <w:r>
              <w:rPr>
                <w:rFonts w:eastAsia="仿宋" w:cs="Times New Roman"/>
                <w:sz w:val="21"/>
                <w:lang w:bidi="zh-CN"/>
              </w:rPr>
              <w:t>人均体育用地面积（平方米）</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294738E9">
            <w:pPr>
              <w:spacing w:line="240" w:lineRule="auto"/>
              <w:ind w:firstLine="0" w:firstLineChars="0"/>
              <w:jc w:val="center"/>
              <w:rPr>
                <w:rFonts w:eastAsia="仿宋" w:cs="Times New Roman"/>
                <w:sz w:val="21"/>
                <w:lang w:bidi="zh-CN"/>
              </w:rPr>
            </w:pPr>
            <w:r>
              <w:rPr>
                <w:rFonts w:cs="Times New Roman"/>
                <w:kern w:val="0"/>
                <w:sz w:val="21"/>
                <w:szCs w:val="21"/>
              </w:rPr>
              <w:t>0.08</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2C5F10B9">
            <w:pPr>
              <w:spacing w:line="240" w:lineRule="auto"/>
              <w:ind w:firstLine="0" w:firstLineChars="0"/>
              <w:jc w:val="center"/>
              <w:rPr>
                <w:rFonts w:eastAsia="仿宋" w:cs="Times New Roman"/>
                <w:sz w:val="21"/>
                <w:lang w:bidi="zh-CN"/>
              </w:rPr>
            </w:pPr>
            <w:r>
              <w:rPr>
                <w:rFonts w:cs="Times New Roman"/>
                <w:kern w:val="0"/>
                <w:sz w:val="21"/>
                <w:szCs w:val="21"/>
              </w:rPr>
              <w:t>≥0.1</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14:paraId="56114706">
            <w:pPr>
              <w:spacing w:line="240" w:lineRule="auto"/>
              <w:ind w:firstLine="0" w:firstLineChars="0"/>
              <w:jc w:val="center"/>
              <w:rPr>
                <w:rFonts w:eastAsia="仿宋" w:cs="Times New Roman"/>
                <w:sz w:val="21"/>
                <w:lang w:bidi="zh-CN"/>
              </w:rPr>
            </w:pPr>
            <w:r>
              <w:rPr>
                <w:rFonts w:cs="Times New Roman"/>
                <w:kern w:val="0"/>
                <w:sz w:val="21"/>
                <w:szCs w:val="21"/>
              </w:rPr>
              <w:t>≥0.6</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6FDE8566">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46B07A30">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1EE61BA1">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3BE83B5D">
            <w:pPr>
              <w:spacing w:line="240" w:lineRule="auto"/>
              <w:ind w:firstLine="0" w:firstLineChars="0"/>
              <w:jc w:val="center"/>
              <w:rPr>
                <w:rFonts w:eastAsia="仿宋" w:cs="Times New Roman"/>
                <w:sz w:val="21"/>
                <w:lang w:bidi="zh-CN"/>
              </w:rPr>
            </w:pPr>
            <w:r>
              <w:rPr>
                <w:rFonts w:eastAsia="仿宋" w:cs="Times New Roman"/>
                <w:sz w:val="21"/>
                <w:lang w:bidi="zh-CN"/>
              </w:rPr>
              <w:t>21</w:t>
            </w:r>
          </w:p>
        </w:tc>
        <w:tc>
          <w:tcPr>
            <w:tcW w:w="3218" w:type="dxa"/>
            <w:tcBorders>
              <w:top w:val="single" w:color="auto" w:sz="4" w:space="0"/>
              <w:left w:val="single" w:color="auto" w:sz="4" w:space="0"/>
            </w:tcBorders>
            <w:shd w:val="clear" w:color="auto" w:fill="FFFFFF"/>
            <w:vAlign w:val="center"/>
          </w:tcPr>
          <w:p w14:paraId="573A2225">
            <w:pPr>
              <w:spacing w:line="240" w:lineRule="auto"/>
              <w:ind w:firstLine="0" w:firstLineChars="0"/>
              <w:jc w:val="center"/>
              <w:rPr>
                <w:rFonts w:eastAsia="仿宋" w:cs="Times New Roman"/>
                <w:sz w:val="21"/>
                <w:lang w:bidi="zh-CN"/>
              </w:rPr>
            </w:pPr>
            <w:r>
              <w:rPr>
                <w:rFonts w:eastAsia="仿宋" w:cs="Times New Roman"/>
                <w:sz w:val="21"/>
                <w:lang w:bidi="zh-CN"/>
              </w:rPr>
              <w:t>人均公园绿地面积（平方米）</w:t>
            </w:r>
          </w:p>
        </w:tc>
        <w:tc>
          <w:tcPr>
            <w:tcW w:w="850" w:type="dxa"/>
            <w:tcBorders>
              <w:top w:val="single" w:color="auto" w:sz="4" w:space="0"/>
              <w:left w:val="single" w:color="auto" w:sz="4" w:space="0"/>
            </w:tcBorders>
            <w:shd w:val="clear" w:color="auto" w:fill="FFFFFF"/>
            <w:vAlign w:val="center"/>
          </w:tcPr>
          <w:p w14:paraId="6C3CCA98">
            <w:pPr>
              <w:spacing w:line="240" w:lineRule="auto"/>
              <w:ind w:firstLine="0" w:firstLineChars="0"/>
              <w:jc w:val="center"/>
              <w:rPr>
                <w:rFonts w:eastAsia="仿宋" w:cs="Times New Roman"/>
                <w:sz w:val="21"/>
                <w:lang w:bidi="zh-CN"/>
              </w:rPr>
            </w:pPr>
            <w:r>
              <w:rPr>
                <w:rFonts w:cs="Times New Roman"/>
                <w:kern w:val="0"/>
                <w:sz w:val="21"/>
                <w:szCs w:val="21"/>
              </w:rPr>
              <w:t>1.56</w:t>
            </w:r>
          </w:p>
        </w:tc>
        <w:tc>
          <w:tcPr>
            <w:tcW w:w="1276" w:type="dxa"/>
            <w:tcBorders>
              <w:top w:val="single" w:color="auto" w:sz="4" w:space="0"/>
              <w:left w:val="single" w:color="auto" w:sz="4" w:space="0"/>
            </w:tcBorders>
            <w:shd w:val="clear" w:color="auto" w:fill="FFFFFF"/>
            <w:vAlign w:val="center"/>
          </w:tcPr>
          <w:p w14:paraId="73350B4C">
            <w:pPr>
              <w:spacing w:line="240" w:lineRule="auto"/>
              <w:ind w:firstLine="0" w:firstLineChars="0"/>
              <w:jc w:val="center"/>
              <w:rPr>
                <w:rFonts w:eastAsia="仿宋" w:cs="Times New Roman"/>
                <w:sz w:val="21"/>
                <w:lang w:bidi="zh-CN"/>
              </w:rPr>
            </w:pPr>
            <w:r>
              <w:rPr>
                <w:rFonts w:cs="Times New Roman"/>
                <w:kern w:val="0"/>
                <w:sz w:val="21"/>
                <w:szCs w:val="21"/>
              </w:rPr>
              <w:t>≥2</w:t>
            </w:r>
          </w:p>
        </w:tc>
        <w:tc>
          <w:tcPr>
            <w:tcW w:w="1134" w:type="dxa"/>
            <w:tcBorders>
              <w:top w:val="single" w:color="auto" w:sz="4" w:space="0"/>
              <w:left w:val="single" w:color="auto" w:sz="4" w:space="0"/>
            </w:tcBorders>
            <w:shd w:val="clear" w:color="auto" w:fill="FFFFFF"/>
            <w:vAlign w:val="center"/>
          </w:tcPr>
          <w:p w14:paraId="54FF59F8">
            <w:pPr>
              <w:spacing w:line="240" w:lineRule="auto"/>
              <w:ind w:firstLine="0" w:firstLineChars="0"/>
              <w:jc w:val="center"/>
              <w:rPr>
                <w:rFonts w:eastAsia="仿宋" w:cs="Times New Roman"/>
                <w:sz w:val="21"/>
                <w:lang w:bidi="zh-CN"/>
              </w:rPr>
            </w:pPr>
            <w:r>
              <w:rPr>
                <w:rFonts w:cs="Times New Roman"/>
                <w:kern w:val="0"/>
                <w:sz w:val="21"/>
                <w:szCs w:val="21"/>
              </w:rPr>
              <w:t>≥8</w:t>
            </w:r>
          </w:p>
        </w:tc>
        <w:tc>
          <w:tcPr>
            <w:tcW w:w="850" w:type="dxa"/>
            <w:tcBorders>
              <w:top w:val="single" w:color="auto" w:sz="4" w:space="0"/>
              <w:left w:val="single" w:color="auto" w:sz="4" w:space="0"/>
            </w:tcBorders>
            <w:shd w:val="clear" w:color="auto" w:fill="FFFFFF"/>
            <w:vAlign w:val="center"/>
          </w:tcPr>
          <w:p w14:paraId="632B6691">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130AC2F6">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7CA52BE2">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7CBEB52B">
            <w:pPr>
              <w:spacing w:line="240" w:lineRule="auto"/>
              <w:ind w:firstLine="0" w:firstLineChars="0"/>
              <w:jc w:val="center"/>
              <w:rPr>
                <w:rFonts w:eastAsia="仿宋" w:cs="Times New Roman"/>
                <w:sz w:val="21"/>
                <w:lang w:bidi="zh-CN"/>
              </w:rPr>
            </w:pPr>
            <w:r>
              <w:rPr>
                <w:rFonts w:eastAsia="仿宋" w:cs="Times New Roman"/>
                <w:sz w:val="21"/>
                <w:lang w:bidi="zh-CN"/>
              </w:rPr>
              <w:t>22</w:t>
            </w:r>
          </w:p>
        </w:tc>
        <w:tc>
          <w:tcPr>
            <w:tcW w:w="3218" w:type="dxa"/>
            <w:tcBorders>
              <w:top w:val="single" w:color="auto" w:sz="4" w:space="0"/>
              <w:left w:val="single" w:color="auto" w:sz="4" w:space="0"/>
              <w:bottom w:val="single" w:color="auto" w:sz="4" w:space="0"/>
            </w:tcBorders>
            <w:shd w:val="clear" w:color="auto" w:fill="FFFFFF"/>
            <w:vAlign w:val="center"/>
          </w:tcPr>
          <w:p w14:paraId="3B392FFA">
            <w:pPr>
              <w:spacing w:line="240" w:lineRule="auto"/>
              <w:ind w:firstLine="0" w:firstLineChars="0"/>
              <w:jc w:val="center"/>
              <w:rPr>
                <w:rFonts w:eastAsia="仿宋" w:cs="Times New Roman"/>
                <w:sz w:val="21"/>
                <w:lang w:bidi="zh-CN"/>
              </w:rPr>
            </w:pPr>
            <w:r>
              <w:rPr>
                <w:rFonts w:eastAsia="仿宋" w:cs="Times New Roman"/>
                <w:sz w:val="21"/>
                <w:lang w:bidi="zh-CN"/>
              </w:rPr>
              <w:t>农村生活垃圾处理率（%）</w:t>
            </w:r>
          </w:p>
        </w:tc>
        <w:tc>
          <w:tcPr>
            <w:tcW w:w="850" w:type="dxa"/>
            <w:tcBorders>
              <w:top w:val="single" w:color="auto" w:sz="4" w:space="0"/>
              <w:left w:val="single" w:color="auto" w:sz="4" w:space="0"/>
              <w:bottom w:val="single" w:color="auto" w:sz="4" w:space="0"/>
            </w:tcBorders>
            <w:shd w:val="clear" w:color="auto" w:fill="FFFFFF"/>
            <w:vAlign w:val="center"/>
          </w:tcPr>
          <w:p w14:paraId="1BF25F51">
            <w:pPr>
              <w:spacing w:line="240" w:lineRule="auto"/>
              <w:ind w:firstLine="0" w:firstLineChars="0"/>
              <w:jc w:val="center"/>
              <w:rPr>
                <w:rFonts w:eastAsia="仿宋" w:cs="Times New Roman"/>
                <w:sz w:val="21"/>
                <w:lang w:bidi="zh-CN"/>
              </w:rPr>
            </w:pPr>
            <w:r>
              <w:rPr>
                <w:rFonts w:eastAsia="仿宋" w:cs="Times New Roman"/>
                <w:sz w:val="21"/>
                <w:lang w:bidi="zh-CN"/>
              </w:rPr>
              <w:t>100</w:t>
            </w:r>
          </w:p>
        </w:tc>
        <w:tc>
          <w:tcPr>
            <w:tcW w:w="1276" w:type="dxa"/>
            <w:tcBorders>
              <w:top w:val="single" w:color="auto" w:sz="4" w:space="0"/>
              <w:left w:val="single" w:color="auto" w:sz="4" w:space="0"/>
              <w:bottom w:val="single" w:color="auto" w:sz="4" w:space="0"/>
            </w:tcBorders>
            <w:shd w:val="clear" w:color="auto" w:fill="FFFFFF"/>
            <w:vAlign w:val="center"/>
          </w:tcPr>
          <w:p w14:paraId="3C3F6391">
            <w:pPr>
              <w:spacing w:line="240" w:lineRule="auto"/>
              <w:ind w:firstLine="0" w:firstLineChars="0"/>
              <w:jc w:val="center"/>
              <w:rPr>
                <w:rFonts w:eastAsia="仿宋" w:cs="Times New Roman"/>
                <w:sz w:val="21"/>
                <w:lang w:bidi="zh-CN"/>
              </w:rPr>
            </w:pPr>
            <w:r>
              <w:rPr>
                <w:rFonts w:eastAsia="仿宋" w:cs="Times New Roman"/>
                <w:sz w:val="21"/>
                <w:lang w:bidi="zh-CN"/>
              </w:rPr>
              <w:t>100</w:t>
            </w:r>
          </w:p>
        </w:tc>
        <w:tc>
          <w:tcPr>
            <w:tcW w:w="1134" w:type="dxa"/>
            <w:tcBorders>
              <w:top w:val="single" w:color="auto" w:sz="4" w:space="0"/>
              <w:left w:val="single" w:color="auto" w:sz="4" w:space="0"/>
              <w:bottom w:val="single" w:color="auto" w:sz="4" w:space="0"/>
            </w:tcBorders>
            <w:shd w:val="clear" w:color="auto" w:fill="FFFFFF"/>
            <w:vAlign w:val="center"/>
          </w:tcPr>
          <w:p w14:paraId="66DB93E8">
            <w:pPr>
              <w:spacing w:line="240" w:lineRule="auto"/>
              <w:ind w:firstLine="0" w:firstLineChars="0"/>
              <w:jc w:val="center"/>
              <w:rPr>
                <w:rFonts w:eastAsia="仿宋" w:cs="Times New Roman"/>
                <w:sz w:val="21"/>
                <w:lang w:bidi="zh-CN"/>
              </w:rPr>
            </w:pPr>
            <w:r>
              <w:rPr>
                <w:rFonts w:eastAsia="仿宋" w:cs="Times New Roman"/>
                <w:sz w:val="21"/>
                <w:lang w:bidi="zh-CN"/>
              </w:rPr>
              <w:t>100</w:t>
            </w:r>
          </w:p>
        </w:tc>
        <w:tc>
          <w:tcPr>
            <w:tcW w:w="850" w:type="dxa"/>
            <w:tcBorders>
              <w:top w:val="single" w:color="auto" w:sz="4" w:space="0"/>
              <w:left w:val="single" w:color="auto" w:sz="4" w:space="0"/>
              <w:bottom w:val="single" w:color="auto" w:sz="4" w:space="0"/>
            </w:tcBorders>
            <w:shd w:val="clear" w:color="auto" w:fill="FFFFFF"/>
            <w:vAlign w:val="center"/>
          </w:tcPr>
          <w:p w14:paraId="10C60A25">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187FDF45">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bl>
    <w:p w14:paraId="67918ACA">
      <w:pPr>
        <w:ind w:firstLine="640"/>
        <w:rPr>
          <w:rFonts w:cs="Times New Roman"/>
        </w:rPr>
      </w:pPr>
    </w:p>
    <w:p w14:paraId="558653CE">
      <w:pPr>
        <w:pStyle w:val="2"/>
        <w:spacing w:before="312" w:after="312"/>
        <w:rPr>
          <w:rFonts w:ascii="Times New Roman" w:hAnsi="Times New Roman" w:cs="Times New Roman"/>
        </w:rPr>
      </w:pPr>
      <w:bookmarkStart w:id="12" w:name="_Toc185844281"/>
      <w:bookmarkStart w:id="13" w:name="_Toc18609"/>
      <w:r>
        <w:rPr>
          <w:rFonts w:ascii="Times New Roman" w:hAnsi="Times New Roman" w:cs="Times New Roman"/>
        </w:rPr>
        <w:t>第三章 国土空间开发保护格局</w:t>
      </w:r>
      <w:bookmarkEnd w:id="12"/>
      <w:bookmarkEnd w:id="13"/>
      <w:r>
        <w:rPr>
          <w:rFonts w:ascii="Times New Roman" w:hAnsi="Times New Roman" w:cs="Times New Roman"/>
        </w:rPr>
        <w:t xml:space="preserve"> </w:t>
      </w:r>
    </w:p>
    <w:p w14:paraId="1D49D94F">
      <w:pPr>
        <w:ind w:firstLine="640"/>
        <w:rPr>
          <w:rFonts w:cs="Times New Roman"/>
        </w:rPr>
      </w:pPr>
      <w:r>
        <w:rPr>
          <w:rFonts w:cs="Times New Roman"/>
        </w:rPr>
        <w:t>以区域自然地理格局为基础，结合桓仁县国土空间开发适宜性评价、灾害风险评估、规划实施评估等成果，强化三条控制线的底线约束，落实规划目标与定位，构建向阳乡国土空间开发保护总体格局。</w:t>
      </w:r>
    </w:p>
    <w:p w14:paraId="35226C83">
      <w:pPr>
        <w:pStyle w:val="3"/>
        <w:rPr>
          <w:rFonts w:ascii="Times New Roman" w:hAnsi="Times New Roman" w:cs="Times New Roman"/>
        </w:rPr>
      </w:pPr>
      <w:bookmarkStart w:id="14" w:name="_Toc185844282"/>
      <w:bookmarkStart w:id="15" w:name="_Toc6009"/>
      <w:r>
        <w:rPr>
          <w:rFonts w:ascii="Times New Roman" w:hAnsi="Times New Roman" w:cs="Times New Roman"/>
        </w:rPr>
        <w:t>第一节 总体格局</w:t>
      </w:r>
      <w:bookmarkEnd w:id="14"/>
      <w:bookmarkEnd w:id="15"/>
    </w:p>
    <w:p w14:paraId="04A9BC01">
      <w:pPr>
        <w:pStyle w:val="4"/>
        <w:numPr>
          <w:ilvl w:val="0"/>
          <w:numId w:val="5"/>
        </w:numPr>
        <w:ind w:left="420" w:firstLine="361" w:firstLineChars="113"/>
      </w:pPr>
      <w:r>
        <w:t>国土空间开发保护格局</w:t>
      </w:r>
    </w:p>
    <w:p w14:paraId="7E9E20BE">
      <w:pPr>
        <w:ind w:firstLine="640"/>
        <w:rPr>
          <w:rFonts w:cs="Times New Roman"/>
        </w:rPr>
      </w:pPr>
      <w:bookmarkStart w:id="16" w:name="OLE_LINK8"/>
      <w:r>
        <w:rPr>
          <w:rFonts w:cs="Times New Roman"/>
        </w:rPr>
        <w:t>以桓仁县国土空间总体规划确定的</w:t>
      </w:r>
      <w:bookmarkStart w:id="17" w:name="_Hlk187237060"/>
      <w:r>
        <w:rPr>
          <w:rFonts w:cs="Times New Roman"/>
        </w:rPr>
        <w:t>“一核、一心、四副、两轴、三区”</w:t>
      </w:r>
      <w:bookmarkEnd w:id="17"/>
      <w:r>
        <w:rPr>
          <w:rFonts w:cs="Times New Roman"/>
        </w:rPr>
        <w:t>的国土空间格局为引领，以向阳乡山水相依的自然地理格局为依托，构建“一核、一心、一带、两轴、三区”的国土空间开发保护利用总体格局。</w:t>
      </w:r>
    </w:p>
    <w:p w14:paraId="135B0393">
      <w:pPr>
        <w:ind w:firstLine="643"/>
        <w:rPr>
          <w:rFonts w:cs="Times New Roman"/>
        </w:rPr>
      </w:pPr>
      <w:r>
        <w:rPr>
          <w:rFonts w:cs="Times New Roman"/>
          <w:b/>
          <w:bCs/>
        </w:rPr>
        <w:t>强化一核，增强乡中心区辐射带动能力。</w:t>
      </w:r>
      <w:r>
        <w:rPr>
          <w:rFonts w:cs="Times New Roman"/>
        </w:rPr>
        <w:t>以向阳乡中心区为核心，优先打造全域综合服务功能和转型发展的主要承载地，重点聚焦品质塑造和功能优化，提升乡中心区的综合承载力和吸引力，推进乡中心区品质提升，强化全域社会、经济、文化发展的核心功能。</w:t>
      </w:r>
    </w:p>
    <w:p w14:paraId="25A4DD45">
      <w:pPr>
        <w:ind w:firstLine="643"/>
        <w:rPr>
          <w:rFonts w:cs="Times New Roman"/>
        </w:rPr>
      </w:pPr>
      <w:r>
        <w:rPr>
          <w:rFonts w:cs="Times New Roman"/>
          <w:b/>
          <w:bCs/>
        </w:rPr>
        <w:t>培育一心，打造绿色发展的新增长极。</w:t>
      </w:r>
      <w:r>
        <w:rPr>
          <w:rFonts w:cs="Times New Roman"/>
        </w:rPr>
        <w:t>充分发挥和平村自然资源、生态资源、文化资源、旅游资源、区域交通和国家美丽宜居示范村等优势，大力发展生态旅游产业、特色精品农业和现代服务业，实现与乡中心区的精准对接，打造承接乡中心区其他相关功能的区域“微中心”，建设全域人口、产业、功能扩散以及旅游集散的主要承载地区。</w:t>
      </w:r>
    </w:p>
    <w:p w14:paraId="40C962C1">
      <w:pPr>
        <w:ind w:firstLine="643"/>
        <w:rPr>
          <w:rFonts w:cs="Times New Roman"/>
        </w:rPr>
      </w:pPr>
      <w:r>
        <w:rPr>
          <w:rFonts w:cs="Times New Roman"/>
          <w:b/>
          <w:bCs/>
        </w:rPr>
        <w:t>建设一带，激发特色农业发展新活力。</w:t>
      </w:r>
      <w:r>
        <w:rPr>
          <w:rFonts w:cs="Times New Roman"/>
        </w:rPr>
        <w:t>依托回龙湖优美的水生态、水岸线、水环境，打造重要生态廊道，持续建设东北亚特色农业观光旅游带。大力推动沿线葡萄、大榛子、苹果、李子等特色种植业和休闲农业观光采摘业发展，建设特色农家乐，植入农事体验项目，传承农耕文化，提升旅游特色农业和乡村旅游发展活力。</w:t>
      </w:r>
    </w:p>
    <w:p w14:paraId="08DE52EB">
      <w:pPr>
        <w:ind w:firstLine="643"/>
        <w:rPr>
          <w:rFonts w:cs="Times New Roman"/>
        </w:rPr>
      </w:pPr>
      <w:r>
        <w:rPr>
          <w:rFonts w:cs="Times New Roman"/>
          <w:b/>
          <w:bCs/>
        </w:rPr>
        <w:t>集聚两轴，打造经济协同发展带。</w:t>
      </w:r>
      <w:r>
        <w:rPr>
          <w:rFonts w:cs="Times New Roman"/>
        </w:rPr>
        <w:t>即依托乡内主要道路（凤向线、向回线、回和线、雅和线）形成的发展轴线。该两条轴带沿线集中了全域重要的旅游项目，包括龙祥岛、虎谷峡、如意岛、枫林园、枫林谷、房车宿营地、枫韵溪境山水民宿、回龙湖东北亚特色农业观光带等，既是向阳乡重要的旅游发展轴线，也是对外联系的主要通道。引导资源要素向该发展轴集聚，通过轴带的辐射带动作用促进全域经济社会的快速发展。</w:t>
      </w:r>
    </w:p>
    <w:p w14:paraId="541FBBD0">
      <w:pPr>
        <w:ind w:firstLine="643"/>
        <w:rPr>
          <w:rFonts w:cs="Times New Roman"/>
        </w:rPr>
      </w:pPr>
      <w:bookmarkStart w:id="18" w:name="_Hlk184398921"/>
      <w:r>
        <w:rPr>
          <w:rFonts w:cs="Times New Roman"/>
          <w:b/>
          <w:bCs/>
        </w:rPr>
        <w:t>协调三区，推动国土空间差异化发展。</w:t>
      </w:r>
      <w:r>
        <w:rPr>
          <w:rFonts w:cs="Times New Roman"/>
        </w:rPr>
        <w:t>建设中部综合农业种植区、东部特色农业种植区、西部特色旅游发展区，打造三大乡域经济引擎。</w:t>
      </w:r>
    </w:p>
    <w:p w14:paraId="60750E7A">
      <w:pPr>
        <w:ind w:firstLine="640"/>
        <w:rPr>
          <w:rFonts w:cs="Times New Roman"/>
        </w:rPr>
      </w:pPr>
      <w:r>
        <w:rPr>
          <w:rFonts w:cs="Times New Roman"/>
        </w:rPr>
        <w:t>——中部综合农业种植区。以向阳村、回龙村、爬宝山村“一村一品”为主的食用菌产业为基础，大力发展木耳、香菇、滑子蘑等种植，扩大种植规模，成立合作组织，建设食用菌生产基地；推进高标准农田建设，提高耕地质量和集中连片程度，优化种植结构，保障粮食生产。</w:t>
      </w:r>
    </w:p>
    <w:p w14:paraId="05B93817">
      <w:pPr>
        <w:ind w:firstLine="640"/>
        <w:rPr>
          <w:rFonts w:cs="Times New Roman"/>
        </w:rPr>
      </w:pPr>
      <w:r>
        <w:rPr>
          <w:rFonts w:cs="Times New Roman"/>
        </w:rPr>
        <w:t>——东部特色农业种植区。在优化板栗等老产业的基础上，鼓励和引导农民在板栗树下培育红松、平欧大榛子等，开展林下参、五味子等中小药材种植，建设红松基地、平欧大榛子基地和中小药材基地。</w:t>
      </w:r>
    </w:p>
    <w:p w14:paraId="2DA96EB2">
      <w:pPr>
        <w:ind w:firstLine="640"/>
        <w:rPr>
          <w:rFonts w:cs="Times New Roman"/>
        </w:rPr>
      </w:pPr>
      <w:r>
        <w:rPr>
          <w:rFonts w:cs="Times New Roman"/>
        </w:rPr>
        <w:t>——西部特色旅游发展区。以和平村为核心，依托枫林谷的原生态环境、优美的枫林景观，以及虎谷峡、龙祥岛、如意岛、枫林园等重要景源，主动对接“中华枫叶之路”旅游产品，开发森林峡谷观光、森林休闲度假、养生康体等旅游产品。</w:t>
      </w:r>
    </w:p>
    <w:bookmarkEnd w:id="16"/>
    <w:bookmarkEnd w:id="18"/>
    <w:p w14:paraId="5808802C">
      <w:pPr>
        <w:pStyle w:val="3"/>
        <w:rPr>
          <w:rFonts w:ascii="Times New Roman" w:hAnsi="Times New Roman" w:cs="Times New Roman"/>
        </w:rPr>
      </w:pPr>
      <w:bookmarkStart w:id="19" w:name="_Toc185844283"/>
      <w:bookmarkStart w:id="20" w:name="_Toc13234"/>
      <w:r>
        <w:rPr>
          <w:rFonts w:ascii="Times New Roman" w:hAnsi="Times New Roman" w:cs="Times New Roman"/>
        </w:rPr>
        <w:t>第二节 重要控制线划定</w:t>
      </w:r>
      <w:bookmarkEnd w:id="19"/>
      <w:bookmarkEnd w:id="20"/>
    </w:p>
    <w:p w14:paraId="592A0C32">
      <w:pPr>
        <w:pStyle w:val="4"/>
        <w:numPr>
          <w:ilvl w:val="0"/>
          <w:numId w:val="6"/>
        </w:numPr>
        <w:ind w:left="420" w:firstLine="361" w:firstLineChars="113"/>
      </w:pPr>
      <w:r>
        <w:t>耕地和永久基本农田</w:t>
      </w:r>
    </w:p>
    <w:p w14:paraId="3D22CFCD">
      <w:pPr>
        <w:ind w:firstLine="640"/>
        <w:rPr>
          <w:rFonts w:cs="Times New Roman"/>
        </w:rPr>
      </w:pPr>
      <w:r>
        <w:rPr>
          <w:rFonts w:cs="Times New Roman"/>
        </w:rPr>
        <w:t>落实《桓仁满族自治县国土空间总体规划（2021-2035年）》下达的耕地和永久基本农田约束指标，严守永久基本农田控制线，优化永久基本农田布局，</w:t>
      </w:r>
      <w:r>
        <w:rPr>
          <w:rFonts w:hint="eastAsia" w:cs="Times New Roman"/>
          <w:u w:val="single"/>
        </w:rPr>
        <w:t>全域转落耕地保护目标</w:t>
      </w:r>
      <w:bookmarkStart w:id="21" w:name="OLE_LINK3"/>
      <w:r>
        <w:rPr>
          <w:rFonts w:cs="Times New Roman"/>
          <w:u w:val="single"/>
        </w:rPr>
        <w:t>1022.28</w:t>
      </w:r>
      <w:bookmarkEnd w:id="21"/>
      <w:r>
        <w:rPr>
          <w:rFonts w:hint="eastAsia" w:cs="Times New Roman"/>
          <w:u w:val="single"/>
        </w:rPr>
        <w:t>公顷，</w:t>
      </w:r>
      <w:r>
        <w:rPr>
          <w:rFonts w:cs="Times New Roman"/>
          <w:u w:val="single"/>
        </w:rPr>
        <w:t>转落永久基本农田面积</w:t>
      </w:r>
      <w:bookmarkStart w:id="22" w:name="OLE_LINK4"/>
      <w:r>
        <w:rPr>
          <w:rFonts w:cs="Times New Roman"/>
          <w:u w:val="single"/>
        </w:rPr>
        <w:t>986.29</w:t>
      </w:r>
      <w:bookmarkEnd w:id="22"/>
      <w:r>
        <w:rPr>
          <w:rFonts w:cs="Times New Roman"/>
          <w:u w:val="single"/>
        </w:rPr>
        <w:t>公顷，</w:t>
      </w:r>
      <w:r>
        <w:rPr>
          <w:rFonts w:cs="Times New Roman"/>
        </w:rPr>
        <w:t>占全域国土总面积的4.73%。</w:t>
      </w:r>
      <w:r>
        <w:rPr>
          <w:rFonts w:cs="Times New Roman"/>
          <w:color w:val="000000"/>
          <w:lang w:bidi="ar"/>
        </w:rPr>
        <w:t>严格落实国家对耕地和永久基本农田保护红线的法律法规与规范性文件。</w:t>
      </w:r>
    </w:p>
    <w:p w14:paraId="7B8ACC0D">
      <w:pPr>
        <w:pStyle w:val="4"/>
        <w:numPr>
          <w:ilvl w:val="0"/>
          <w:numId w:val="1"/>
        </w:numPr>
        <w:ind w:left="860" w:firstLine="361" w:firstLineChars="113"/>
      </w:pPr>
      <w:r>
        <w:t>生态保护红线</w:t>
      </w:r>
    </w:p>
    <w:p w14:paraId="16C31419">
      <w:pPr>
        <w:ind w:firstLine="640"/>
        <w:rPr>
          <w:rFonts w:cs="Times New Roman"/>
        </w:rPr>
      </w:pPr>
      <w:r>
        <w:rPr>
          <w:rFonts w:cs="Times New Roman"/>
        </w:rPr>
        <w:t>落实《桓仁满族自治县国土空间总体规划（2021-2035年）》下达的生态保护红线约束性指标，</w:t>
      </w:r>
      <w:r>
        <w:rPr>
          <w:rFonts w:cs="Times New Roman"/>
          <w:u w:val="single"/>
        </w:rPr>
        <w:t>全域转落生态保护红线面积</w:t>
      </w:r>
      <w:bookmarkStart w:id="23" w:name="OLE_LINK6"/>
      <w:r>
        <w:rPr>
          <w:rFonts w:cs="Times New Roman"/>
          <w:u w:val="single"/>
        </w:rPr>
        <w:t>5237.97</w:t>
      </w:r>
      <w:bookmarkEnd w:id="23"/>
      <w:r>
        <w:rPr>
          <w:rFonts w:cs="Times New Roman"/>
          <w:u w:val="single"/>
        </w:rPr>
        <w:t>公顷，</w:t>
      </w:r>
      <w:r>
        <w:rPr>
          <w:rFonts w:cs="Times New Roman"/>
        </w:rPr>
        <w:t>占全域国土总面积的25.14%。</w:t>
      </w:r>
      <w:r>
        <w:rPr>
          <w:rFonts w:cs="Times New Roman"/>
          <w:color w:val="000000"/>
          <w:lang w:bidi="ar"/>
        </w:rPr>
        <w:t>严格落实国家、省对生态保护红线的法律法规与规范性文件。</w:t>
      </w:r>
    </w:p>
    <w:p w14:paraId="54E6C2D8">
      <w:pPr>
        <w:pStyle w:val="4"/>
        <w:numPr>
          <w:ilvl w:val="0"/>
          <w:numId w:val="1"/>
        </w:numPr>
        <w:ind w:left="860" w:firstLine="361" w:firstLineChars="113"/>
      </w:pPr>
      <w:r>
        <w:t>城镇开发边界</w:t>
      </w:r>
    </w:p>
    <w:p w14:paraId="33CDC86A">
      <w:pPr>
        <w:ind w:firstLine="640"/>
        <w:rPr>
          <w:rFonts w:cs="Times New Roman"/>
          <w:color w:val="000000"/>
          <w:lang w:bidi="ar"/>
        </w:rPr>
      </w:pPr>
      <w:r>
        <w:rPr>
          <w:rFonts w:cs="Times New Roman"/>
        </w:rPr>
        <w:t>落实《桓仁满族自治县国土空间总体规划（2021-2035年）》下达的城镇开发边界约束性指标，</w:t>
      </w:r>
      <w:r>
        <w:rPr>
          <w:rFonts w:cs="Times New Roman"/>
          <w:u w:val="single"/>
        </w:rPr>
        <w:t>全域转落城镇开发边界面积</w:t>
      </w:r>
      <w:bookmarkStart w:id="24" w:name="OLE_LINK7"/>
      <w:r>
        <w:rPr>
          <w:rFonts w:cs="Times New Roman"/>
          <w:u w:val="single"/>
        </w:rPr>
        <w:t>36.63</w:t>
      </w:r>
      <w:bookmarkEnd w:id="24"/>
      <w:r>
        <w:rPr>
          <w:rFonts w:cs="Times New Roman"/>
          <w:u w:val="single"/>
        </w:rPr>
        <w:t>公顷，</w:t>
      </w:r>
      <w:r>
        <w:rPr>
          <w:rFonts w:cs="Times New Roman"/>
        </w:rPr>
        <w:t>占全域国土总面积的0.18%。</w:t>
      </w:r>
      <w:bookmarkStart w:id="25" w:name="_Hlk133418554"/>
      <w:r>
        <w:rPr>
          <w:rFonts w:cs="Times New Roman"/>
        </w:rPr>
        <w:t>城镇开发边界划定扩展</w:t>
      </w:r>
      <w:bookmarkStart w:id="26" w:name="_Hlk135152906"/>
      <w:r>
        <w:rPr>
          <w:rFonts w:cs="Times New Roman"/>
        </w:rPr>
        <w:t>倍</w:t>
      </w:r>
      <w:bookmarkEnd w:id="26"/>
      <w:r>
        <w:rPr>
          <w:rFonts w:cs="Times New Roman"/>
        </w:rPr>
        <w:t>数为1.0。</w:t>
      </w:r>
      <w:bookmarkEnd w:id="25"/>
      <w:r>
        <w:rPr>
          <w:rFonts w:cs="Times New Roman"/>
          <w:color w:val="000000"/>
          <w:lang w:bidi="ar"/>
        </w:rPr>
        <w:t>严格落实国家、省对城镇开发边界的法律法规与规范性文件。</w:t>
      </w:r>
    </w:p>
    <w:p w14:paraId="788E4C38">
      <w:pPr>
        <w:pStyle w:val="4"/>
        <w:numPr>
          <w:ilvl w:val="0"/>
          <w:numId w:val="1"/>
        </w:numPr>
        <w:ind w:left="860" w:firstLine="361" w:firstLineChars="113"/>
      </w:pPr>
      <w:r>
        <w:t>村庄建设边界</w:t>
      </w:r>
    </w:p>
    <w:p w14:paraId="060EE5A7">
      <w:pPr>
        <w:ind w:firstLine="640"/>
        <w:rPr>
          <w:rFonts w:cs="Times New Roman"/>
          <w:color w:val="FF0000"/>
        </w:rPr>
      </w:pPr>
      <w:r>
        <w:rPr>
          <w:rFonts w:cs="Times New Roman"/>
        </w:rPr>
        <w:t>以村庄建设边界初划成果为基础，结合村庄发展需要，在符合“三区三线”管控要求前提下，优化村庄建设边界，推动乡村建设用地集约利用，</w:t>
      </w:r>
      <w:r>
        <w:rPr>
          <w:rFonts w:cs="Times New Roman"/>
          <w:u w:val="single"/>
        </w:rPr>
        <w:t>全域划定村庄建设边界538.62公顷，坚持集聚建设，引导乡村建设向边界内集聚</w:t>
      </w:r>
      <w:r>
        <w:rPr>
          <w:rFonts w:cs="Times New Roman"/>
        </w:rPr>
        <w:t>。全域村庄建设边界规模不超过2020年度国土变更调查村庄用地规模。</w:t>
      </w:r>
    </w:p>
    <w:p w14:paraId="048CDAF7">
      <w:pPr>
        <w:widowControl/>
        <w:adjustRightInd w:val="0"/>
        <w:snapToGrid w:val="0"/>
        <w:ind w:firstLine="640"/>
        <w:rPr>
          <w:rFonts w:cs="Times New Roman"/>
        </w:rPr>
      </w:pPr>
      <w:r>
        <w:rPr>
          <w:rFonts w:cs="Times New Roman"/>
        </w:rPr>
        <w:t>强化村庄建设边界对开发建设行为的刚性约束作用。积极引导乡村建设行为向村庄建设用地边界内集聚，鼓励乡村建设用地复合利用。必要情况外，原则上不在村庄建设边界外安排项目。在不占用耕地和永久基本农田、生态保护红线、不突破国土空间规划建设用地指标等约束条件、不破坏生态环境和乡村风貌的前提下，利用农村本地资源开展农产品初加工、发展休闲观光旅游而必须的配套设施建设用地，可在村庄建设边界外安排少量“点状”建设用地；农村道路、电力、电</w:t>
      </w:r>
      <w:ins w:id="2" w:author="杨起" w:date="2026-03-24T15:55:01Z">
        <w:r>
          <w:rPr>
            <w:rFonts w:hint="eastAsia" w:cs="Times New Roman"/>
            <w:lang w:val="en-US" w:eastAsia="zh-CN"/>
          </w:rPr>
          <w:t>信</w:t>
        </w:r>
      </w:ins>
      <w:del w:id="3" w:author="杨起" w:date="2026-03-24T15:55:00Z">
        <w:r>
          <w:rPr>
            <w:rFonts w:cs="Times New Roman"/>
          </w:rPr>
          <w:delText>讯</w:delText>
        </w:r>
      </w:del>
      <w:r>
        <w:rPr>
          <w:rFonts w:cs="Times New Roman"/>
        </w:rPr>
        <w:t>等线性公益设施用地，以及宗教、殡葬等特殊用地可在边界外安排；符合县、镇级国土空间规划村庄国土空间用途管制规则和建设管控要求的可在边界外安排用地，项目确需建设的，可向县级自然资源主管部门申请使用机动指标。</w:t>
      </w:r>
    </w:p>
    <w:p w14:paraId="2AB8D80D">
      <w:pPr>
        <w:pStyle w:val="4"/>
        <w:numPr>
          <w:ilvl w:val="0"/>
          <w:numId w:val="1"/>
        </w:numPr>
        <w:ind w:left="860" w:firstLine="361" w:firstLineChars="113"/>
      </w:pPr>
      <w:r>
        <w:t>历史文化保护线</w:t>
      </w:r>
    </w:p>
    <w:p w14:paraId="1045258B">
      <w:pPr>
        <w:ind w:firstLine="640"/>
        <w:rPr>
          <w:rFonts w:cs="Times New Roman"/>
          <w:szCs w:val="32"/>
          <w:lang w:bidi="ar"/>
        </w:rPr>
      </w:pPr>
      <w:r>
        <w:rPr>
          <w:rFonts w:cs="Times New Roman"/>
          <w:szCs w:val="32"/>
          <w:lang w:bidi="ar"/>
        </w:rPr>
        <w:t>保护向阳乡内的历史文化资源，包括市级文物保护单位大把墓群、向阳砬门抗联遗址、向阳碰门里伏击战遗址、雅河老虎洞沟抗联密营遗址、向阳枫林谷抗联医院遗址（大荒沟），落实保护范围和建设控制地带，其中：大把墓群保护范围未以墓群发掘2号墓（曾为庙会戏台）中心为基点，西、北至浑江岸边，东100米，</w:t>
      </w:r>
      <w:del w:id="4" w:author="杨起" w:date="2026-03-24T15:52:53Z">
        <w:r>
          <w:rPr>
            <w:rFonts w:hint="default" w:cs="Times New Roman"/>
            <w:szCs w:val="32"/>
            <w:lang w:val="en-US" w:bidi="ar"/>
          </w:rPr>
          <w:delText>西</w:delText>
        </w:r>
      </w:del>
      <w:ins w:id="5" w:author="杨起" w:date="2026-03-24T15:52:53Z">
        <w:r>
          <w:rPr>
            <w:rFonts w:hint="eastAsia" w:cs="Times New Roman"/>
            <w:szCs w:val="32"/>
            <w:lang w:val="en-US" w:eastAsia="zh-CN" w:bidi="ar"/>
          </w:rPr>
          <w:t>南</w:t>
        </w:r>
      </w:ins>
      <w:r>
        <w:rPr>
          <w:rFonts w:cs="Times New Roman"/>
          <w:szCs w:val="32"/>
          <w:lang w:bidi="ar"/>
        </w:rPr>
        <w:t>200米以内，建设控制地带同保护范围；向阳砬门抗联遗址中一军一师练兵场遗址的保护范围为遗址中心为基点，南、北各25米，东、西各15米以内，建设控制地带同保护范围；雅河老虎洞沟抗联密营遗址的保护范围为以碾盘中心为基点，南、北各60米，东、西各30米以内，建设控制地带为保护范围外南、北各10米，东、西同保护范围；向阳枫林谷抗联医院遗址（大荒沟）的保护范围为以一号房址中心为基点，东、南、北各30米，西80米到山根，建设控制地带为东30米，南20米，北30米，西与保护范围相同；向阳砬门抗联遗址的石营房遗址、藏兵洞遗址、御寇关遗址、抗联小路遗址以及向阳碰门里伏击战遗址未同步公布保护范围和建设控制地带，参照《国土空间历史文化遗产保护规划编制指南》（TD/T1090－2023）统筹划定历史文化保护线，并及时落实动态补划。历史文化保护线的具体边界可在详细规划编制和实施中落实。在历史文化保护线范围内进行新建或者改建各类建筑物、构筑物和其他设施，对规划确定保护的建筑物、构筑物和其他设施进行修缮和维修以及改变建筑物、构筑物的使用性质，应当依照相关法律法规的规定，办理相关手续后方可进行。加强历史文化遗产与周边山水环境之间的整体保护，与所在地域农业、生态空间之间的协同保护与涉及建设活动空间之间的协调。</w:t>
      </w:r>
    </w:p>
    <w:p w14:paraId="47BE0F86">
      <w:pPr>
        <w:ind w:firstLine="640"/>
        <w:rPr>
          <w:rFonts w:cs="Times New Roman"/>
          <w:szCs w:val="32"/>
          <w:lang w:bidi="ar"/>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1504"/>
        <w:gridCol w:w="2760"/>
        <w:gridCol w:w="2132"/>
      </w:tblGrid>
      <w:tr w14:paraId="5D8C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1667333">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行政村名</w:t>
            </w:r>
          </w:p>
        </w:tc>
        <w:tc>
          <w:tcPr>
            <w:tcW w:w="882" w:type="pct"/>
            <w:vAlign w:val="center"/>
          </w:tcPr>
          <w:p w14:paraId="325E5E78">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耕地保有量</w:t>
            </w:r>
          </w:p>
        </w:tc>
        <w:tc>
          <w:tcPr>
            <w:tcW w:w="1618" w:type="pct"/>
            <w:vAlign w:val="center"/>
          </w:tcPr>
          <w:p w14:paraId="695AED7E">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永久基本农田保护面积</w:t>
            </w:r>
          </w:p>
        </w:tc>
        <w:tc>
          <w:tcPr>
            <w:tcW w:w="1250" w:type="pct"/>
            <w:vAlign w:val="center"/>
          </w:tcPr>
          <w:p w14:paraId="6055FB0D">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生态保护红线面积</w:t>
            </w:r>
          </w:p>
        </w:tc>
      </w:tr>
      <w:tr w14:paraId="071A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046D970F">
            <w:pPr>
              <w:spacing w:line="240" w:lineRule="auto"/>
              <w:ind w:firstLine="0" w:firstLineChars="0"/>
              <w:jc w:val="center"/>
              <w:rPr>
                <w:rFonts w:eastAsia="仿宋" w:cs="Times New Roman"/>
                <w:kern w:val="0"/>
                <w:sz w:val="21"/>
                <w:szCs w:val="21"/>
              </w:rPr>
            </w:pPr>
            <w:r>
              <w:rPr>
                <w:rFonts w:cs="Times New Roman"/>
                <w:color w:val="000000"/>
                <w:sz w:val="21"/>
                <w:szCs w:val="21"/>
              </w:rPr>
              <w:t>北岔村</w:t>
            </w:r>
          </w:p>
        </w:tc>
        <w:tc>
          <w:tcPr>
            <w:tcW w:w="882" w:type="pct"/>
            <w:vAlign w:val="center"/>
          </w:tcPr>
          <w:p w14:paraId="7B48C2AF">
            <w:pPr>
              <w:spacing w:line="240" w:lineRule="auto"/>
              <w:ind w:firstLine="0" w:firstLineChars="0"/>
              <w:jc w:val="center"/>
              <w:rPr>
                <w:rFonts w:eastAsia="仿宋" w:cs="Times New Roman"/>
                <w:kern w:val="0"/>
                <w:sz w:val="21"/>
                <w:szCs w:val="21"/>
              </w:rPr>
            </w:pPr>
            <w:r>
              <w:rPr>
                <w:rFonts w:cs="Times New Roman"/>
                <w:color w:val="000000"/>
                <w:sz w:val="22"/>
              </w:rPr>
              <w:t xml:space="preserve">74.72 </w:t>
            </w:r>
          </w:p>
        </w:tc>
        <w:tc>
          <w:tcPr>
            <w:tcW w:w="1618" w:type="pct"/>
            <w:vAlign w:val="center"/>
          </w:tcPr>
          <w:p w14:paraId="3161A22B">
            <w:pPr>
              <w:spacing w:line="240" w:lineRule="auto"/>
              <w:ind w:firstLine="0" w:firstLineChars="0"/>
              <w:jc w:val="center"/>
              <w:rPr>
                <w:rFonts w:eastAsia="仿宋" w:cs="Times New Roman"/>
                <w:kern w:val="0"/>
                <w:sz w:val="21"/>
                <w:szCs w:val="21"/>
              </w:rPr>
            </w:pPr>
            <w:r>
              <w:rPr>
                <w:rFonts w:cs="Times New Roman"/>
                <w:color w:val="000000"/>
                <w:sz w:val="22"/>
              </w:rPr>
              <w:t xml:space="preserve">73.47 </w:t>
            </w:r>
          </w:p>
        </w:tc>
        <w:tc>
          <w:tcPr>
            <w:tcW w:w="1250" w:type="pct"/>
            <w:vAlign w:val="center"/>
          </w:tcPr>
          <w:p w14:paraId="0997295C">
            <w:pPr>
              <w:spacing w:line="240" w:lineRule="auto"/>
              <w:ind w:firstLine="0" w:firstLineChars="0"/>
              <w:jc w:val="center"/>
              <w:rPr>
                <w:rFonts w:eastAsia="仿宋" w:cs="Times New Roman"/>
                <w:kern w:val="0"/>
                <w:sz w:val="21"/>
                <w:szCs w:val="21"/>
              </w:rPr>
            </w:pPr>
            <w:r>
              <w:rPr>
                <w:rFonts w:cs="Times New Roman"/>
                <w:sz w:val="22"/>
              </w:rPr>
              <w:t xml:space="preserve">379.03 </w:t>
            </w:r>
          </w:p>
        </w:tc>
      </w:tr>
      <w:tr w14:paraId="688A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1B8096D7">
            <w:pPr>
              <w:spacing w:line="240" w:lineRule="auto"/>
              <w:ind w:firstLine="0" w:firstLineChars="0"/>
              <w:jc w:val="center"/>
              <w:rPr>
                <w:rFonts w:eastAsia="仿宋" w:cs="Times New Roman"/>
                <w:kern w:val="0"/>
                <w:sz w:val="21"/>
                <w:szCs w:val="21"/>
              </w:rPr>
            </w:pPr>
            <w:r>
              <w:rPr>
                <w:rFonts w:cs="Times New Roman"/>
                <w:color w:val="000000"/>
                <w:sz w:val="21"/>
                <w:szCs w:val="21"/>
              </w:rPr>
              <w:t>和平村</w:t>
            </w:r>
          </w:p>
        </w:tc>
        <w:tc>
          <w:tcPr>
            <w:tcW w:w="882" w:type="pct"/>
            <w:vAlign w:val="center"/>
          </w:tcPr>
          <w:p w14:paraId="2F277173">
            <w:pPr>
              <w:spacing w:line="240" w:lineRule="auto"/>
              <w:ind w:firstLine="0" w:firstLineChars="0"/>
              <w:jc w:val="center"/>
              <w:rPr>
                <w:rFonts w:eastAsia="仿宋" w:cs="Times New Roman"/>
                <w:kern w:val="0"/>
                <w:sz w:val="21"/>
                <w:szCs w:val="21"/>
              </w:rPr>
            </w:pPr>
            <w:r>
              <w:rPr>
                <w:rFonts w:cs="Times New Roman"/>
                <w:color w:val="000000"/>
                <w:sz w:val="22"/>
              </w:rPr>
              <w:t xml:space="preserve">178.81 </w:t>
            </w:r>
          </w:p>
        </w:tc>
        <w:tc>
          <w:tcPr>
            <w:tcW w:w="1618" w:type="pct"/>
            <w:vAlign w:val="center"/>
          </w:tcPr>
          <w:p w14:paraId="17381D39">
            <w:pPr>
              <w:spacing w:line="240" w:lineRule="auto"/>
              <w:ind w:firstLine="0" w:firstLineChars="0"/>
              <w:jc w:val="center"/>
              <w:rPr>
                <w:rFonts w:eastAsia="仿宋" w:cs="Times New Roman"/>
                <w:kern w:val="0"/>
                <w:sz w:val="21"/>
                <w:szCs w:val="21"/>
              </w:rPr>
            </w:pPr>
            <w:r>
              <w:rPr>
                <w:rFonts w:cs="Times New Roman"/>
                <w:color w:val="000000"/>
                <w:sz w:val="22"/>
              </w:rPr>
              <w:t xml:space="preserve">165.25 </w:t>
            </w:r>
          </w:p>
        </w:tc>
        <w:tc>
          <w:tcPr>
            <w:tcW w:w="1250" w:type="pct"/>
            <w:vAlign w:val="center"/>
          </w:tcPr>
          <w:p w14:paraId="5EC5E261">
            <w:pPr>
              <w:spacing w:line="240" w:lineRule="auto"/>
              <w:ind w:firstLine="0" w:firstLineChars="0"/>
              <w:jc w:val="center"/>
              <w:rPr>
                <w:rFonts w:eastAsia="仿宋" w:cs="Times New Roman"/>
                <w:kern w:val="0"/>
                <w:sz w:val="21"/>
                <w:szCs w:val="21"/>
              </w:rPr>
            </w:pPr>
            <w:r>
              <w:rPr>
                <w:rFonts w:cs="Times New Roman"/>
                <w:sz w:val="22"/>
              </w:rPr>
              <w:t xml:space="preserve">2752.80 </w:t>
            </w:r>
          </w:p>
        </w:tc>
      </w:tr>
      <w:tr w14:paraId="14D1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814CA17">
            <w:pPr>
              <w:spacing w:line="240" w:lineRule="auto"/>
              <w:ind w:firstLine="0" w:firstLineChars="0"/>
              <w:jc w:val="center"/>
              <w:rPr>
                <w:rFonts w:eastAsia="仿宋" w:cs="Times New Roman"/>
                <w:kern w:val="0"/>
                <w:sz w:val="21"/>
                <w:szCs w:val="21"/>
              </w:rPr>
            </w:pPr>
            <w:r>
              <w:rPr>
                <w:rFonts w:cs="Times New Roman"/>
                <w:color w:val="000000"/>
                <w:sz w:val="21"/>
                <w:szCs w:val="21"/>
              </w:rPr>
              <w:t>回龙村</w:t>
            </w:r>
          </w:p>
        </w:tc>
        <w:tc>
          <w:tcPr>
            <w:tcW w:w="882" w:type="pct"/>
            <w:vAlign w:val="center"/>
          </w:tcPr>
          <w:p w14:paraId="4099911F">
            <w:pPr>
              <w:spacing w:line="240" w:lineRule="auto"/>
              <w:ind w:firstLine="0" w:firstLineChars="0"/>
              <w:jc w:val="center"/>
              <w:rPr>
                <w:rFonts w:eastAsia="仿宋" w:cs="Times New Roman"/>
                <w:kern w:val="0"/>
                <w:sz w:val="21"/>
                <w:szCs w:val="21"/>
              </w:rPr>
            </w:pPr>
            <w:r>
              <w:rPr>
                <w:rFonts w:cs="Times New Roman"/>
                <w:color w:val="000000"/>
                <w:sz w:val="22"/>
              </w:rPr>
              <w:t xml:space="preserve">216.04 </w:t>
            </w:r>
          </w:p>
        </w:tc>
        <w:tc>
          <w:tcPr>
            <w:tcW w:w="1618" w:type="pct"/>
            <w:vAlign w:val="center"/>
          </w:tcPr>
          <w:p w14:paraId="5E613803">
            <w:pPr>
              <w:spacing w:line="240" w:lineRule="auto"/>
              <w:ind w:firstLine="0" w:firstLineChars="0"/>
              <w:jc w:val="center"/>
              <w:rPr>
                <w:rFonts w:eastAsia="仿宋" w:cs="Times New Roman"/>
                <w:kern w:val="0"/>
                <w:sz w:val="21"/>
                <w:szCs w:val="21"/>
              </w:rPr>
            </w:pPr>
            <w:r>
              <w:rPr>
                <w:rFonts w:cs="Times New Roman"/>
                <w:color w:val="000000"/>
                <w:sz w:val="22"/>
              </w:rPr>
              <w:t xml:space="preserve">213.15 </w:t>
            </w:r>
          </w:p>
        </w:tc>
        <w:tc>
          <w:tcPr>
            <w:tcW w:w="1250" w:type="pct"/>
            <w:vAlign w:val="center"/>
          </w:tcPr>
          <w:p w14:paraId="52AEBE8E">
            <w:pPr>
              <w:spacing w:line="240" w:lineRule="auto"/>
              <w:ind w:firstLine="0" w:firstLineChars="0"/>
              <w:jc w:val="center"/>
              <w:rPr>
                <w:rFonts w:eastAsia="仿宋" w:cs="Times New Roman"/>
                <w:kern w:val="0"/>
                <w:sz w:val="21"/>
                <w:szCs w:val="21"/>
              </w:rPr>
            </w:pPr>
            <w:r>
              <w:rPr>
                <w:rFonts w:cs="Times New Roman"/>
                <w:sz w:val="22"/>
              </w:rPr>
              <w:t xml:space="preserve">461.15 </w:t>
            </w:r>
          </w:p>
        </w:tc>
      </w:tr>
      <w:tr w14:paraId="6A41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365B3859">
            <w:pPr>
              <w:spacing w:line="240" w:lineRule="auto"/>
              <w:ind w:firstLine="0" w:firstLineChars="0"/>
              <w:jc w:val="center"/>
              <w:rPr>
                <w:rFonts w:eastAsia="仿宋" w:cs="Times New Roman"/>
                <w:kern w:val="0"/>
                <w:sz w:val="21"/>
                <w:szCs w:val="21"/>
              </w:rPr>
            </w:pPr>
            <w:r>
              <w:rPr>
                <w:rFonts w:cs="Times New Roman"/>
                <w:color w:val="000000"/>
                <w:sz w:val="21"/>
                <w:szCs w:val="21"/>
              </w:rPr>
              <w:t>爬宝村</w:t>
            </w:r>
          </w:p>
        </w:tc>
        <w:tc>
          <w:tcPr>
            <w:tcW w:w="882" w:type="pct"/>
            <w:vAlign w:val="center"/>
          </w:tcPr>
          <w:p w14:paraId="648D8998">
            <w:pPr>
              <w:spacing w:line="240" w:lineRule="auto"/>
              <w:ind w:firstLine="0" w:firstLineChars="0"/>
              <w:jc w:val="center"/>
              <w:rPr>
                <w:rFonts w:eastAsia="仿宋" w:cs="Times New Roman"/>
                <w:kern w:val="0"/>
                <w:sz w:val="21"/>
                <w:szCs w:val="21"/>
              </w:rPr>
            </w:pPr>
            <w:r>
              <w:rPr>
                <w:rFonts w:cs="Times New Roman"/>
                <w:color w:val="000000"/>
                <w:sz w:val="22"/>
              </w:rPr>
              <w:t xml:space="preserve">258.64 </w:t>
            </w:r>
          </w:p>
        </w:tc>
        <w:tc>
          <w:tcPr>
            <w:tcW w:w="1618" w:type="pct"/>
            <w:vAlign w:val="center"/>
          </w:tcPr>
          <w:p w14:paraId="24E46F33">
            <w:pPr>
              <w:spacing w:line="240" w:lineRule="auto"/>
              <w:ind w:firstLine="0" w:firstLineChars="0"/>
              <w:jc w:val="center"/>
              <w:rPr>
                <w:rFonts w:eastAsia="仿宋" w:cs="Times New Roman"/>
                <w:kern w:val="0"/>
                <w:sz w:val="21"/>
                <w:szCs w:val="21"/>
              </w:rPr>
            </w:pPr>
            <w:r>
              <w:rPr>
                <w:rFonts w:cs="Times New Roman"/>
                <w:color w:val="000000"/>
                <w:sz w:val="22"/>
              </w:rPr>
              <w:t xml:space="preserve">257.00 </w:t>
            </w:r>
          </w:p>
        </w:tc>
        <w:tc>
          <w:tcPr>
            <w:tcW w:w="1250" w:type="pct"/>
            <w:vAlign w:val="center"/>
          </w:tcPr>
          <w:p w14:paraId="6A8ACF57">
            <w:pPr>
              <w:spacing w:line="240" w:lineRule="auto"/>
              <w:ind w:firstLine="0" w:firstLineChars="0"/>
              <w:jc w:val="center"/>
              <w:rPr>
                <w:rFonts w:eastAsia="仿宋" w:cs="Times New Roman"/>
                <w:kern w:val="0"/>
                <w:sz w:val="21"/>
                <w:szCs w:val="21"/>
              </w:rPr>
            </w:pPr>
            <w:r>
              <w:rPr>
                <w:rFonts w:eastAsia="仿宋" w:cs="Times New Roman"/>
                <w:kern w:val="0"/>
                <w:sz w:val="21"/>
                <w:szCs w:val="21"/>
              </w:rPr>
              <w:t>-</w:t>
            </w:r>
          </w:p>
        </w:tc>
      </w:tr>
      <w:tr w14:paraId="1023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31A2AA1">
            <w:pPr>
              <w:spacing w:line="240" w:lineRule="auto"/>
              <w:ind w:firstLine="0" w:firstLineChars="0"/>
              <w:jc w:val="center"/>
              <w:rPr>
                <w:rFonts w:eastAsia="仿宋" w:cs="Times New Roman"/>
                <w:kern w:val="0"/>
                <w:sz w:val="21"/>
                <w:szCs w:val="21"/>
              </w:rPr>
            </w:pPr>
            <w:r>
              <w:rPr>
                <w:rFonts w:cs="Times New Roman"/>
                <w:color w:val="000000"/>
                <w:sz w:val="21"/>
                <w:szCs w:val="21"/>
              </w:rPr>
              <w:t>双合村</w:t>
            </w:r>
          </w:p>
        </w:tc>
        <w:tc>
          <w:tcPr>
            <w:tcW w:w="882" w:type="pct"/>
            <w:vAlign w:val="center"/>
          </w:tcPr>
          <w:p w14:paraId="7DE24CF5">
            <w:pPr>
              <w:spacing w:line="240" w:lineRule="auto"/>
              <w:ind w:firstLine="0" w:firstLineChars="0"/>
              <w:jc w:val="center"/>
              <w:rPr>
                <w:rFonts w:eastAsia="仿宋" w:cs="Times New Roman"/>
                <w:kern w:val="0"/>
                <w:sz w:val="21"/>
                <w:szCs w:val="21"/>
              </w:rPr>
            </w:pPr>
            <w:r>
              <w:rPr>
                <w:rFonts w:cs="Times New Roman"/>
                <w:color w:val="000000"/>
                <w:sz w:val="22"/>
              </w:rPr>
              <w:t xml:space="preserve">178.88 </w:t>
            </w:r>
          </w:p>
        </w:tc>
        <w:tc>
          <w:tcPr>
            <w:tcW w:w="1618" w:type="pct"/>
            <w:vAlign w:val="center"/>
          </w:tcPr>
          <w:p w14:paraId="6DAF577A">
            <w:pPr>
              <w:spacing w:line="240" w:lineRule="auto"/>
              <w:ind w:firstLine="0" w:firstLineChars="0"/>
              <w:jc w:val="center"/>
              <w:rPr>
                <w:rFonts w:eastAsia="仿宋" w:cs="Times New Roman"/>
                <w:kern w:val="0"/>
                <w:sz w:val="21"/>
                <w:szCs w:val="21"/>
              </w:rPr>
            </w:pPr>
            <w:r>
              <w:rPr>
                <w:rFonts w:cs="Times New Roman"/>
                <w:color w:val="000000"/>
                <w:sz w:val="22"/>
              </w:rPr>
              <w:t xml:space="preserve">168.85 </w:t>
            </w:r>
          </w:p>
        </w:tc>
        <w:tc>
          <w:tcPr>
            <w:tcW w:w="1250" w:type="pct"/>
            <w:vAlign w:val="center"/>
          </w:tcPr>
          <w:p w14:paraId="7ABBC28D">
            <w:pPr>
              <w:spacing w:line="240" w:lineRule="auto"/>
              <w:ind w:firstLine="0" w:firstLineChars="0"/>
              <w:jc w:val="center"/>
              <w:rPr>
                <w:rFonts w:eastAsia="仿宋" w:cs="Times New Roman"/>
                <w:kern w:val="0"/>
                <w:sz w:val="21"/>
                <w:szCs w:val="21"/>
              </w:rPr>
            </w:pPr>
            <w:r>
              <w:rPr>
                <w:rFonts w:cs="Times New Roman"/>
                <w:sz w:val="22"/>
              </w:rPr>
              <w:t xml:space="preserve">892.49 </w:t>
            </w:r>
          </w:p>
        </w:tc>
      </w:tr>
      <w:tr w14:paraId="1103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04AFF24">
            <w:pPr>
              <w:spacing w:line="240" w:lineRule="auto"/>
              <w:ind w:firstLine="0" w:firstLineChars="0"/>
              <w:jc w:val="center"/>
              <w:rPr>
                <w:rFonts w:eastAsia="仿宋" w:cs="Times New Roman"/>
                <w:kern w:val="0"/>
                <w:sz w:val="21"/>
                <w:szCs w:val="21"/>
              </w:rPr>
            </w:pPr>
            <w:r>
              <w:rPr>
                <w:rFonts w:cs="Times New Roman"/>
                <w:color w:val="000000"/>
                <w:sz w:val="21"/>
                <w:szCs w:val="21"/>
              </w:rPr>
              <w:t>向阳村</w:t>
            </w:r>
          </w:p>
        </w:tc>
        <w:tc>
          <w:tcPr>
            <w:tcW w:w="882" w:type="pct"/>
            <w:vAlign w:val="center"/>
          </w:tcPr>
          <w:p w14:paraId="182ACDC4">
            <w:pPr>
              <w:spacing w:line="240" w:lineRule="auto"/>
              <w:ind w:firstLine="0" w:firstLineChars="0"/>
              <w:jc w:val="center"/>
              <w:rPr>
                <w:rFonts w:eastAsia="仿宋" w:cs="Times New Roman"/>
                <w:kern w:val="0"/>
                <w:sz w:val="21"/>
                <w:szCs w:val="21"/>
              </w:rPr>
            </w:pPr>
            <w:r>
              <w:rPr>
                <w:rFonts w:cs="Times New Roman"/>
                <w:color w:val="000000"/>
                <w:sz w:val="22"/>
              </w:rPr>
              <w:t xml:space="preserve">115.18 </w:t>
            </w:r>
          </w:p>
        </w:tc>
        <w:tc>
          <w:tcPr>
            <w:tcW w:w="1618" w:type="pct"/>
            <w:vAlign w:val="center"/>
          </w:tcPr>
          <w:p w14:paraId="3D2488D5">
            <w:pPr>
              <w:spacing w:line="240" w:lineRule="auto"/>
              <w:ind w:firstLine="0" w:firstLineChars="0"/>
              <w:jc w:val="center"/>
              <w:rPr>
                <w:rFonts w:eastAsia="仿宋" w:cs="Times New Roman"/>
                <w:kern w:val="0"/>
                <w:sz w:val="21"/>
                <w:szCs w:val="21"/>
              </w:rPr>
            </w:pPr>
            <w:r>
              <w:rPr>
                <w:rFonts w:cs="Times New Roman"/>
                <w:color w:val="000000"/>
                <w:sz w:val="22"/>
              </w:rPr>
              <w:t xml:space="preserve">108.57 </w:t>
            </w:r>
          </w:p>
        </w:tc>
        <w:tc>
          <w:tcPr>
            <w:tcW w:w="1250" w:type="pct"/>
            <w:vAlign w:val="center"/>
          </w:tcPr>
          <w:p w14:paraId="3DA228CC">
            <w:pPr>
              <w:spacing w:line="240" w:lineRule="auto"/>
              <w:ind w:firstLine="0" w:firstLineChars="0"/>
              <w:jc w:val="center"/>
              <w:rPr>
                <w:rFonts w:eastAsia="仿宋" w:cs="Times New Roman"/>
                <w:kern w:val="0"/>
                <w:sz w:val="21"/>
                <w:szCs w:val="21"/>
              </w:rPr>
            </w:pPr>
            <w:r>
              <w:rPr>
                <w:rFonts w:cs="Times New Roman"/>
                <w:sz w:val="22"/>
              </w:rPr>
              <w:t xml:space="preserve">752.50 </w:t>
            </w:r>
          </w:p>
        </w:tc>
      </w:tr>
    </w:tbl>
    <w:p w14:paraId="6019FE4B">
      <w:pPr>
        <w:ind w:firstLine="640"/>
        <w:rPr>
          <w:rFonts w:cs="Times New Roman"/>
          <w:szCs w:val="32"/>
          <w:lang w:bidi="ar"/>
        </w:rPr>
      </w:pPr>
    </w:p>
    <w:p w14:paraId="603D61BB">
      <w:pPr>
        <w:pStyle w:val="3"/>
        <w:rPr>
          <w:rFonts w:ascii="Times New Roman" w:hAnsi="Times New Roman" w:cs="Times New Roman"/>
        </w:rPr>
      </w:pPr>
      <w:bookmarkStart w:id="27" w:name="_Toc28804"/>
      <w:bookmarkStart w:id="28" w:name="_Toc185844284"/>
      <w:r>
        <w:rPr>
          <w:rFonts w:ascii="Times New Roman" w:hAnsi="Times New Roman" w:cs="Times New Roman"/>
        </w:rPr>
        <w:t>第三节 规划分区</w:t>
      </w:r>
      <w:bookmarkEnd w:id="27"/>
      <w:bookmarkEnd w:id="28"/>
    </w:p>
    <w:p w14:paraId="2DDB1EA6">
      <w:pPr>
        <w:pStyle w:val="4"/>
        <w:numPr>
          <w:ilvl w:val="0"/>
          <w:numId w:val="7"/>
        </w:numPr>
        <w:ind w:left="420" w:firstLine="361" w:firstLineChars="113"/>
      </w:pPr>
      <w:r>
        <w:t>规划分区</w:t>
      </w:r>
    </w:p>
    <w:p w14:paraId="4A33865E">
      <w:pPr>
        <w:ind w:firstLine="640"/>
        <w:rPr>
          <w:rFonts w:cs="Times New Roman"/>
        </w:rPr>
      </w:pPr>
      <w:r>
        <w:rPr>
          <w:rFonts w:cs="Times New Roman"/>
        </w:rPr>
        <w:t>规划分区分为一级规划分区和二级规划分区。一级规划分区包括以下6类：生态保护区、生态控制区、农田保护区、城镇发展区、乡村发展区、矿产能源发展区。城镇发展区和乡村发展区分别细分为二级规划分区。规划分区管控应按照国家转换原则和准入要求规定执行。</w:t>
      </w:r>
    </w:p>
    <w:p w14:paraId="35B6A99A">
      <w:pPr>
        <w:ind w:firstLine="640"/>
        <w:rPr>
          <w:rFonts w:cs="Times New Roman"/>
        </w:rPr>
      </w:pPr>
      <w:r>
        <w:rPr>
          <w:rFonts w:cs="Times New Roman"/>
        </w:rPr>
        <w:t>生态保护区指具有特殊重要生态功能或</w:t>
      </w:r>
      <w:ins w:id="6" w:author="杨起" w:date="2026-03-24T15:56:02Z">
        <w:r>
          <w:rPr>
            <w:rFonts w:hint="eastAsia" w:cs="Times New Roman"/>
            <w:lang w:val="en-US" w:eastAsia="zh-CN"/>
          </w:rPr>
          <w:t>生</w:t>
        </w:r>
      </w:ins>
      <w:r>
        <w:rPr>
          <w:rFonts w:cs="Times New Roman"/>
        </w:rPr>
        <w:t>态敏感脆弱、必须强制性严格保护的自然区域，总面积为</w:t>
      </w:r>
      <w:bookmarkStart w:id="29" w:name="_Hlk187236568"/>
      <w:r>
        <w:rPr>
          <w:rFonts w:cs="Times New Roman"/>
        </w:rPr>
        <w:t>5238.55公顷，占向阳乡国土总面积的25.14%。</w:t>
      </w:r>
      <w:bookmarkEnd w:id="29"/>
      <w:r>
        <w:rPr>
          <w:rFonts w:cs="Times New Roman"/>
        </w:rPr>
        <w:t>生态控制区指生态保护红线外，需要予以保留原貌、强化生态保育和生态建设、限制开发建设的区域，总面积为13437.44公</w:t>
      </w:r>
      <w:bookmarkStart w:id="144" w:name="_GoBack"/>
      <w:bookmarkEnd w:id="144"/>
      <w:r>
        <w:rPr>
          <w:rFonts w:cs="Times New Roman"/>
        </w:rPr>
        <w:t>顷，占向阳乡国土总面积的64.49%。农田保护区指永久基本农田相对集中需严格保护的区域，主要分布在中部和东部等永久基本农田大规模集中的地区，总面积为986.44 公顷，占向阳乡国土总面积的4.73%。乡村发展区指农田保护区外，为满足农林牧渔等农业发展以及农民集中生活和生产配套为主的区域，主要分布于城镇发展区、农田保护区周边，总面积为892.13 公顷，占向阳乡国土总面积的4.28%。城镇发展区指城镇开发边界围合的范围，是城镇集中开发建设并可满足城镇生产、生活需要的区域，主要分布在向阳乡中心区，总面积为35.66 公顷，占向阳乡国土总面积的0.17%。矿产能源发展区指为适应国家能源安全与矿业发展的重要陆域采矿区、战略性矿产储量区等区域，主要分布在向阳村、北岔村、和平村，总面积为245.96 公顷，占向阳乡国土总面积的1.18%。</w:t>
      </w:r>
    </w:p>
    <w:p w14:paraId="3B955089">
      <w:pPr>
        <w:pStyle w:val="3"/>
        <w:rPr>
          <w:rFonts w:ascii="Times New Roman" w:hAnsi="Times New Roman" w:cs="Times New Roman"/>
        </w:rPr>
      </w:pPr>
      <w:bookmarkStart w:id="30" w:name="_Toc185844285"/>
      <w:bookmarkStart w:id="31" w:name="_Toc17417"/>
      <w:r>
        <w:rPr>
          <w:rFonts w:ascii="Times New Roman" w:hAnsi="Times New Roman" w:cs="Times New Roman"/>
        </w:rPr>
        <w:t>第四节 国土空间用途结构优化</w:t>
      </w:r>
      <w:bookmarkEnd w:id="30"/>
      <w:bookmarkEnd w:id="31"/>
    </w:p>
    <w:p w14:paraId="6A3F7E92">
      <w:pPr>
        <w:ind w:firstLine="640"/>
        <w:rPr>
          <w:rFonts w:cs="Times New Roman"/>
        </w:rPr>
      </w:pPr>
      <w:r>
        <w:rPr>
          <w:rFonts w:cs="Times New Roman"/>
          <w:color w:val="000000"/>
          <w:lang w:bidi="ar"/>
        </w:rPr>
        <w:t>加强全域用途管制，统筹国土空间用</w:t>
      </w:r>
      <w:r>
        <w:rPr>
          <w:rFonts w:cs="Times New Roman"/>
          <w:lang w:bidi="ar"/>
        </w:rPr>
        <w:t>途结构优化。</w:t>
      </w:r>
    </w:p>
    <w:p w14:paraId="20E788F9">
      <w:pPr>
        <w:pStyle w:val="4"/>
        <w:numPr>
          <w:ilvl w:val="0"/>
          <w:numId w:val="8"/>
        </w:numPr>
        <w:ind w:left="420" w:firstLine="361" w:firstLineChars="113"/>
      </w:pPr>
      <w:r>
        <w:t>耕地和永久基本农田布局优化</w:t>
      </w:r>
    </w:p>
    <w:p w14:paraId="6D7E7B71">
      <w:pPr>
        <w:ind w:firstLine="640"/>
        <w:rPr>
          <w:rFonts w:cs="Times New Roman"/>
        </w:rPr>
      </w:pPr>
      <w:r>
        <w:rPr>
          <w:rFonts w:cs="Times New Roman"/>
        </w:rPr>
        <w:t>保障优化农业空间，落实最严格的耕地保护制度，多渠道补充耕地，切实完成耕地保护任务，通过实施土地整治等工程促使耕地尤其是永久基本农田集中连片布局。</w:t>
      </w:r>
    </w:p>
    <w:p w14:paraId="285286BA">
      <w:pPr>
        <w:ind w:firstLine="640"/>
        <w:rPr>
          <w:rFonts w:cs="Times New Roman"/>
        </w:rPr>
      </w:pPr>
      <w:r>
        <w:rPr>
          <w:rFonts w:cs="Times New Roman"/>
        </w:rPr>
        <w:t>规划到2035年，耕地保护面积不低于1022.28公顷，永久基本农田保护面积不低于986.29公顷。</w:t>
      </w:r>
    </w:p>
    <w:p w14:paraId="01075DF9">
      <w:pPr>
        <w:pStyle w:val="4"/>
        <w:numPr>
          <w:ilvl w:val="0"/>
          <w:numId w:val="1"/>
        </w:numPr>
        <w:ind w:left="860" w:firstLine="361" w:firstLineChars="113"/>
      </w:pPr>
      <w:r>
        <w:t>园地布局优化</w:t>
      </w:r>
    </w:p>
    <w:p w14:paraId="12ACC91D">
      <w:pPr>
        <w:ind w:firstLine="640"/>
        <w:rPr>
          <w:rFonts w:cs="Times New Roman"/>
        </w:rPr>
      </w:pPr>
      <w:r>
        <w:rPr>
          <w:rFonts w:cs="Times New Roman"/>
        </w:rPr>
        <w:t>规划期间合理引导园地发展，综合运用农业措施，改善生产条件，提高园地利用效益，推动农产品加工等产业发展。</w:t>
      </w:r>
    </w:p>
    <w:p w14:paraId="09AC2519">
      <w:pPr>
        <w:pStyle w:val="4"/>
        <w:numPr>
          <w:ilvl w:val="0"/>
          <w:numId w:val="1"/>
        </w:numPr>
        <w:ind w:left="860" w:firstLine="361" w:firstLineChars="113"/>
      </w:pPr>
      <w:r>
        <w:t>林草和水域用地布局优化</w:t>
      </w:r>
    </w:p>
    <w:p w14:paraId="2C17DA9B">
      <w:pPr>
        <w:ind w:firstLine="640"/>
        <w:rPr>
          <w:rFonts w:cs="Times New Roman"/>
        </w:rPr>
      </w:pPr>
      <w:r>
        <w:rPr>
          <w:rFonts w:cs="Times New Roman"/>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30695D38">
      <w:pPr>
        <w:pStyle w:val="4"/>
        <w:numPr>
          <w:ilvl w:val="0"/>
          <w:numId w:val="1"/>
        </w:numPr>
        <w:ind w:left="860" w:firstLine="361" w:firstLineChars="113"/>
      </w:pPr>
      <w:r>
        <w:t>建设用地结构优化</w:t>
      </w:r>
    </w:p>
    <w:p w14:paraId="5529F529">
      <w:pPr>
        <w:ind w:firstLine="640"/>
        <w:rPr>
          <w:rFonts w:cs="Times New Roman"/>
        </w:rPr>
      </w:pPr>
      <w:r>
        <w:rPr>
          <w:rFonts w:cs="Times New Roman"/>
        </w:rPr>
        <w:t>统筹城乡居住、基础设施、公共服务、产业发展布局，推动城乡建设用地结构优化。节约集约用地，引导工业区分散用地集中布局，优化职住比例和空间布局。提升公共管理与公共服务设施用地、商业服务业用地占比，增加基础设施，完善路网结构，鼓励宅基地集约化建设，引导乡村人口集中居住。</w:t>
      </w:r>
    </w:p>
    <w:p w14:paraId="45AF16D9">
      <w:pPr>
        <w:ind w:firstLine="640"/>
        <w:rPr>
          <w:rFonts w:cs="Times New Roman"/>
        </w:rPr>
      </w:pPr>
      <w:r>
        <w:rPr>
          <w:rFonts w:cs="Times New Roman"/>
        </w:rPr>
        <w:t>促进建设用地集约利用。促进集约集聚建设，提高土地节约集约利用水平。推进闲置土地二次开发，积极引导城中村集中成片改造，推动城中村向现代化社区转变，提升土地利用效率和环境品质。逐步增加城乡建设用地增减挂钩、工矿废弃地复垦利用等流量指标，通过建设用地流量供应推动建设用地在城镇和农村内部、城乡之间合理流动。到2035年，全域城镇开发边界面积控制在0.36平方公里以内。</w:t>
      </w:r>
    </w:p>
    <w:p w14:paraId="690C6908">
      <w:pPr>
        <w:ind w:firstLine="640"/>
        <w:rPr>
          <w:rFonts w:cs="Times New Roman"/>
        </w:rPr>
      </w:pPr>
      <w:r>
        <w:rPr>
          <w:rFonts w:cs="Times New Roman"/>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在符合法律法规、政策要求的前提下，可预留不高于5%的建设用地机动指标，用于村民居住、农村公共公益设施、零星分散的乡村文旅设施及农村新产业新业态等用地需求。</w:t>
      </w:r>
    </w:p>
    <w:p w14:paraId="1C264ED2">
      <w:pPr>
        <w:ind w:firstLine="640"/>
        <w:rPr>
          <w:rFonts w:cs="Times New Roman"/>
        </w:rPr>
      </w:pPr>
    </w:p>
    <w:tbl>
      <w:tblPr>
        <w:tblStyle w:val="15"/>
        <w:tblW w:w="5000" w:type="pct"/>
        <w:tblInd w:w="0" w:type="dxa"/>
        <w:tblLayout w:type="autofit"/>
        <w:tblCellMar>
          <w:top w:w="0" w:type="dxa"/>
          <w:left w:w="108" w:type="dxa"/>
          <w:bottom w:w="0" w:type="dxa"/>
          <w:right w:w="108" w:type="dxa"/>
        </w:tblCellMar>
      </w:tblPr>
      <w:tblGrid>
        <w:gridCol w:w="2142"/>
        <w:gridCol w:w="2565"/>
        <w:gridCol w:w="1834"/>
        <w:gridCol w:w="1977"/>
        <w:gridCol w:w="10"/>
      </w:tblGrid>
      <w:tr w14:paraId="04AD2FCE">
        <w:tblPrEx>
          <w:tblCellMar>
            <w:top w:w="0" w:type="dxa"/>
            <w:left w:w="108" w:type="dxa"/>
            <w:bottom w:w="0" w:type="dxa"/>
            <w:right w:w="108" w:type="dxa"/>
          </w:tblCellMar>
        </w:tblPrEx>
        <w:trPr>
          <w:gridAfter w:val="1"/>
          <w:wAfter w:w="6" w:type="pct"/>
          <w:trHeight w:val="20" w:hRule="atLeast"/>
        </w:trPr>
        <w:tc>
          <w:tcPr>
            <w:tcW w:w="2760" w:type="pct"/>
            <w:gridSpan w:val="2"/>
            <w:vMerge w:val="restart"/>
            <w:tcBorders>
              <w:top w:val="single" w:color="000000" w:sz="8" w:space="0"/>
              <w:left w:val="single" w:color="000000" w:sz="8" w:space="0"/>
              <w:bottom w:val="single" w:color="000000" w:sz="8" w:space="0"/>
              <w:right w:val="single" w:color="000000" w:sz="8" w:space="0"/>
            </w:tcBorders>
            <w:vAlign w:val="center"/>
          </w:tcPr>
          <w:p w14:paraId="04AA8BE2">
            <w:pPr>
              <w:spacing w:line="240" w:lineRule="auto"/>
              <w:ind w:firstLine="0" w:firstLineChars="0"/>
              <w:jc w:val="center"/>
              <w:rPr>
                <w:rFonts w:eastAsia="仿宋" w:cs="Times New Roman"/>
                <w:b/>
                <w:bCs/>
                <w:sz w:val="21"/>
                <w:lang w:bidi="zh-CN"/>
              </w:rPr>
            </w:pPr>
            <w:r>
              <w:rPr>
                <w:rFonts w:eastAsia="仿宋" w:cs="Times New Roman"/>
                <w:b/>
                <w:bCs/>
                <w:sz w:val="21"/>
                <w:lang w:bidi="zh-CN"/>
              </w:rPr>
              <w:t>用地类型</w:t>
            </w:r>
          </w:p>
        </w:tc>
        <w:tc>
          <w:tcPr>
            <w:tcW w:w="1075" w:type="pct"/>
            <w:tcBorders>
              <w:top w:val="single" w:color="000000" w:sz="8" w:space="0"/>
              <w:left w:val="single" w:color="000000" w:sz="8" w:space="0"/>
              <w:bottom w:val="single" w:color="000000" w:sz="8" w:space="0"/>
              <w:right w:val="single" w:color="auto" w:sz="4" w:space="0"/>
            </w:tcBorders>
            <w:vAlign w:val="center"/>
          </w:tcPr>
          <w:p w14:paraId="1DC51C6B">
            <w:pPr>
              <w:spacing w:line="240" w:lineRule="auto"/>
              <w:ind w:firstLine="0" w:firstLineChars="0"/>
              <w:jc w:val="center"/>
              <w:rPr>
                <w:rFonts w:eastAsia="仿宋" w:cs="Times New Roman"/>
                <w:b/>
                <w:bCs/>
                <w:sz w:val="21"/>
                <w:lang w:bidi="zh-CN"/>
              </w:rPr>
            </w:pPr>
            <w:r>
              <w:rPr>
                <w:rFonts w:eastAsia="仿宋" w:cs="Times New Roman"/>
                <w:b/>
                <w:bCs/>
                <w:sz w:val="21"/>
                <w:lang w:bidi="zh-CN"/>
              </w:rPr>
              <w:t>规划基期年</w:t>
            </w:r>
          </w:p>
        </w:tc>
        <w:tc>
          <w:tcPr>
            <w:tcW w:w="1159" w:type="pct"/>
            <w:tcBorders>
              <w:top w:val="single" w:color="000000" w:sz="8" w:space="0"/>
              <w:left w:val="single" w:color="000000" w:sz="8" w:space="0"/>
              <w:bottom w:val="single" w:color="000000" w:sz="8" w:space="0"/>
              <w:right w:val="single" w:color="auto" w:sz="4" w:space="0"/>
            </w:tcBorders>
            <w:vAlign w:val="center"/>
          </w:tcPr>
          <w:p w14:paraId="2DDFFB01">
            <w:pPr>
              <w:spacing w:line="240" w:lineRule="auto"/>
              <w:ind w:firstLine="0" w:firstLineChars="0"/>
              <w:jc w:val="center"/>
              <w:rPr>
                <w:rFonts w:eastAsia="仿宋" w:cs="Times New Roman"/>
                <w:b/>
                <w:bCs/>
                <w:sz w:val="21"/>
                <w:lang w:bidi="zh-CN"/>
              </w:rPr>
            </w:pPr>
            <w:r>
              <w:rPr>
                <w:rFonts w:eastAsia="仿宋" w:cs="Times New Roman"/>
                <w:b/>
                <w:bCs/>
                <w:sz w:val="21"/>
                <w:lang w:bidi="zh-CN"/>
              </w:rPr>
              <w:t>规划目标年</w:t>
            </w:r>
          </w:p>
        </w:tc>
      </w:tr>
      <w:tr w14:paraId="353C9619">
        <w:tblPrEx>
          <w:tblCellMar>
            <w:top w:w="0" w:type="dxa"/>
            <w:left w:w="108" w:type="dxa"/>
            <w:bottom w:w="0" w:type="dxa"/>
            <w:right w:w="108" w:type="dxa"/>
          </w:tblCellMar>
        </w:tblPrEx>
        <w:trPr>
          <w:trHeight w:val="20" w:hRule="atLeast"/>
        </w:trPr>
        <w:tc>
          <w:tcPr>
            <w:tcW w:w="2760" w:type="pct"/>
            <w:gridSpan w:val="2"/>
            <w:vMerge w:val="continue"/>
            <w:tcBorders>
              <w:top w:val="single" w:color="000000" w:sz="8" w:space="0"/>
              <w:left w:val="single" w:color="000000" w:sz="8" w:space="0"/>
              <w:bottom w:val="single" w:color="000000" w:sz="8" w:space="0"/>
              <w:right w:val="single" w:color="000000" w:sz="8" w:space="0"/>
            </w:tcBorders>
            <w:vAlign w:val="center"/>
          </w:tcPr>
          <w:p w14:paraId="030FAE88">
            <w:pPr>
              <w:spacing w:line="240" w:lineRule="auto"/>
              <w:ind w:firstLine="0" w:firstLineChars="0"/>
              <w:jc w:val="center"/>
              <w:rPr>
                <w:rFonts w:eastAsia="仿宋" w:cs="Times New Roman"/>
                <w:b/>
                <w:bCs/>
                <w:sz w:val="21"/>
                <w:lang w:bidi="zh-CN"/>
              </w:rPr>
            </w:pPr>
          </w:p>
        </w:tc>
        <w:tc>
          <w:tcPr>
            <w:tcW w:w="1075" w:type="pct"/>
            <w:tcBorders>
              <w:top w:val="nil"/>
              <w:left w:val="single" w:color="000000" w:sz="8" w:space="0"/>
              <w:bottom w:val="single" w:color="000000" w:sz="8" w:space="0"/>
              <w:right w:val="single" w:color="000000" w:sz="8" w:space="0"/>
            </w:tcBorders>
            <w:vAlign w:val="center"/>
          </w:tcPr>
          <w:p w14:paraId="0BA74FD5">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c>
          <w:tcPr>
            <w:tcW w:w="1165" w:type="pct"/>
            <w:gridSpan w:val="2"/>
            <w:tcBorders>
              <w:top w:val="single" w:color="000000" w:sz="8" w:space="0"/>
              <w:left w:val="single" w:color="000000" w:sz="8" w:space="0"/>
              <w:bottom w:val="single" w:color="000000" w:sz="8" w:space="0"/>
              <w:right w:val="single" w:color="000000" w:sz="8" w:space="0"/>
            </w:tcBorders>
            <w:vAlign w:val="center"/>
          </w:tcPr>
          <w:p w14:paraId="2CAE493E">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r>
      <w:tr w14:paraId="594087B3">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70570BB7">
            <w:pPr>
              <w:spacing w:line="240" w:lineRule="auto"/>
              <w:ind w:firstLine="0" w:firstLineChars="0"/>
              <w:jc w:val="center"/>
              <w:rPr>
                <w:rFonts w:eastAsia="仿宋" w:cs="Times New Roman"/>
                <w:sz w:val="21"/>
                <w:lang w:bidi="zh-CN"/>
              </w:rPr>
            </w:pPr>
            <w:r>
              <w:rPr>
                <w:rFonts w:eastAsia="仿宋" w:cs="Times New Roman"/>
                <w:sz w:val="21"/>
                <w:lang w:bidi="zh-CN"/>
              </w:rPr>
              <w:t>耕地</w:t>
            </w:r>
          </w:p>
        </w:tc>
        <w:tc>
          <w:tcPr>
            <w:tcW w:w="1075" w:type="pct"/>
            <w:tcBorders>
              <w:top w:val="nil"/>
              <w:left w:val="single" w:color="000000" w:sz="8" w:space="0"/>
              <w:bottom w:val="single" w:color="000000" w:sz="8" w:space="0"/>
              <w:right w:val="single" w:color="000000" w:sz="8" w:space="0"/>
            </w:tcBorders>
            <w:noWrap/>
            <w:vAlign w:val="center"/>
          </w:tcPr>
          <w:p w14:paraId="566970BD">
            <w:pPr>
              <w:spacing w:line="240" w:lineRule="auto"/>
              <w:ind w:firstLine="0" w:firstLineChars="0"/>
              <w:jc w:val="center"/>
              <w:rPr>
                <w:rFonts w:eastAsia="仿宋" w:cs="Times New Roman"/>
                <w:sz w:val="21"/>
                <w:lang w:bidi="zh-CN"/>
              </w:rPr>
            </w:pPr>
            <w:r>
              <w:rPr>
                <w:rFonts w:eastAsia="仿宋" w:cs="Times New Roman"/>
                <w:sz w:val="21"/>
                <w:lang w:bidi="zh-CN"/>
              </w:rPr>
              <w:t>1027.30</w:t>
            </w:r>
          </w:p>
        </w:tc>
        <w:tc>
          <w:tcPr>
            <w:tcW w:w="1165" w:type="pct"/>
            <w:gridSpan w:val="2"/>
            <w:tcBorders>
              <w:top w:val="nil"/>
              <w:left w:val="single" w:color="000000" w:sz="8" w:space="0"/>
              <w:bottom w:val="single" w:color="000000" w:sz="8" w:space="0"/>
              <w:right w:val="single" w:color="000000" w:sz="8" w:space="0"/>
            </w:tcBorders>
            <w:vAlign w:val="center"/>
          </w:tcPr>
          <w:p w14:paraId="2616F1A2">
            <w:pPr>
              <w:spacing w:line="240" w:lineRule="auto"/>
              <w:ind w:firstLine="0" w:firstLineChars="0"/>
              <w:jc w:val="center"/>
              <w:rPr>
                <w:rFonts w:cs="Times New Roman"/>
              </w:rPr>
            </w:pPr>
            <w:r>
              <w:rPr>
                <w:rFonts w:cs="Times New Roman"/>
                <w:kern w:val="21"/>
                <w:sz w:val="20"/>
                <w:szCs w:val="21"/>
              </w:rPr>
              <w:t>≥1022.28</w:t>
            </w:r>
          </w:p>
        </w:tc>
      </w:tr>
      <w:tr w14:paraId="0A19CB20">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1BA2D28B">
            <w:pPr>
              <w:spacing w:line="240" w:lineRule="auto"/>
              <w:ind w:firstLine="0" w:firstLineChars="0"/>
              <w:jc w:val="center"/>
              <w:rPr>
                <w:rFonts w:eastAsia="仿宋" w:cs="Times New Roman"/>
                <w:sz w:val="21"/>
                <w:lang w:bidi="zh-CN"/>
              </w:rPr>
            </w:pPr>
            <w:r>
              <w:rPr>
                <w:rFonts w:eastAsia="仿宋" w:cs="Times New Roman"/>
                <w:sz w:val="21"/>
                <w:lang w:bidi="zh-CN"/>
              </w:rPr>
              <w:t>园地</w:t>
            </w:r>
          </w:p>
        </w:tc>
        <w:tc>
          <w:tcPr>
            <w:tcW w:w="1075" w:type="pct"/>
            <w:tcBorders>
              <w:top w:val="nil"/>
              <w:left w:val="single" w:color="000000" w:sz="8" w:space="0"/>
              <w:bottom w:val="single" w:color="000000" w:sz="8" w:space="0"/>
              <w:right w:val="single" w:color="000000" w:sz="8" w:space="0"/>
            </w:tcBorders>
            <w:noWrap/>
            <w:vAlign w:val="center"/>
          </w:tcPr>
          <w:p w14:paraId="5073E348">
            <w:pPr>
              <w:spacing w:line="240" w:lineRule="auto"/>
              <w:ind w:firstLine="0" w:firstLineChars="0"/>
              <w:jc w:val="center"/>
              <w:rPr>
                <w:rFonts w:eastAsia="仿宋" w:cs="Times New Roman"/>
                <w:sz w:val="21"/>
                <w:lang w:bidi="zh-CN"/>
              </w:rPr>
            </w:pPr>
            <w:r>
              <w:rPr>
                <w:rFonts w:eastAsia="仿宋" w:cs="Times New Roman"/>
                <w:sz w:val="21"/>
                <w:lang w:bidi="zh-CN"/>
              </w:rPr>
              <w:t>199.91</w:t>
            </w:r>
          </w:p>
        </w:tc>
        <w:tc>
          <w:tcPr>
            <w:tcW w:w="1165" w:type="pct"/>
            <w:gridSpan w:val="2"/>
            <w:tcBorders>
              <w:top w:val="nil"/>
              <w:left w:val="single" w:color="000000" w:sz="8" w:space="0"/>
              <w:bottom w:val="single" w:color="000000" w:sz="8" w:space="0"/>
              <w:right w:val="single" w:color="000000" w:sz="8" w:space="0"/>
            </w:tcBorders>
            <w:vAlign w:val="center"/>
          </w:tcPr>
          <w:p w14:paraId="08E31142">
            <w:pPr>
              <w:spacing w:line="240" w:lineRule="auto"/>
              <w:ind w:firstLine="0" w:firstLineChars="0"/>
              <w:jc w:val="center"/>
              <w:rPr>
                <w:rFonts w:cs="Times New Roman"/>
              </w:rPr>
            </w:pPr>
            <w:r>
              <w:rPr>
                <w:rFonts w:cs="Times New Roman"/>
                <w:kern w:val="21"/>
                <w:sz w:val="20"/>
                <w:szCs w:val="21"/>
              </w:rPr>
              <w:t>保持稳定</w:t>
            </w:r>
          </w:p>
        </w:tc>
      </w:tr>
      <w:tr w14:paraId="33D33D51">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1A923C4E">
            <w:pPr>
              <w:spacing w:line="240" w:lineRule="auto"/>
              <w:ind w:firstLine="0" w:firstLineChars="0"/>
              <w:jc w:val="center"/>
              <w:rPr>
                <w:rFonts w:eastAsia="仿宋" w:cs="Times New Roman"/>
                <w:sz w:val="21"/>
                <w:lang w:bidi="zh-CN"/>
              </w:rPr>
            </w:pPr>
            <w:r>
              <w:rPr>
                <w:rFonts w:eastAsia="仿宋" w:cs="Times New Roman"/>
                <w:sz w:val="21"/>
                <w:lang w:bidi="zh-CN"/>
              </w:rPr>
              <w:t>林地</w:t>
            </w:r>
          </w:p>
        </w:tc>
        <w:tc>
          <w:tcPr>
            <w:tcW w:w="1075" w:type="pct"/>
            <w:tcBorders>
              <w:top w:val="nil"/>
              <w:left w:val="single" w:color="000000" w:sz="8" w:space="0"/>
              <w:bottom w:val="single" w:color="000000" w:sz="8" w:space="0"/>
              <w:right w:val="single" w:color="000000" w:sz="8" w:space="0"/>
            </w:tcBorders>
            <w:noWrap/>
            <w:vAlign w:val="center"/>
          </w:tcPr>
          <w:p w14:paraId="77204038">
            <w:pPr>
              <w:spacing w:line="240" w:lineRule="auto"/>
              <w:ind w:firstLine="0" w:firstLineChars="0"/>
              <w:jc w:val="center"/>
              <w:rPr>
                <w:rFonts w:eastAsia="仿宋" w:cs="Times New Roman"/>
                <w:sz w:val="21"/>
                <w:lang w:bidi="zh-CN"/>
              </w:rPr>
            </w:pPr>
            <w:r>
              <w:rPr>
                <w:rFonts w:eastAsia="仿宋" w:cs="Times New Roman"/>
                <w:sz w:val="21"/>
                <w:lang w:bidi="zh-CN"/>
              </w:rPr>
              <w:t xml:space="preserve">17842.93 </w:t>
            </w:r>
          </w:p>
        </w:tc>
        <w:tc>
          <w:tcPr>
            <w:tcW w:w="1165" w:type="pct"/>
            <w:gridSpan w:val="2"/>
            <w:tcBorders>
              <w:top w:val="nil"/>
              <w:left w:val="single" w:color="000000" w:sz="8" w:space="0"/>
              <w:bottom w:val="single" w:color="000000" w:sz="8" w:space="0"/>
              <w:right w:val="single" w:color="000000" w:sz="8" w:space="0"/>
            </w:tcBorders>
            <w:vAlign w:val="center"/>
          </w:tcPr>
          <w:p w14:paraId="2B4C93EA">
            <w:pPr>
              <w:spacing w:line="240" w:lineRule="auto"/>
              <w:ind w:firstLine="0" w:firstLineChars="0"/>
              <w:jc w:val="center"/>
              <w:rPr>
                <w:rFonts w:cs="Times New Roman"/>
              </w:rPr>
            </w:pPr>
            <w:r>
              <w:rPr>
                <w:rFonts w:cs="Times New Roman"/>
                <w:kern w:val="21"/>
                <w:sz w:val="20"/>
                <w:szCs w:val="21"/>
              </w:rPr>
              <w:t>保持稳定</w:t>
            </w:r>
          </w:p>
        </w:tc>
      </w:tr>
      <w:tr w14:paraId="5D41ECC0">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49E426F0">
            <w:pPr>
              <w:spacing w:line="240" w:lineRule="auto"/>
              <w:ind w:firstLine="0" w:firstLineChars="0"/>
              <w:jc w:val="center"/>
              <w:rPr>
                <w:rFonts w:eastAsia="仿宋" w:cs="Times New Roman"/>
                <w:sz w:val="21"/>
                <w:lang w:bidi="zh-CN"/>
              </w:rPr>
            </w:pPr>
            <w:r>
              <w:rPr>
                <w:rFonts w:eastAsia="仿宋" w:cs="Times New Roman"/>
                <w:sz w:val="21"/>
                <w:lang w:bidi="zh-CN"/>
              </w:rPr>
              <w:t>草地</w:t>
            </w:r>
          </w:p>
        </w:tc>
        <w:tc>
          <w:tcPr>
            <w:tcW w:w="1075" w:type="pct"/>
            <w:tcBorders>
              <w:top w:val="nil"/>
              <w:left w:val="single" w:color="000000" w:sz="8" w:space="0"/>
              <w:bottom w:val="single" w:color="000000" w:sz="8" w:space="0"/>
              <w:right w:val="single" w:color="000000" w:sz="8" w:space="0"/>
            </w:tcBorders>
            <w:noWrap/>
            <w:vAlign w:val="center"/>
          </w:tcPr>
          <w:p w14:paraId="50B6AF36">
            <w:pPr>
              <w:spacing w:line="240" w:lineRule="auto"/>
              <w:ind w:firstLine="0" w:firstLineChars="0"/>
              <w:jc w:val="center"/>
              <w:rPr>
                <w:rFonts w:eastAsia="仿宋" w:cs="Times New Roman"/>
                <w:sz w:val="21"/>
                <w:lang w:bidi="zh-CN"/>
              </w:rPr>
            </w:pPr>
            <w:r>
              <w:rPr>
                <w:rFonts w:eastAsia="仿宋" w:cs="Times New Roman"/>
                <w:sz w:val="21"/>
                <w:lang w:bidi="zh-CN"/>
              </w:rPr>
              <w:t xml:space="preserve">54.94 </w:t>
            </w:r>
          </w:p>
        </w:tc>
        <w:tc>
          <w:tcPr>
            <w:tcW w:w="1165" w:type="pct"/>
            <w:gridSpan w:val="2"/>
            <w:tcBorders>
              <w:top w:val="nil"/>
              <w:left w:val="single" w:color="000000" w:sz="8" w:space="0"/>
              <w:bottom w:val="single" w:color="000000" w:sz="8" w:space="0"/>
              <w:right w:val="single" w:color="000000" w:sz="8" w:space="0"/>
            </w:tcBorders>
            <w:vAlign w:val="center"/>
          </w:tcPr>
          <w:p w14:paraId="0B6C8549">
            <w:pPr>
              <w:spacing w:line="240" w:lineRule="auto"/>
              <w:ind w:firstLine="0" w:firstLineChars="0"/>
              <w:jc w:val="center"/>
              <w:rPr>
                <w:rFonts w:cs="Times New Roman"/>
              </w:rPr>
            </w:pPr>
            <w:r>
              <w:rPr>
                <w:rFonts w:cs="Times New Roman"/>
                <w:kern w:val="21"/>
                <w:sz w:val="20"/>
                <w:szCs w:val="21"/>
              </w:rPr>
              <w:t>总体略有下降（其中天然牧草地保持稳定）</w:t>
            </w:r>
          </w:p>
        </w:tc>
      </w:tr>
      <w:tr w14:paraId="7B03614A">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45247A89">
            <w:pPr>
              <w:spacing w:line="240" w:lineRule="auto"/>
              <w:ind w:firstLine="0" w:firstLineChars="0"/>
              <w:jc w:val="center"/>
              <w:rPr>
                <w:rFonts w:eastAsia="仿宋" w:cs="Times New Roman"/>
                <w:sz w:val="21"/>
                <w:lang w:bidi="zh-CN"/>
              </w:rPr>
            </w:pPr>
            <w:r>
              <w:rPr>
                <w:rFonts w:eastAsia="仿宋" w:cs="Times New Roman"/>
                <w:sz w:val="21"/>
                <w:lang w:bidi="zh-CN"/>
              </w:rPr>
              <w:t>湿地</w:t>
            </w:r>
          </w:p>
        </w:tc>
        <w:tc>
          <w:tcPr>
            <w:tcW w:w="1075" w:type="pct"/>
            <w:tcBorders>
              <w:top w:val="nil"/>
              <w:left w:val="single" w:color="000000" w:sz="8" w:space="0"/>
              <w:bottom w:val="single" w:color="000000" w:sz="8" w:space="0"/>
              <w:right w:val="single" w:color="000000" w:sz="8" w:space="0"/>
            </w:tcBorders>
            <w:noWrap/>
            <w:vAlign w:val="center"/>
          </w:tcPr>
          <w:p w14:paraId="237DAC1E">
            <w:pPr>
              <w:spacing w:line="240" w:lineRule="auto"/>
              <w:ind w:firstLine="0" w:firstLineChars="0"/>
              <w:jc w:val="center"/>
              <w:rPr>
                <w:rFonts w:eastAsia="仿宋" w:cs="Times New Roman"/>
                <w:sz w:val="21"/>
                <w:lang w:bidi="zh-CN"/>
              </w:rPr>
            </w:pPr>
            <w:r>
              <w:rPr>
                <w:rFonts w:eastAsia="仿宋" w:cs="Times New Roman"/>
                <w:sz w:val="21"/>
                <w:lang w:bidi="zh-CN"/>
              </w:rPr>
              <w:t xml:space="preserve">122.67 </w:t>
            </w:r>
          </w:p>
        </w:tc>
        <w:tc>
          <w:tcPr>
            <w:tcW w:w="1165" w:type="pct"/>
            <w:gridSpan w:val="2"/>
            <w:tcBorders>
              <w:top w:val="nil"/>
              <w:left w:val="single" w:color="000000" w:sz="8" w:space="0"/>
              <w:bottom w:val="single" w:color="000000" w:sz="8" w:space="0"/>
              <w:right w:val="single" w:color="000000" w:sz="8" w:space="0"/>
            </w:tcBorders>
            <w:vAlign w:val="center"/>
          </w:tcPr>
          <w:p w14:paraId="2740C647">
            <w:pPr>
              <w:spacing w:line="240" w:lineRule="auto"/>
              <w:ind w:firstLine="0" w:firstLineChars="0"/>
              <w:jc w:val="center"/>
              <w:rPr>
                <w:rFonts w:cs="Times New Roman"/>
              </w:rPr>
            </w:pPr>
            <w:r>
              <w:rPr>
                <w:rFonts w:cs="Times New Roman"/>
                <w:kern w:val="21"/>
                <w:sz w:val="20"/>
                <w:szCs w:val="21"/>
              </w:rPr>
              <w:t>保持稳定</w:t>
            </w:r>
          </w:p>
        </w:tc>
      </w:tr>
      <w:tr w14:paraId="50F9432F">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4BB8495F">
            <w:pPr>
              <w:spacing w:line="240" w:lineRule="auto"/>
              <w:ind w:firstLine="0" w:firstLineChars="0"/>
              <w:jc w:val="center"/>
              <w:rPr>
                <w:rFonts w:eastAsia="仿宋" w:cs="Times New Roman"/>
                <w:sz w:val="21"/>
                <w:lang w:bidi="zh-CN"/>
              </w:rPr>
            </w:pPr>
            <w:r>
              <w:rPr>
                <w:rFonts w:eastAsia="仿宋" w:cs="Times New Roman"/>
                <w:sz w:val="21"/>
                <w:lang w:bidi="zh-CN"/>
              </w:rPr>
              <w:t>农业设施建设用地</w:t>
            </w:r>
          </w:p>
        </w:tc>
        <w:tc>
          <w:tcPr>
            <w:tcW w:w="1075" w:type="pct"/>
            <w:tcBorders>
              <w:top w:val="nil"/>
              <w:left w:val="single" w:color="000000" w:sz="8" w:space="0"/>
              <w:bottom w:val="single" w:color="000000" w:sz="8" w:space="0"/>
              <w:right w:val="single" w:color="000000" w:sz="8" w:space="0"/>
            </w:tcBorders>
            <w:noWrap/>
            <w:vAlign w:val="center"/>
          </w:tcPr>
          <w:p w14:paraId="77E39428">
            <w:pPr>
              <w:spacing w:line="240" w:lineRule="auto"/>
              <w:ind w:firstLine="0" w:firstLineChars="0"/>
              <w:jc w:val="center"/>
              <w:rPr>
                <w:rFonts w:eastAsia="仿宋" w:cs="Times New Roman"/>
                <w:sz w:val="21"/>
                <w:lang w:bidi="zh-CN"/>
              </w:rPr>
            </w:pPr>
            <w:r>
              <w:rPr>
                <w:rFonts w:eastAsia="仿宋" w:cs="Times New Roman"/>
                <w:sz w:val="21"/>
                <w:lang w:bidi="zh-CN"/>
              </w:rPr>
              <w:t xml:space="preserve">11.69 </w:t>
            </w:r>
          </w:p>
        </w:tc>
        <w:tc>
          <w:tcPr>
            <w:tcW w:w="1165" w:type="pct"/>
            <w:gridSpan w:val="2"/>
            <w:tcBorders>
              <w:top w:val="nil"/>
              <w:left w:val="single" w:color="000000" w:sz="8" w:space="0"/>
              <w:bottom w:val="single" w:color="000000" w:sz="8" w:space="0"/>
              <w:right w:val="single" w:color="000000" w:sz="8" w:space="0"/>
            </w:tcBorders>
            <w:vAlign w:val="center"/>
          </w:tcPr>
          <w:p w14:paraId="70B7A9C8">
            <w:pPr>
              <w:spacing w:line="240" w:lineRule="auto"/>
              <w:ind w:firstLine="0" w:firstLineChars="0"/>
              <w:jc w:val="center"/>
              <w:rPr>
                <w:rFonts w:cs="Times New Roman"/>
              </w:rPr>
            </w:pPr>
            <w:r>
              <w:rPr>
                <w:rFonts w:cs="Times New Roman"/>
                <w:kern w:val="21"/>
                <w:sz w:val="20"/>
                <w:szCs w:val="21"/>
              </w:rPr>
              <w:t>保持稳定</w:t>
            </w:r>
          </w:p>
        </w:tc>
      </w:tr>
      <w:tr w14:paraId="751C1638">
        <w:tblPrEx>
          <w:tblCellMar>
            <w:top w:w="0" w:type="dxa"/>
            <w:left w:w="108" w:type="dxa"/>
            <w:bottom w:w="0" w:type="dxa"/>
            <w:right w:w="108" w:type="dxa"/>
          </w:tblCellMar>
        </w:tblPrEx>
        <w:trPr>
          <w:trHeight w:val="20" w:hRule="atLeast"/>
        </w:trPr>
        <w:tc>
          <w:tcPr>
            <w:tcW w:w="1256" w:type="pct"/>
            <w:vMerge w:val="restart"/>
            <w:tcBorders>
              <w:top w:val="nil"/>
              <w:left w:val="single" w:color="000000" w:sz="8" w:space="0"/>
              <w:bottom w:val="single" w:color="000000" w:sz="8" w:space="0"/>
              <w:right w:val="single" w:color="000000" w:sz="8" w:space="0"/>
            </w:tcBorders>
            <w:vAlign w:val="center"/>
          </w:tcPr>
          <w:p w14:paraId="059340B6">
            <w:pPr>
              <w:spacing w:line="240" w:lineRule="auto"/>
              <w:ind w:firstLine="0" w:firstLineChars="0"/>
              <w:jc w:val="center"/>
              <w:rPr>
                <w:rFonts w:eastAsia="仿宋" w:cs="Times New Roman"/>
                <w:sz w:val="21"/>
                <w:lang w:bidi="zh-CN"/>
              </w:rPr>
            </w:pPr>
            <w:r>
              <w:rPr>
                <w:rFonts w:eastAsia="仿宋" w:cs="Times New Roman"/>
                <w:sz w:val="21"/>
                <w:lang w:bidi="zh-CN"/>
              </w:rPr>
              <w:t>城乡建设用地</w:t>
            </w:r>
          </w:p>
        </w:tc>
        <w:tc>
          <w:tcPr>
            <w:tcW w:w="1504" w:type="pct"/>
            <w:tcBorders>
              <w:top w:val="nil"/>
              <w:left w:val="single" w:color="000000" w:sz="8" w:space="0"/>
              <w:bottom w:val="single" w:color="000000" w:sz="8" w:space="0"/>
              <w:right w:val="single" w:color="000000" w:sz="8" w:space="0"/>
            </w:tcBorders>
            <w:vAlign w:val="center"/>
          </w:tcPr>
          <w:p w14:paraId="7D264966">
            <w:pPr>
              <w:spacing w:line="240" w:lineRule="auto"/>
              <w:ind w:firstLine="0" w:firstLineChars="0"/>
              <w:jc w:val="center"/>
              <w:rPr>
                <w:rFonts w:eastAsia="仿宋" w:cs="Times New Roman"/>
                <w:sz w:val="21"/>
                <w:lang w:bidi="zh-CN"/>
              </w:rPr>
            </w:pPr>
            <w:r>
              <w:rPr>
                <w:rFonts w:eastAsia="仿宋" w:cs="Times New Roman"/>
                <w:sz w:val="21"/>
                <w:lang w:bidi="zh-CN"/>
              </w:rPr>
              <w:t>城镇建设用地</w:t>
            </w:r>
          </w:p>
        </w:tc>
        <w:tc>
          <w:tcPr>
            <w:tcW w:w="1075" w:type="pct"/>
            <w:tcBorders>
              <w:top w:val="nil"/>
              <w:left w:val="single" w:color="000000" w:sz="8" w:space="0"/>
              <w:bottom w:val="single" w:color="000000" w:sz="8" w:space="0"/>
              <w:right w:val="single" w:color="000000" w:sz="8" w:space="0"/>
            </w:tcBorders>
            <w:noWrap/>
            <w:vAlign w:val="center"/>
          </w:tcPr>
          <w:p w14:paraId="40DAD29A">
            <w:pPr>
              <w:spacing w:line="240" w:lineRule="auto"/>
              <w:ind w:firstLine="0" w:firstLineChars="0"/>
              <w:jc w:val="center"/>
              <w:rPr>
                <w:rFonts w:eastAsia="仿宋" w:cs="Times New Roman"/>
                <w:sz w:val="21"/>
                <w:lang w:bidi="zh-CN"/>
              </w:rPr>
            </w:pPr>
            <w:r>
              <w:rPr>
                <w:rFonts w:eastAsia="仿宋" w:cs="Times New Roman"/>
                <w:sz w:val="21"/>
                <w:lang w:bidi="zh-CN"/>
              </w:rPr>
              <w:t>0.00</w:t>
            </w:r>
          </w:p>
        </w:tc>
        <w:tc>
          <w:tcPr>
            <w:tcW w:w="1165" w:type="pct"/>
            <w:gridSpan w:val="2"/>
            <w:tcBorders>
              <w:top w:val="nil"/>
              <w:left w:val="single" w:color="000000" w:sz="8" w:space="0"/>
              <w:bottom w:val="single" w:color="000000" w:sz="8" w:space="0"/>
              <w:right w:val="single" w:color="000000" w:sz="8" w:space="0"/>
            </w:tcBorders>
            <w:vAlign w:val="center"/>
          </w:tcPr>
          <w:p w14:paraId="25CE4439">
            <w:pPr>
              <w:spacing w:line="240" w:lineRule="auto"/>
              <w:ind w:firstLine="0" w:firstLineChars="0"/>
              <w:jc w:val="center"/>
              <w:rPr>
                <w:rFonts w:cs="Times New Roman"/>
              </w:rPr>
            </w:pPr>
            <w:r>
              <w:rPr>
                <w:rFonts w:cs="Times New Roman"/>
                <w:kern w:val="21"/>
                <w:sz w:val="20"/>
                <w:szCs w:val="21"/>
              </w:rPr>
              <w:t>持续增加</w:t>
            </w:r>
          </w:p>
        </w:tc>
      </w:tr>
      <w:tr w14:paraId="6477B4CA">
        <w:tblPrEx>
          <w:tblCellMar>
            <w:top w:w="0" w:type="dxa"/>
            <w:left w:w="108" w:type="dxa"/>
            <w:bottom w:w="0" w:type="dxa"/>
            <w:right w:w="108" w:type="dxa"/>
          </w:tblCellMar>
        </w:tblPrEx>
        <w:trPr>
          <w:trHeight w:val="20" w:hRule="atLeast"/>
        </w:trPr>
        <w:tc>
          <w:tcPr>
            <w:tcW w:w="1256" w:type="pct"/>
            <w:vMerge w:val="continue"/>
            <w:tcBorders>
              <w:top w:val="nil"/>
              <w:left w:val="single" w:color="000000" w:sz="8" w:space="0"/>
              <w:bottom w:val="single" w:color="000000" w:sz="8" w:space="0"/>
              <w:right w:val="single" w:color="000000" w:sz="8" w:space="0"/>
            </w:tcBorders>
            <w:vAlign w:val="center"/>
          </w:tcPr>
          <w:p w14:paraId="518D688A">
            <w:pPr>
              <w:spacing w:line="240" w:lineRule="auto"/>
              <w:ind w:firstLine="0" w:firstLineChars="0"/>
              <w:jc w:val="center"/>
              <w:rPr>
                <w:rFonts w:eastAsia="仿宋" w:cs="Times New Roman"/>
                <w:sz w:val="21"/>
                <w:lang w:bidi="zh-CN"/>
              </w:rPr>
            </w:pPr>
          </w:p>
        </w:tc>
        <w:tc>
          <w:tcPr>
            <w:tcW w:w="1504" w:type="pct"/>
            <w:tcBorders>
              <w:top w:val="nil"/>
              <w:left w:val="single" w:color="000000" w:sz="8" w:space="0"/>
              <w:bottom w:val="single" w:color="000000" w:sz="8" w:space="0"/>
              <w:right w:val="single" w:color="000000" w:sz="8" w:space="0"/>
            </w:tcBorders>
            <w:vAlign w:val="center"/>
          </w:tcPr>
          <w:p w14:paraId="38F05C43">
            <w:pPr>
              <w:spacing w:line="240" w:lineRule="auto"/>
              <w:ind w:firstLine="0" w:firstLineChars="0"/>
              <w:jc w:val="center"/>
              <w:rPr>
                <w:rFonts w:eastAsia="仿宋" w:cs="Times New Roman"/>
                <w:sz w:val="21"/>
                <w:lang w:bidi="zh-CN"/>
              </w:rPr>
            </w:pPr>
            <w:r>
              <w:rPr>
                <w:rFonts w:eastAsia="仿宋" w:cs="Times New Roman"/>
                <w:sz w:val="21"/>
                <w:lang w:bidi="zh-CN"/>
              </w:rPr>
              <w:t>村庄建设用地</w:t>
            </w:r>
          </w:p>
        </w:tc>
        <w:tc>
          <w:tcPr>
            <w:tcW w:w="1075" w:type="pct"/>
            <w:tcBorders>
              <w:top w:val="nil"/>
              <w:left w:val="single" w:color="000000" w:sz="8" w:space="0"/>
              <w:bottom w:val="single" w:color="000000" w:sz="8" w:space="0"/>
              <w:right w:val="single" w:color="000000" w:sz="8" w:space="0"/>
            </w:tcBorders>
            <w:noWrap/>
            <w:vAlign w:val="center"/>
          </w:tcPr>
          <w:p w14:paraId="78103FEB">
            <w:pPr>
              <w:spacing w:line="240" w:lineRule="auto"/>
              <w:ind w:firstLine="0" w:firstLineChars="0"/>
              <w:jc w:val="center"/>
              <w:rPr>
                <w:rFonts w:eastAsia="仿宋" w:cs="Times New Roman"/>
                <w:sz w:val="21"/>
                <w:lang w:bidi="zh-CN"/>
              </w:rPr>
            </w:pPr>
            <w:r>
              <w:rPr>
                <w:rFonts w:eastAsia="仿宋" w:cs="Times New Roman"/>
                <w:sz w:val="21"/>
                <w:lang w:bidi="zh-CN"/>
              </w:rPr>
              <w:t xml:space="preserve">303.33 </w:t>
            </w:r>
          </w:p>
        </w:tc>
        <w:tc>
          <w:tcPr>
            <w:tcW w:w="1165" w:type="pct"/>
            <w:gridSpan w:val="2"/>
            <w:tcBorders>
              <w:top w:val="nil"/>
              <w:left w:val="single" w:color="000000" w:sz="8" w:space="0"/>
              <w:bottom w:val="single" w:color="000000" w:sz="8" w:space="0"/>
              <w:right w:val="single" w:color="000000" w:sz="8" w:space="0"/>
            </w:tcBorders>
            <w:vAlign w:val="center"/>
          </w:tcPr>
          <w:p w14:paraId="22710273">
            <w:pPr>
              <w:spacing w:line="240" w:lineRule="auto"/>
              <w:ind w:firstLine="0" w:firstLineChars="0"/>
              <w:jc w:val="center"/>
              <w:rPr>
                <w:rFonts w:cs="Times New Roman"/>
              </w:rPr>
            </w:pPr>
            <w:r>
              <w:rPr>
                <w:rFonts w:cs="Times New Roman"/>
                <w:kern w:val="21"/>
                <w:sz w:val="20"/>
                <w:szCs w:val="21"/>
              </w:rPr>
              <w:t>持续增加</w:t>
            </w:r>
          </w:p>
        </w:tc>
      </w:tr>
      <w:tr w14:paraId="288032BE">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5F5FA05E">
            <w:pPr>
              <w:spacing w:line="240" w:lineRule="auto"/>
              <w:ind w:firstLine="0" w:firstLineChars="0"/>
              <w:jc w:val="center"/>
              <w:rPr>
                <w:rFonts w:eastAsia="仿宋" w:cs="Times New Roman"/>
                <w:sz w:val="21"/>
                <w:lang w:bidi="zh-CN"/>
              </w:rPr>
            </w:pPr>
            <w:r>
              <w:rPr>
                <w:rFonts w:eastAsia="仿宋" w:cs="Times New Roman"/>
                <w:sz w:val="21"/>
                <w:lang w:bidi="zh-CN"/>
              </w:rPr>
              <w:t>区域基础设施用地</w:t>
            </w:r>
          </w:p>
        </w:tc>
        <w:tc>
          <w:tcPr>
            <w:tcW w:w="1075" w:type="pct"/>
            <w:tcBorders>
              <w:top w:val="nil"/>
              <w:left w:val="single" w:color="000000" w:sz="8" w:space="0"/>
              <w:bottom w:val="single" w:color="000000" w:sz="8" w:space="0"/>
              <w:right w:val="single" w:color="000000" w:sz="8" w:space="0"/>
            </w:tcBorders>
            <w:noWrap/>
            <w:vAlign w:val="center"/>
          </w:tcPr>
          <w:p w14:paraId="72982111">
            <w:pPr>
              <w:spacing w:line="240" w:lineRule="auto"/>
              <w:ind w:firstLine="0" w:firstLineChars="0"/>
              <w:jc w:val="center"/>
              <w:rPr>
                <w:rFonts w:eastAsia="仿宋" w:cs="Times New Roman"/>
                <w:sz w:val="21"/>
                <w:lang w:bidi="zh-CN"/>
              </w:rPr>
            </w:pPr>
            <w:r>
              <w:rPr>
                <w:rFonts w:eastAsia="仿宋" w:cs="Times New Roman"/>
                <w:sz w:val="21"/>
                <w:lang w:bidi="zh-CN"/>
              </w:rPr>
              <w:t xml:space="preserve">128.08 </w:t>
            </w:r>
          </w:p>
        </w:tc>
        <w:tc>
          <w:tcPr>
            <w:tcW w:w="1165" w:type="pct"/>
            <w:gridSpan w:val="2"/>
            <w:tcBorders>
              <w:top w:val="nil"/>
              <w:left w:val="single" w:color="000000" w:sz="8" w:space="0"/>
              <w:bottom w:val="single" w:color="000000" w:sz="8" w:space="0"/>
              <w:right w:val="single" w:color="000000" w:sz="8" w:space="0"/>
            </w:tcBorders>
            <w:vAlign w:val="center"/>
          </w:tcPr>
          <w:p w14:paraId="51399118">
            <w:pPr>
              <w:spacing w:line="240" w:lineRule="auto"/>
              <w:ind w:firstLine="0" w:firstLineChars="0"/>
              <w:jc w:val="center"/>
              <w:rPr>
                <w:rFonts w:cs="Times New Roman"/>
              </w:rPr>
            </w:pPr>
            <w:r>
              <w:rPr>
                <w:rFonts w:cs="Times New Roman"/>
                <w:kern w:val="21"/>
                <w:sz w:val="20"/>
                <w:szCs w:val="21"/>
              </w:rPr>
              <w:t>持续增加</w:t>
            </w:r>
          </w:p>
        </w:tc>
      </w:tr>
      <w:tr w14:paraId="7FD7F9E7">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59276183">
            <w:pPr>
              <w:spacing w:line="240" w:lineRule="auto"/>
              <w:ind w:firstLine="0" w:firstLineChars="0"/>
              <w:jc w:val="center"/>
              <w:rPr>
                <w:rFonts w:eastAsia="仿宋" w:cs="Times New Roman"/>
                <w:sz w:val="21"/>
                <w:lang w:bidi="zh-CN"/>
              </w:rPr>
            </w:pPr>
            <w:r>
              <w:rPr>
                <w:rFonts w:eastAsia="仿宋" w:cs="Times New Roman"/>
                <w:sz w:val="21"/>
                <w:lang w:bidi="zh-CN"/>
              </w:rPr>
              <w:t>其他建设用地</w:t>
            </w:r>
          </w:p>
        </w:tc>
        <w:tc>
          <w:tcPr>
            <w:tcW w:w="1075" w:type="pct"/>
            <w:tcBorders>
              <w:top w:val="nil"/>
              <w:left w:val="single" w:color="000000" w:sz="8" w:space="0"/>
              <w:bottom w:val="single" w:color="000000" w:sz="8" w:space="0"/>
              <w:right w:val="single" w:color="000000" w:sz="8" w:space="0"/>
            </w:tcBorders>
            <w:noWrap/>
            <w:vAlign w:val="center"/>
          </w:tcPr>
          <w:p w14:paraId="56D4CB29">
            <w:pPr>
              <w:spacing w:line="240" w:lineRule="auto"/>
              <w:ind w:firstLine="0" w:firstLineChars="0"/>
              <w:jc w:val="center"/>
              <w:rPr>
                <w:rFonts w:eastAsia="仿宋" w:cs="Times New Roman"/>
                <w:sz w:val="21"/>
                <w:lang w:bidi="zh-CN"/>
              </w:rPr>
            </w:pPr>
            <w:r>
              <w:rPr>
                <w:rFonts w:eastAsia="仿宋" w:cs="Times New Roman"/>
                <w:sz w:val="21"/>
                <w:lang w:bidi="zh-CN"/>
              </w:rPr>
              <w:t xml:space="preserve">97.97 </w:t>
            </w:r>
          </w:p>
        </w:tc>
        <w:tc>
          <w:tcPr>
            <w:tcW w:w="1165" w:type="pct"/>
            <w:gridSpan w:val="2"/>
            <w:tcBorders>
              <w:top w:val="nil"/>
              <w:left w:val="single" w:color="000000" w:sz="8" w:space="0"/>
              <w:bottom w:val="single" w:color="000000" w:sz="8" w:space="0"/>
              <w:right w:val="single" w:color="000000" w:sz="8" w:space="0"/>
            </w:tcBorders>
            <w:vAlign w:val="center"/>
          </w:tcPr>
          <w:p w14:paraId="3C82C54D">
            <w:pPr>
              <w:spacing w:line="240" w:lineRule="auto"/>
              <w:ind w:firstLine="0" w:firstLineChars="0"/>
              <w:jc w:val="center"/>
              <w:rPr>
                <w:rFonts w:cs="Times New Roman"/>
              </w:rPr>
            </w:pPr>
            <w:r>
              <w:rPr>
                <w:rFonts w:cs="Times New Roman"/>
                <w:kern w:val="21"/>
                <w:sz w:val="20"/>
                <w:szCs w:val="21"/>
              </w:rPr>
              <w:t>持续增加</w:t>
            </w:r>
          </w:p>
        </w:tc>
      </w:tr>
      <w:tr w14:paraId="0468E563">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000000" w:sz="8" w:space="0"/>
              <w:right w:val="single" w:color="000000" w:sz="8" w:space="0"/>
            </w:tcBorders>
            <w:vAlign w:val="center"/>
          </w:tcPr>
          <w:p w14:paraId="1B9B1871">
            <w:pPr>
              <w:spacing w:line="240" w:lineRule="auto"/>
              <w:ind w:firstLine="0" w:firstLineChars="0"/>
              <w:jc w:val="center"/>
              <w:rPr>
                <w:rFonts w:eastAsia="仿宋" w:cs="Times New Roman"/>
                <w:sz w:val="21"/>
                <w:lang w:bidi="zh-CN"/>
              </w:rPr>
            </w:pPr>
            <w:r>
              <w:rPr>
                <w:rFonts w:eastAsia="仿宋" w:cs="Times New Roman"/>
                <w:sz w:val="21"/>
                <w:lang w:bidi="zh-CN"/>
              </w:rPr>
              <w:t>陆地水域</w:t>
            </w:r>
          </w:p>
        </w:tc>
        <w:tc>
          <w:tcPr>
            <w:tcW w:w="1075" w:type="pct"/>
            <w:tcBorders>
              <w:top w:val="nil"/>
              <w:left w:val="single" w:color="000000" w:sz="8" w:space="0"/>
              <w:bottom w:val="single" w:color="000000" w:sz="8" w:space="0"/>
              <w:right w:val="single" w:color="000000" w:sz="8" w:space="0"/>
            </w:tcBorders>
            <w:noWrap/>
            <w:vAlign w:val="center"/>
          </w:tcPr>
          <w:p w14:paraId="280574E7">
            <w:pPr>
              <w:spacing w:line="240" w:lineRule="auto"/>
              <w:ind w:firstLine="0" w:firstLineChars="0"/>
              <w:jc w:val="center"/>
              <w:rPr>
                <w:rFonts w:eastAsia="仿宋" w:cs="Times New Roman"/>
                <w:sz w:val="21"/>
                <w:lang w:bidi="zh-CN"/>
              </w:rPr>
            </w:pPr>
            <w:r>
              <w:rPr>
                <w:rFonts w:eastAsia="仿宋" w:cs="Times New Roman"/>
                <w:sz w:val="21"/>
                <w:lang w:bidi="zh-CN"/>
              </w:rPr>
              <w:t xml:space="preserve">1041.62 </w:t>
            </w:r>
          </w:p>
        </w:tc>
        <w:tc>
          <w:tcPr>
            <w:tcW w:w="1165" w:type="pct"/>
            <w:gridSpan w:val="2"/>
            <w:tcBorders>
              <w:top w:val="nil"/>
              <w:left w:val="single" w:color="000000" w:sz="8" w:space="0"/>
              <w:bottom w:val="single" w:color="000000" w:sz="8" w:space="0"/>
              <w:right w:val="single" w:color="000000" w:sz="8" w:space="0"/>
            </w:tcBorders>
            <w:vAlign w:val="center"/>
          </w:tcPr>
          <w:p w14:paraId="74629130">
            <w:pPr>
              <w:spacing w:line="240" w:lineRule="auto"/>
              <w:ind w:firstLine="0" w:firstLineChars="0"/>
              <w:jc w:val="center"/>
              <w:rPr>
                <w:rFonts w:cs="Times New Roman"/>
              </w:rPr>
            </w:pPr>
            <w:r>
              <w:rPr>
                <w:rFonts w:cs="Times New Roman"/>
                <w:kern w:val="21"/>
                <w:sz w:val="20"/>
                <w:szCs w:val="21"/>
              </w:rPr>
              <w:t>保持稳定</w:t>
            </w:r>
          </w:p>
        </w:tc>
      </w:tr>
      <w:tr w14:paraId="49DE1600">
        <w:tblPrEx>
          <w:tblCellMar>
            <w:top w:w="0" w:type="dxa"/>
            <w:left w:w="108" w:type="dxa"/>
            <w:bottom w:w="0" w:type="dxa"/>
            <w:right w:w="108" w:type="dxa"/>
          </w:tblCellMar>
        </w:tblPrEx>
        <w:trPr>
          <w:trHeight w:val="20" w:hRule="atLeast"/>
        </w:trPr>
        <w:tc>
          <w:tcPr>
            <w:tcW w:w="2760" w:type="pct"/>
            <w:gridSpan w:val="2"/>
            <w:tcBorders>
              <w:top w:val="nil"/>
              <w:left w:val="single" w:color="000000" w:sz="8" w:space="0"/>
              <w:bottom w:val="single" w:color="auto" w:sz="4" w:space="0"/>
              <w:right w:val="single" w:color="000000" w:sz="8" w:space="0"/>
            </w:tcBorders>
            <w:noWrap/>
            <w:vAlign w:val="center"/>
          </w:tcPr>
          <w:p w14:paraId="4734BFAF">
            <w:pPr>
              <w:spacing w:line="240" w:lineRule="auto"/>
              <w:ind w:firstLine="0" w:firstLineChars="0"/>
              <w:jc w:val="center"/>
              <w:rPr>
                <w:rFonts w:eastAsia="仿宋" w:cs="Times New Roman"/>
                <w:sz w:val="21"/>
                <w:lang w:bidi="zh-CN"/>
              </w:rPr>
            </w:pPr>
            <w:r>
              <w:rPr>
                <w:rFonts w:eastAsia="仿宋" w:cs="Times New Roman"/>
                <w:sz w:val="21"/>
                <w:lang w:bidi="zh-CN"/>
              </w:rPr>
              <w:t>其他土地</w:t>
            </w:r>
          </w:p>
        </w:tc>
        <w:tc>
          <w:tcPr>
            <w:tcW w:w="1075" w:type="pct"/>
            <w:tcBorders>
              <w:top w:val="nil"/>
              <w:left w:val="single" w:color="000000" w:sz="8" w:space="0"/>
              <w:bottom w:val="single" w:color="auto" w:sz="4" w:space="0"/>
              <w:right w:val="single" w:color="000000" w:sz="8" w:space="0"/>
            </w:tcBorders>
            <w:noWrap/>
            <w:vAlign w:val="center"/>
          </w:tcPr>
          <w:p w14:paraId="4DAA89AB">
            <w:pPr>
              <w:spacing w:line="240" w:lineRule="auto"/>
              <w:ind w:firstLine="0" w:firstLineChars="0"/>
              <w:jc w:val="center"/>
              <w:rPr>
                <w:rFonts w:eastAsia="仿宋" w:cs="Times New Roman"/>
                <w:sz w:val="21"/>
                <w:lang w:bidi="zh-CN"/>
              </w:rPr>
            </w:pPr>
            <w:r>
              <w:rPr>
                <w:rFonts w:eastAsia="仿宋" w:cs="Times New Roman"/>
                <w:sz w:val="21"/>
                <w:lang w:bidi="zh-CN"/>
              </w:rPr>
              <w:t xml:space="preserve">5.72 </w:t>
            </w:r>
          </w:p>
        </w:tc>
        <w:tc>
          <w:tcPr>
            <w:tcW w:w="1165" w:type="pct"/>
            <w:gridSpan w:val="2"/>
            <w:tcBorders>
              <w:top w:val="nil"/>
              <w:left w:val="single" w:color="000000" w:sz="8" w:space="0"/>
              <w:bottom w:val="single" w:color="auto" w:sz="4" w:space="0"/>
              <w:right w:val="single" w:color="000000" w:sz="8" w:space="0"/>
            </w:tcBorders>
            <w:vAlign w:val="center"/>
          </w:tcPr>
          <w:p w14:paraId="227050F2">
            <w:pPr>
              <w:spacing w:line="240" w:lineRule="auto"/>
              <w:ind w:firstLine="0" w:firstLineChars="0"/>
              <w:jc w:val="center"/>
              <w:rPr>
                <w:rFonts w:cs="Times New Roman"/>
              </w:rPr>
            </w:pPr>
            <w:r>
              <w:rPr>
                <w:rFonts w:cs="Times New Roman"/>
                <w:kern w:val="21"/>
                <w:sz w:val="20"/>
                <w:szCs w:val="21"/>
              </w:rPr>
              <w:t>保持稳定</w:t>
            </w:r>
          </w:p>
        </w:tc>
      </w:tr>
      <w:tr w14:paraId="4E95A04B">
        <w:tblPrEx>
          <w:tblCellMar>
            <w:top w:w="0" w:type="dxa"/>
            <w:left w:w="108" w:type="dxa"/>
            <w:bottom w:w="0" w:type="dxa"/>
            <w:right w:w="108" w:type="dxa"/>
          </w:tblCellMar>
        </w:tblPrEx>
        <w:trPr>
          <w:trHeight w:val="20" w:hRule="atLeast"/>
        </w:trPr>
        <w:tc>
          <w:tcPr>
            <w:tcW w:w="2760" w:type="pct"/>
            <w:gridSpan w:val="2"/>
            <w:tcBorders>
              <w:top w:val="single" w:color="auto" w:sz="4" w:space="0"/>
              <w:left w:val="single" w:color="000000" w:sz="8" w:space="0"/>
              <w:bottom w:val="single" w:color="000000" w:sz="8" w:space="0"/>
              <w:right w:val="single" w:color="000000" w:sz="8" w:space="0"/>
            </w:tcBorders>
            <w:noWrap/>
            <w:vAlign w:val="center"/>
          </w:tcPr>
          <w:p w14:paraId="67FEDFC8">
            <w:pPr>
              <w:spacing w:line="240" w:lineRule="auto"/>
              <w:ind w:firstLine="0" w:firstLineChars="0"/>
              <w:jc w:val="center"/>
              <w:rPr>
                <w:rFonts w:eastAsia="仿宋" w:cs="Times New Roman"/>
                <w:b/>
                <w:bCs/>
                <w:sz w:val="21"/>
                <w:lang w:bidi="zh-CN"/>
              </w:rPr>
            </w:pPr>
            <w:r>
              <w:rPr>
                <w:rFonts w:eastAsia="仿宋" w:cs="Times New Roman"/>
                <w:b/>
                <w:bCs/>
                <w:sz w:val="21"/>
                <w:lang w:bidi="zh-CN"/>
              </w:rPr>
              <w:t>合计</w:t>
            </w:r>
          </w:p>
        </w:tc>
        <w:tc>
          <w:tcPr>
            <w:tcW w:w="1075" w:type="pct"/>
            <w:tcBorders>
              <w:top w:val="single" w:color="auto" w:sz="4" w:space="0"/>
              <w:left w:val="single" w:color="000000" w:sz="8" w:space="0"/>
              <w:bottom w:val="single" w:color="000000" w:sz="8" w:space="0"/>
              <w:right w:val="single" w:color="000000" w:sz="8" w:space="0"/>
            </w:tcBorders>
            <w:noWrap/>
            <w:vAlign w:val="center"/>
          </w:tcPr>
          <w:p w14:paraId="37DBD712">
            <w:pPr>
              <w:spacing w:line="240" w:lineRule="auto"/>
              <w:ind w:firstLine="0" w:firstLineChars="0"/>
              <w:jc w:val="center"/>
              <w:rPr>
                <w:rFonts w:eastAsia="仿宋" w:cs="Times New Roman"/>
                <w:sz w:val="21"/>
                <w:lang w:bidi="zh-CN"/>
              </w:rPr>
            </w:pPr>
            <w:r>
              <w:rPr>
                <w:rFonts w:eastAsia="仿宋" w:cs="Times New Roman"/>
                <w:sz w:val="21"/>
                <w:lang w:bidi="zh-CN"/>
              </w:rPr>
              <w:t xml:space="preserve">20836.18 </w:t>
            </w:r>
          </w:p>
        </w:tc>
        <w:tc>
          <w:tcPr>
            <w:tcW w:w="1165" w:type="pct"/>
            <w:gridSpan w:val="2"/>
            <w:tcBorders>
              <w:top w:val="single" w:color="auto" w:sz="4" w:space="0"/>
              <w:left w:val="single" w:color="000000" w:sz="8" w:space="0"/>
              <w:bottom w:val="single" w:color="000000" w:sz="8" w:space="0"/>
              <w:right w:val="single" w:color="000000" w:sz="8" w:space="0"/>
            </w:tcBorders>
            <w:vAlign w:val="center"/>
          </w:tcPr>
          <w:p w14:paraId="07D69819">
            <w:pPr>
              <w:pStyle w:val="38"/>
              <w:spacing w:line="240" w:lineRule="auto"/>
              <w:rPr>
                <w:rFonts w:hint="default" w:ascii="Times New Roman" w:hAnsi="Times New Roman"/>
                <w:b/>
                <w:bCs/>
              </w:rPr>
            </w:pPr>
          </w:p>
        </w:tc>
      </w:tr>
    </w:tbl>
    <w:p w14:paraId="5D333356">
      <w:pPr>
        <w:ind w:firstLine="640"/>
        <w:rPr>
          <w:rFonts w:cs="Times New Roman"/>
        </w:rPr>
      </w:pPr>
    </w:p>
    <w:p w14:paraId="10455F22">
      <w:pPr>
        <w:pStyle w:val="2"/>
        <w:spacing w:before="312" w:after="312"/>
        <w:rPr>
          <w:rFonts w:ascii="Times New Roman" w:hAnsi="Times New Roman" w:cs="Times New Roman"/>
        </w:rPr>
      </w:pPr>
      <w:bookmarkStart w:id="32" w:name="_Toc12350"/>
      <w:bookmarkStart w:id="33" w:name="_Toc185844286"/>
      <w:r>
        <w:rPr>
          <w:rFonts w:ascii="Times New Roman" w:hAnsi="Times New Roman" w:cs="Times New Roman"/>
        </w:rPr>
        <w:t>第四章 资源保护与利用</w:t>
      </w:r>
      <w:bookmarkEnd w:id="32"/>
      <w:bookmarkEnd w:id="33"/>
    </w:p>
    <w:p w14:paraId="505F5C9D">
      <w:pPr>
        <w:pStyle w:val="3"/>
        <w:rPr>
          <w:rFonts w:ascii="Times New Roman" w:hAnsi="Times New Roman" w:cs="Times New Roman"/>
        </w:rPr>
      </w:pPr>
      <w:bookmarkStart w:id="34" w:name="_Toc26948"/>
      <w:bookmarkStart w:id="35" w:name="_Toc185844287"/>
      <w:r>
        <w:rPr>
          <w:rFonts w:ascii="Times New Roman" w:hAnsi="Times New Roman" w:cs="Times New Roman"/>
        </w:rPr>
        <w:t>第一节 耕地资源</w:t>
      </w:r>
      <w:bookmarkEnd w:id="34"/>
      <w:bookmarkEnd w:id="35"/>
    </w:p>
    <w:p w14:paraId="7570D4E3">
      <w:pPr>
        <w:pStyle w:val="4"/>
        <w:numPr>
          <w:ilvl w:val="0"/>
          <w:numId w:val="9"/>
        </w:numPr>
        <w:ind w:left="420" w:firstLine="361" w:firstLineChars="113"/>
      </w:pPr>
      <w:r>
        <w:t>严守耕地数量</w:t>
      </w:r>
    </w:p>
    <w:p w14:paraId="04A41137">
      <w:pPr>
        <w:ind w:firstLine="640"/>
        <w:rPr>
          <w:rFonts w:cs="Times New Roman"/>
        </w:rPr>
      </w:pPr>
      <w:r>
        <w:rPr>
          <w:rFonts w:cs="Times New Roman"/>
        </w:rPr>
        <w:t>严格落实《桓仁满族自治县国土空间总体规划（2021-2035年）》下达的耕地保护目标和永久基本农田保护任务。坚持最严格的耕地和永久基本农田保护制度，科学合理利用耕地资源，坚持耕地保护优先，强化耕地数量质量双重保护，坚决制止耕地尤其是永久基本农田“非农化”、防止耕地“非粮化”，确保粮食安全。</w:t>
      </w:r>
    </w:p>
    <w:p w14:paraId="25350B20">
      <w:pPr>
        <w:pStyle w:val="4"/>
        <w:numPr>
          <w:ilvl w:val="0"/>
          <w:numId w:val="1"/>
        </w:numPr>
        <w:ind w:left="860" w:firstLine="361" w:firstLineChars="113"/>
      </w:pPr>
      <w:r>
        <w:t>提升耕地质量</w:t>
      </w:r>
    </w:p>
    <w:p w14:paraId="7EF8A18A">
      <w:pPr>
        <w:ind w:firstLine="640"/>
        <w:rPr>
          <w:rFonts w:cs="Times New Roman"/>
        </w:rPr>
      </w:pPr>
      <w:r>
        <w:rPr>
          <w:rFonts w:cs="Times New Roman"/>
        </w:rPr>
        <w:t>切实加强耕地质量建设。全面推进建设占用耕地耕作层剥离再利用，用于劣质耕地或新开垦耕地提质。因地制宜实施坡改梯工程建设，在尊重村民意愿的前提下，实施旱改水工程，对现有耕地进行提质改造，开展退化耕地综合治理、污染耕地阻控修复等，有效提高耕地产能。</w:t>
      </w:r>
    </w:p>
    <w:p w14:paraId="235A1FF3">
      <w:pPr>
        <w:ind w:firstLine="640"/>
        <w:rPr>
          <w:rFonts w:cs="Times New Roman"/>
        </w:rPr>
      </w:pPr>
      <w:r>
        <w:rPr>
          <w:rFonts w:cs="Times New Roman"/>
        </w:rPr>
        <w:t>推动耕地生态环境质量提升。严格控制污染耕地，加大耕地污染防治力度，提升土壤质量，防范新增污染。严格预防耕地灾毁，加强自然灾害防御措施，</w:t>
      </w:r>
      <w:r>
        <w:rPr>
          <w:rFonts w:hint="eastAsia" w:cs="Times New Roman"/>
        </w:rPr>
        <w:t>包括</w:t>
      </w:r>
      <w:r>
        <w:rPr>
          <w:rFonts w:hint="eastAsia" w:ascii="仿宋_GB2312" w:hAnsi="宋体"/>
          <w:szCs w:val="32"/>
        </w:rPr>
        <w:t>向阳乡山区坡耕地综合治理等，</w:t>
      </w:r>
      <w:r>
        <w:rPr>
          <w:rFonts w:cs="Times New Roman"/>
        </w:rPr>
        <w:t>控制人为活动损毁耕地，强化灾毁耕地治理。</w:t>
      </w:r>
    </w:p>
    <w:p w14:paraId="538867A5">
      <w:pPr>
        <w:pStyle w:val="4"/>
        <w:numPr>
          <w:ilvl w:val="0"/>
          <w:numId w:val="1"/>
        </w:numPr>
        <w:ind w:left="860" w:firstLine="361" w:firstLineChars="113"/>
      </w:pPr>
      <w:r>
        <w:t>完善永久基本农田储备区制度</w:t>
      </w:r>
    </w:p>
    <w:p w14:paraId="32FD11E3">
      <w:pPr>
        <w:ind w:firstLine="640"/>
        <w:rPr>
          <w:rFonts w:cs="Times New Roman"/>
        </w:rPr>
      </w:pPr>
      <w:r>
        <w:rPr>
          <w:rFonts w:cs="Times New Roman"/>
        </w:rPr>
        <w:t>加大实施补充耕地力度。统筹实施农用地整理、城乡建设用地增减挂钩、历史遗留工矿废弃地复垦、宜耕后备资源开发等工程，拓展补充耕地途径，增加有效耕地面积。落实补充耕地质量验收制度，完善后续管护和再评价机制。</w:t>
      </w:r>
    </w:p>
    <w:p w14:paraId="31A40F5A">
      <w:pPr>
        <w:ind w:firstLine="640"/>
        <w:rPr>
          <w:rFonts w:cs="Times New Roman"/>
        </w:rPr>
      </w:pPr>
      <w:r>
        <w:rPr>
          <w:rFonts w:cs="Times New Roman"/>
        </w:rPr>
        <w:t>加强永久基本农田保护和建设。优先把优质耕地、高标准农田划为永久基本农田，以永久基本农田为基础，优先在粮食生产功能区、重要农产品生产保护区建设高标准农田，逐步把永久基本农田全部建成旱涝保收的高标准农田。经依法批准确需占用永久基本农田的，应先补建后占用。完善永久基本农田保护储备区制度。土地整治和新建高标准农田增加的优质耕地应当优先补划为永久基本农田。在永久基本农田集中分布地区，不得规划新建可能造成污染的建设项目。</w:t>
      </w:r>
    </w:p>
    <w:p w14:paraId="7DEDBA05">
      <w:pPr>
        <w:pStyle w:val="4"/>
        <w:numPr>
          <w:ilvl w:val="0"/>
          <w:numId w:val="1"/>
        </w:numPr>
        <w:ind w:left="860" w:firstLine="361" w:firstLineChars="113"/>
      </w:pPr>
      <w:r>
        <w:t>落实耕地占补平衡</w:t>
      </w:r>
    </w:p>
    <w:p w14:paraId="24065937">
      <w:pPr>
        <w:ind w:firstLine="640"/>
        <w:rPr>
          <w:rFonts w:cs="Times New Roman"/>
        </w:rPr>
      </w:pPr>
      <w:r>
        <w:rPr>
          <w:rFonts w:cs="Times New Roman"/>
        </w:rPr>
        <w:t>严格控制建设占用耕地特别是永久基本农田，确需占用耕地的应尽量占用低等别耕地，并积极落实“占补平衡”制度，坚持“以补定占”，严格落实耕地“占一补一、先补后占、占优补优、占水田补水田”，严控占用、严格补充、严守总量，强化耕地占补平衡实施监管，落实耕地占补平衡责任制度，确保补充数量质量双到位。</w:t>
      </w:r>
    </w:p>
    <w:p w14:paraId="22994F26">
      <w:pPr>
        <w:pStyle w:val="3"/>
        <w:rPr>
          <w:rFonts w:ascii="Times New Roman" w:hAnsi="Times New Roman" w:cs="Times New Roman"/>
          <w:color w:val="auto"/>
        </w:rPr>
      </w:pPr>
      <w:bookmarkStart w:id="36" w:name="_Toc185844288"/>
      <w:bookmarkStart w:id="37" w:name="_Toc28530"/>
      <w:r>
        <w:rPr>
          <w:rFonts w:ascii="Times New Roman" w:hAnsi="Times New Roman" w:cs="Times New Roman"/>
          <w:color w:val="auto"/>
        </w:rPr>
        <w:t>第二节 水资源</w:t>
      </w:r>
      <w:bookmarkEnd w:id="36"/>
      <w:bookmarkEnd w:id="37"/>
    </w:p>
    <w:p w14:paraId="6E7E392C">
      <w:pPr>
        <w:pStyle w:val="4"/>
        <w:numPr>
          <w:ilvl w:val="0"/>
          <w:numId w:val="10"/>
        </w:numPr>
        <w:ind w:left="420" w:firstLine="361" w:firstLineChars="113"/>
      </w:pPr>
      <w:r>
        <w:t>加强水资源保护</w:t>
      </w:r>
    </w:p>
    <w:p w14:paraId="7B643B0D">
      <w:pPr>
        <w:ind w:firstLine="640"/>
        <w:rPr>
          <w:rFonts w:cs="Times New Roman"/>
        </w:rPr>
      </w:pPr>
      <w:r>
        <w:rPr>
          <w:rFonts w:cs="Times New Roman"/>
        </w:rPr>
        <w:t>实施“生态涵水”战略，涵水于地、涵水于林草，实现“以水带绿，以绿养水，以林护岸”，进一步增强向阳乡水源涵养能力。优化水资源配置，协调地表水、地下水、外调水、再生水使用比例，合理控制地下水开采，保障水资源供需平衡。加强供水设施建设，提高供水水平，保证供水安全。根据国家《生活饮用水卫生标准》（GB5749-2006）和《地面水环境质量标准》（GB3838-2002）中水源卫生保护规定，划定水源保护区，保护区必须执行国家水源相关保护条例，保证取水点的水质符合饮用水水源水质标准。</w:t>
      </w:r>
    </w:p>
    <w:p w14:paraId="4F3A5B7B">
      <w:pPr>
        <w:pStyle w:val="4"/>
        <w:numPr>
          <w:ilvl w:val="0"/>
          <w:numId w:val="1"/>
        </w:numPr>
        <w:ind w:left="860" w:firstLine="361" w:firstLineChars="113"/>
      </w:pPr>
      <w:r>
        <w:tab/>
      </w:r>
      <w:r>
        <w:t>河流水系保护</w:t>
      </w:r>
    </w:p>
    <w:p w14:paraId="0CD45DF8">
      <w:pPr>
        <w:ind w:firstLine="640"/>
        <w:rPr>
          <w:rFonts w:cs="Times New Roman"/>
        </w:rPr>
      </w:pPr>
      <w:r>
        <w:rPr>
          <w:rFonts w:cs="Times New Roman"/>
        </w:rPr>
        <w:t>加强水环境生态治理，控源、截污与河段清淤相结合，实施河流水质目标管理，全面治理工业污染源。强化城乡污水收集处理，有效治理农业面源污染，打造良好河流生态环境，确保浑江等重要水功能区水质达标率保持100%。</w:t>
      </w:r>
    </w:p>
    <w:p w14:paraId="4A25B63B">
      <w:pPr>
        <w:pStyle w:val="4"/>
        <w:numPr>
          <w:ilvl w:val="0"/>
          <w:numId w:val="1"/>
        </w:numPr>
        <w:ind w:left="860" w:firstLine="361" w:firstLineChars="113"/>
      </w:pPr>
      <w:r>
        <w:t>建设节水型社会</w:t>
      </w:r>
    </w:p>
    <w:p w14:paraId="23CCC5AF">
      <w:pPr>
        <w:ind w:firstLine="640"/>
        <w:rPr>
          <w:rFonts w:cs="Times New Roman"/>
        </w:rPr>
      </w:pPr>
      <w:r>
        <w:rPr>
          <w:rFonts w:cs="Times New Roman"/>
        </w:rPr>
        <w:t>全面推进节水型社会建设，加强工业、农业、城乡节水改造，大力推广工业节水工艺和农业节水灌溉技术，大力倡导节水型产业，实施建设项目节水制度。统筹考虑水资源保护、雨水利用、再生水利用、新水源开发等各项措施，进行统一规划和科学管理，合理利用多种水资源。</w:t>
      </w:r>
    </w:p>
    <w:p w14:paraId="01C892A9">
      <w:pPr>
        <w:pStyle w:val="3"/>
        <w:rPr>
          <w:rFonts w:ascii="Times New Roman" w:hAnsi="Times New Roman" w:cs="Times New Roman"/>
        </w:rPr>
      </w:pPr>
      <w:bookmarkStart w:id="38" w:name="_Toc185844289"/>
      <w:bookmarkStart w:id="39" w:name="_Toc2709"/>
      <w:r>
        <w:rPr>
          <w:rFonts w:ascii="Times New Roman" w:hAnsi="Times New Roman" w:cs="Times New Roman"/>
        </w:rPr>
        <w:t>第三节 湿地资源</w:t>
      </w:r>
      <w:bookmarkEnd w:id="38"/>
      <w:bookmarkEnd w:id="39"/>
    </w:p>
    <w:p w14:paraId="06AF06D5">
      <w:pPr>
        <w:pStyle w:val="4"/>
        <w:numPr>
          <w:ilvl w:val="0"/>
          <w:numId w:val="11"/>
        </w:numPr>
        <w:ind w:left="420" w:firstLine="361" w:firstLineChars="113"/>
      </w:pPr>
      <w:r>
        <w:t>湿地保护</w:t>
      </w:r>
    </w:p>
    <w:p w14:paraId="03A5DE05">
      <w:pPr>
        <w:ind w:firstLine="640"/>
        <w:rPr>
          <w:rFonts w:cs="Times New Roman"/>
        </w:rPr>
      </w:pPr>
      <w:r>
        <w:rPr>
          <w:rFonts w:cs="Times New Roman"/>
        </w:rPr>
        <w:t>严格保护现状重要湿地，对域内湿地进行动态监测，对可能存在湿地面积减少、生态功能退化等情况，制定科学的湿地保护方案，及时采取措施予以恢复、修复，维护湿地生态系统完整性和稳定性，稳步提升湿地生态系统服务功能和生态产品供给能力。规划期间，湿地面积保持稳定，湿地保护率依据上级下达任务确定。</w:t>
      </w:r>
    </w:p>
    <w:p w14:paraId="0D43189D">
      <w:pPr>
        <w:pStyle w:val="3"/>
        <w:rPr>
          <w:rFonts w:ascii="Times New Roman" w:hAnsi="Times New Roman" w:cs="Times New Roman"/>
        </w:rPr>
      </w:pPr>
      <w:bookmarkStart w:id="40" w:name="_Toc11225"/>
      <w:bookmarkStart w:id="41" w:name="_Toc185844290"/>
      <w:r>
        <w:rPr>
          <w:rFonts w:ascii="Times New Roman" w:hAnsi="Times New Roman" w:cs="Times New Roman"/>
        </w:rPr>
        <w:t>第四节 林草资源</w:t>
      </w:r>
      <w:bookmarkEnd w:id="40"/>
      <w:bookmarkEnd w:id="41"/>
    </w:p>
    <w:p w14:paraId="6213E919">
      <w:pPr>
        <w:pStyle w:val="4"/>
        <w:numPr>
          <w:ilvl w:val="0"/>
          <w:numId w:val="12"/>
        </w:numPr>
        <w:ind w:left="420" w:firstLine="361" w:firstLineChars="113"/>
      </w:pPr>
      <w:r>
        <w:t>加强森林资源保护</w:t>
      </w:r>
    </w:p>
    <w:p w14:paraId="30E24182">
      <w:pPr>
        <w:ind w:firstLine="640"/>
        <w:rPr>
          <w:rFonts w:cs="Times New Roman"/>
        </w:rPr>
      </w:pPr>
      <w:r>
        <w:rPr>
          <w:rFonts w:cs="Times New Roman"/>
        </w:rPr>
        <w:t>大力维护森林资源，稳步推进提升林分质量为主的中幼龄林抚育和退化林修复工作。大力推进辽宁本溪枫林谷森林公园自然保护地建设，强化对林地的整体保护。规划期间林地面积保持稳定，确保森林覆盖率和林地保有量达到上级下达任务要求。</w:t>
      </w:r>
    </w:p>
    <w:p w14:paraId="2DAC60BC">
      <w:pPr>
        <w:ind w:firstLine="640"/>
        <w:rPr>
          <w:rFonts w:cs="Times New Roman"/>
        </w:rPr>
      </w:pPr>
      <w:r>
        <w:rPr>
          <w:rFonts w:cs="Times New Roman"/>
          <w:color w:val="000000"/>
          <w:lang w:bidi="ar"/>
        </w:rPr>
        <w:t>大力提升森林质量。规划期间，加固全域生态保护屏障，提高生态环境质量。实施封山育林，坚持“以封为主，封育结合”原则，加大对天然林、生态公益林等林地保护力度，优化森林组成、结构和功能，营造水土保持林、水源涵养林，全面提升水土保持、水源涵养和生物多样性维护功能。加大森林防火和有害生物防治力度。保障以山体和水体为骨架的生态过程连续性和生态系统稳定性，构建山体、林田、水系共生的生态基础设施格局，稳定国土生态安全屏障防护功能。在不影响整体森林生态系统功能发挥和破坏森林植被的前提下，科学发展林下经济，增强生态产品供给能力。</w:t>
      </w:r>
    </w:p>
    <w:p w14:paraId="4907E948">
      <w:pPr>
        <w:pStyle w:val="4"/>
        <w:numPr>
          <w:ilvl w:val="0"/>
          <w:numId w:val="1"/>
        </w:numPr>
        <w:ind w:left="860" w:firstLine="361" w:firstLineChars="113"/>
      </w:pPr>
      <w:r>
        <w:t>加强草地资源保护</w:t>
      </w:r>
    </w:p>
    <w:p w14:paraId="4F8D58F4">
      <w:pPr>
        <w:ind w:firstLine="640"/>
        <w:rPr>
          <w:rFonts w:cs="Times New Roman"/>
        </w:rPr>
      </w:pPr>
      <w:r>
        <w:rPr>
          <w:rFonts w:cs="Times New Roman"/>
          <w:lang w:bidi="ar"/>
        </w:rPr>
        <w:t>向阳乡现状草地主要是其他草地，规划期间，草地面积总体略有下降。大力维护天然牧草地，合理利用草地资源，有序实施草地生态修复与综合治理，提升草地生态质量，最大程度保护原生植被不</w:t>
      </w:r>
      <w:r>
        <w:rPr>
          <w:rFonts w:cs="Times New Roman"/>
          <w:color w:val="000000"/>
          <w:lang w:bidi="ar"/>
        </w:rPr>
        <w:t>受破坏，增加草地物种生物多样性，维护草地生态系统稳定性，稳固草地在防风固沙、水土保持等方面的积极作用。</w:t>
      </w:r>
    </w:p>
    <w:p w14:paraId="7C9A74C2">
      <w:pPr>
        <w:pStyle w:val="3"/>
        <w:rPr>
          <w:rFonts w:ascii="Times New Roman" w:hAnsi="Times New Roman" w:cs="Times New Roman"/>
        </w:rPr>
      </w:pPr>
      <w:bookmarkStart w:id="42" w:name="_Toc185844291"/>
      <w:bookmarkStart w:id="43" w:name="_Toc15602"/>
      <w:r>
        <w:rPr>
          <w:rFonts w:ascii="Times New Roman" w:hAnsi="Times New Roman" w:cs="Times New Roman"/>
        </w:rPr>
        <w:t>第五节 矿产资源</w:t>
      </w:r>
      <w:bookmarkEnd w:id="42"/>
      <w:bookmarkEnd w:id="43"/>
    </w:p>
    <w:p w14:paraId="4C7E3ACD">
      <w:pPr>
        <w:pStyle w:val="4"/>
        <w:numPr>
          <w:ilvl w:val="0"/>
          <w:numId w:val="13"/>
        </w:numPr>
        <w:ind w:left="420" w:firstLine="361" w:firstLineChars="113"/>
      </w:pPr>
      <w:r>
        <w:t>合理利用矿产资源</w:t>
      </w:r>
    </w:p>
    <w:p w14:paraId="21A29BEC">
      <w:pPr>
        <w:ind w:firstLine="640"/>
        <w:rPr>
          <w:rFonts w:cs="Times New Roman"/>
        </w:rPr>
      </w:pPr>
      <w:r>
        <w:rPr>
          <w:rFonts w:cs="Times New Roman"/>
        </w:rPr>
        <w:t>合理开发利用钼、硫化铁、大理石、重质碳酸钙、铅、锌、石灰石等矿产资源，严格总量控制和开采准入，各类矿产资源开发利用总量控制要求符合相关规划，强化对矿产资源开发管理，协调资源开发与环境保护，严禁超能力生产。根据现有矿产资源储量和生产能力，统筹开发规模和时序，保障矿产资源可持续供给。鼓励矿山企业加强低品位、难选冶、共伴生矿产资源以及尾矿、废石等废弃物的综合利用，科学利用地下开采矿山坑采废石、露天开采矿山覆盖层、夹层及矿体顶底板岩石，提升矿产资源节约与综合利用水平。</w:t>
      </w:r>
    </w:p>
    <w:p w14:paraId="76447137">
      <w:pPr>
        <w:pStyle w:val="4"/>
        <w:numPr>
          <w:ilvl w:val="0"/>
          <w:numId w:val="1"/>
        </w:numPr>
        <w:ind w:left="860" w:firstLine="361" w:firstLineChars="113"/>
      </w:pPr>
      <w:r>
        <w:t>积极发展绿色矿山</w:t>
      </w:r>
    </w:p>
    <w:p w14:paraId="3AB84BEF">
      <w:pPr>
        <w:ind w:firstLine="640"/>
        <w:rPr>
          <w:rFonts w:cs="Times New Roman"/>
        </w:rPr>
      </w:pPr>
      <w:r>
        <w:rPr>
          <w:rFonts w:cs="Times New Roman"/>
        </w:rPr>
        <w:t>加大矿山地质环境保护与治理力度，发展绿色矿山，切实推进绿色矿山建设进程。新建矿山全部按照绿色矿山标准进行规划、设计、建设和运营管理，积极推动已有矿山加快升级改造，逐步达到绿色矿山标准。重点加快石灰石矿等符合建设要求生产矿山的绿色矿山建设。</w:t>
      </w:r>
    </w:p>
    <w:p w14:paraId="4B45DA87">
      <w:pPr>
        <w:pStyle w:val="3"/>
        <w:rPr>
          <w:rFonts w:ascii="Times New Roman" w:hAnsi="Times New Roman" w:cs="Times New Roman"/>
        </w:rPr>
      </w:pPr>
      <w:bookmarkStart w:id="44" w:name="_Toc185844292"/>
      <w:bookmarkStart w:id="45" w:name="_Toc1066"/>
      <w:r>
        <w:rPr>
          <w:rFonts w:ascii="Times New Roman" w:hAnsi="Times New Roman" w:cs="Times New Roman"/>
        </w:rPr>
        <w:t>第六节 历史文化资源</w:t>
      </w:r>
      <w:bookmarkEnd w:id="44"/>
      <w:bookmarkEnd w:id="45"/>
    </w:p>
    <w:p w14:paraId="51DD4A8D">
      <w:pPr>
        <w:pStyle w:val="4"/>
        <w:numPr>
          <w:ilvl w:val="0"/>
          <w:numId w:val="14"/>
        </w:numPr>
        <w:ind w:left="420" w:firstLine="361" w:firstLineChars="113"/>
      </w:pPr>
      <w:bookmarkStart w:id="46" w:name="_Toc381693"/>
      <w:r>
        <w:t>完善历史文化保护体系</w:t>
      </w:r>
      <w:bookmarkEnd w:id="46"/>
    </w:p>
    <w:p w14:paraId="3181F770">
      <w:pPr>
        <w:ind w:firstLine="640"/>
        <w:rPr>
          <w:rFonts w:cs="Times New Roman"/>
        </w:rPr>
      </w:pPr>
      <w:r>
        <w:rPr>
          <w:rFonts w:cs="Times New Roman"/>
        </w:rPr>
        <w:t>大力挖掘向阳乡乡土文化、地域文化、民俗文化等特色资源，注重地方历史文化传承。</w:t>
      </w:r>
      <w:r>
        <w:rPr>
          <w:rFonts w:cs="Times New Roman"/>
          <w:szCs w:val="32"/>
          <w:lang w:bidi="ar"/>
        </w:rPr>
        <w:t>做好市级文物保护单位大把墓群、向阳砬门抗联遗址、向阳碰门里伏击战遗址、雅河老虎洞沟抗联密营遗址、向阳枫林谷抗联医院遗址（大荒沟）</w:t>
      </w:r>
      <w:r>
        <w:rPr>
          <w:rFonts w:cs="Times New Roman"/>
        </w:rPr>
        <w:t>的保护工作。以文物保护单位为主，补充具有历史文化价值的历史建筑、古树名木、街巷格局等，以地方多元文化为主题，展示和传承地方饮食、工艺、传说等，推进全面全要素保护，开展全方位普查工作，积极推动历史文化名镇名村、传统村落申报，不断完善保护对象， 建立保护名录。以点带面，实施渐进式更新。坚持以用促保，保护与发展相互促进，以多样化利用活化历史遗迹。</w:t>
      </w:r>
    </w:p>
    <w:p w14:paraId="61FE52F6">
      <w:pPr>
        <w:pStyle w:val="4"/>
        <w:numPr>
          <w:ilvl w:val="0"/>
          <w:numId w:val="1"/>
        </w:numPr>
        <w:ind w:left="860" w:firstLine="361" w:firstLineChars="113"/>
      </w:pPr>
      <w:bookmarkStart w:id="47" w:name="_Toc381697"/>
      <w:bookmarkStart w:id="48" w:name="_Toc381700"/>
      <w:r>
        <w:t>妥善保护利用文物古迹</w:t>
      </w:r>
      <w:bookmarkEnd w:id="47"/>
    </w:p>
    <w:p w14:paraId="74C187F2">
      <w:pPr>
        <w:widowControl/>
        <w:adjustRightInd w:val="0"/>
        <w:snapToGrid w:val="0"/>
        <w:ind w:firstLine="640"/>
        <w:rPr>
          <w:rFonts w:cs="Times New Roman"/>
        </w:rPr>
      </w:pPr>
      <w:r>
        <w:rPr>
          <w:rFonts w:cs="Times New Roman"/>
        </w:rPr>
        <w:t>严格保护各级文物保护单位的原址、原物、原状，明确保护要求和管理责任，严禁任何对文物本体造成破坏的行为，加强文物周边环境整治，提高历史环境品质，落实保护范围和建设控制地带。保护范围内不得随意改变原有现状建筑；建设控制地带严格控制建设，加强维修可保留建筑，逐步拆除不需保留建筑，凡有新建建筑，应在外观、造型、体量、高度、色彩上和保护对象协调。</w:t>
      </w:r>
    </w:p>
    <w:p w14:paraId="3F895449">
      <w:pPr>
        <w:pStyle w:val="4"/>
        <w:numPr>
          <w:ilvl w:val="0"/>
          <w:numId w:val="1"/>
        </w:numPr>
        <w:ind w:left="860" w:firstLine="361" w:firstLineChars="113"/>
      </w:pPr>
      <w:r>
        <w:t>强化历史文化遗产活化利用</w:t>
      </w:r>
    </w:p>
    <w:p w14:paraId="12735AA6">
      <w:pPr>
        <w:widowControl/>
        <w:adjustRightInd w:val="0"/>
        <w:snapToGrid w:val="0"/>
        <w:ind w:firstLine="640"/>
        <w:rPr>
          <w:rFonts w:cs="Times New Roman"/>
        </w:rPr>
      </w:pPr>
      <w:r>
        <w:rPr>
          <w:rFonts w:cs="Times New Roman"/>
        </w:rPr>
        <w:t>传承农耕文明，弘扬红色文化，坚持创造性转化、创新性发展，深入挖掘、广泛传播文化遗产蕴含的文化精髓和时代价值，创新历史文化遗产合理利用方式，推动历史文化遗产保护利用工作全面融入经济社会发展。引导历史文化遗产充分发挥公共教育、文化服务等作用，让文化遗产活起来。加大文化遗产开放利用力度，因地制宜改造为公共文化设施或场所。妥善处理保护与开发的关系，推动历史文化遗产成为特色旅游目的地和文明旅游的典范，提升环境品质，满足人民群众精神文化生活新期待，推动历史文化遗产保护的同时带动产业发展。用好</w:t>
      </w:r>
      <w:r>
        <w:rPr>
          <w:rFonts w:cs="Times New Roman"/>
          <w:szCs w:val="32"/>
          <w:lang w:bidi="ar"/>
        </w:rPr>
        <w:t>抗联</w:t>
      </w:r>
      <w:r>
        <w:rPr>
          <w:rFonts w:cs="Times New Roman"/>
        </w:rPr>
        <w:t>红色文化资源，积极弘扬以革命传统教育、爱国主义教育、青少年思想教育为主的红色文化，建设红色教育基地。</w:t>
      </w:r>
    </w:p>
    <w:p w14:paraId="6E695BE2">
      <w:pPr>
        <w:widowControl/>
        <w:adjustRightInd w:val="0"/>
        <w:snapToGrid w:val="0"/>
        <w:ind w:firstLine="640"/>
        <w:rPr>
          <w:rFonts w:cs="Times New Roman"/>
        </w:rPr>
      </w:pPr>
    </w:p>
    <w:p w14:paraId="5AF6D52D">
      <w:pPr>
        <w:widowControl/>
        <w:adjustRightInd w:val="0"/>
        <w:snapToGrid w:val="0"/>
        <w:ind w:firstLine="640"/>
        <w:rPr>
          <w:rFonts w:cs="Times New Roma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409"/>
        <w:gridCol w:w="1418"/>
        <w:gridCol w:w="1276"/>
        <w:gridCol w:w="1275"/>
        <w:gridCol w:w="936"/>
      </w:tblGrid>
      <w:tr w14:paraId="3D16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A5D04BA">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序号</w:t>
            </w:r>
          </w:p>
        </w:tc>
        <w:tc>
          <w:tcPr>
            <w:tcW w:w="2409" w:type="dxa"/>
            <w:vAlign w:val="center"/>
          </w:tcPr>
          <w:p w14:paraId="6D8B2431">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名称</w:t>
            </w:r>
          </w:p>
        </w:tc>
        <w:tc>
          <w:tcPr>
            <w:tcW w:w="1418" w:type="dxa"/>
            <w:vAlign w:val="center"/>
          </w:tcPr>
          <w:p w14:paraId="0DF856BA">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行政村</w:t>
            </w:r>
          </w:p>
        </w:tc>
        <w:tc>
          <w:tcPr>
            <w:tcW w:w="1276" w:type="dxa"/>
            <w:vAlign w:val="center"/>
          </w:tcPr>
          <w:p w14:paraId="0B23D8D8">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级别</w:t>
            </w:r>
          </w:p>
        </w:tc>
        <w:tc>
          <w:tcPr>
            <w:tcW w:w="1275" w:type="dxa"/>
            <w:vAlign w:val="center"/>
          </w:tcPr>
          <w:p w14:paraId="79427D94">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类别</w:t>
            </w:r>
          </w:p>
        </w:tc>
        <w:tc>
          <w:tcPr>
            <w:tcW w:w="936" w:type="dxa"/>
            <w:vAlign w:val="center"/>
          </w:tcPr>
          <w:p w14:paraId="06D88FEE">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备注</w:t>
            </w:r>
          </w:p>
        </w:tc>
      </w:tr>
      <w:tr w14:paraId="5F66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A882BBE">
            <w:pPr>
              <w:spacing w:line="240" w:lineRule="auto"/>
              <w:ind w:firstLine="0" w:firstLineChars="0"/>
              <w:jc w:val="center"/>
              <w:rPr>
                <w:rFonts w:eastAsia="仿宋" w:cs="Times New Roman"/>
                <w:kern w:val="0"/>
                <w:sz w:val="21"/>
                <w:szCs w:val="21"/>
              </w:rPr>
            </w:pPr>
            <w:r>
              <w:rPr>
                <w:rFonts w:eastAsia="仿宋" w:cs="Times New Roman"/>
                <w:kern w:val="0"/>
                <w:sz w:val="21"/>
                <w:szCs w:val="21"/>
              </w:rPr>
              <w:t>1</w:t>
            </w:r>
          </w:p>
        </w:tc>
        <w:tc>
          <w:tcPr>
            <w:tcW w:w="2409" w:type="dxa"/>
            <w:vAlign w:val="center"/>
          </w:tcPr>
          <w:p w14:paraId="7502E546">
            <w:pPr>
              <w:spacing w:line="240" w:lineRule="auto"/>
              <w:ind w:firstLine="0" w:firstLineChars="0"/>
              <w:jc w:val="center"/>
              <w:rPr>
                <w:rFonts w:eastAsia="仿宋" w:cs="Times New Roman"/>
                <w:kern w:val="0"/>
                <w:sz w:val="21"/>
                <w:szCs w:val="21"/>
              </w:rPr>
            </w:pPr>
            <w:r>
              <w:rPr>
                <w:rFonts w:eastAsia="仿宋" w:cs="Times New Roman"/>
                <w:kern w:val="0"/>
                <w:sz w:val="21"/>
                <w:szCs w:val="21"/>
              </w:rPr>
              <w:t>大把墓群</w:t>
            </w:r>
          </w:p>
        </w:tc>
        <w:tc>
          <w:tcPr>
            <w:tcW w:w="1418" w:type="dxa"/>
            <w:vAlign w:val="center"/>
          </w:tcPr>
          <w:p w14:paraId="0B2292B0">
            <w:pPr>
              <w:spacing w:line="240" w:lineRule="auto"/>
              <w:ind w:firstLine="0" w:firstLineChars="0"/>
              <w:jc w:val="center"/>
              <w:rPr>
                <w:rFonts w:eastAsia="仿宋" w:cs="Times New Roman"/>
                <w:kern w:val="0"/>
                <w:sz w:val="21"/>
                <w:szCs w:val="21"/>
              </w:rPr>
            </w:pPr>
            <w:r>
              <w:rPr>
                <w:rFonts w:eastAsia="仿宋" w:cs="Times New Roman"/>
                <w:kern w:val="0"/>
                <w:sz w:val="21"/>
                <w:szCs w:val="21"/>
              </w:rPr>
              <w:t>和平村</w:t>
            </w:r>
          </w:p>
        </w:tc>
        <w:tc>
          <w:tcPr>
            <w:tcW w:w="1276" w:type="dxa"/>
            <w:vAlign w:val="center"/>
          </w:tcPr>
          <w:p w14:paraId="48621EE9">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275" w:type="dxa"/>
            <w:vAlign w:val="center"/>
          </w:tcPr>
          <w:p w14:paraId="7748BA97">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3C2B2CEA">
            <w:pPr>
              <w:spacing w:line="240" w:lineRule="auto"/>
              <w:ind w:firstLine="0" w:firstLineChars="0"/>
              <w:jc w:val="center"/>
              <w:rPr>
                <w:rFonts w:eastAsia="仿宋" w:cs="Times New Roman"/>
                <w:kern w:val="0"/>
                <w:sz w:val="21"/>
                <w:szCs w:val="21"/>
              </w:rPr>
            </w:pPr>
          </w:p>
        </w:tc>
      </w:tr>
      <w:tr w14:paraId="4D68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917AB7E">
            <w:pPr>
              <w:spacing w:line="240" w:lineRule="auto"/>
              <w:ind w:firstLine="0" w:firstLineChars="0"/>
              <w:jc w:val="center"/>
              <w:rPr>
                <w:rFonts w:eastAsia="仿宋" w:cs="Times New Roman"/>
                <w:kern w:val="0"/>
                <w:sz w:val="21"/>
                <w:szCs w:val="21"/>
              </w:rPr>
            </w:pPr>
            <w:r>
              <w:rPr>
                <w:rFonts w:eastAsia="仿宋" w:cs="Times New Roman"/>
                <w:kern w:val="0"/>
                <w:sz w:val="21"/>
                <w:szCs w:val="21"/>
              </w:rPr>
              <w:t>2</w:t>
            </w:r>
          </w:p>
        </w:tc>
        <w:tc>
          <w:tcPr>
            <w:tcW w:w="2409" w:type="dxa"/>
            <w:vAlign w:val="center"/>
          </w:tcPr>
          <w:p w14:paraId="6C1AAC28">
            <w:pPr>
              <w:spacing w:line="240" w:lineRule="auto"/>
              <w:ind w:firstLine="0" w:firstLineChars="0"/>
              <w:jc w:val="center"/>
              <w:rPr>
                <w:rFonts w:eastAsia="仿宋" w:cs="Times New Roman"/>
                <w:kern w:val="0"/>
                <w:sz w:val="21"/>
                <w:szCs w:val="21"/>
              </w:rPr>
            </w:pPr>
            <w:r>
              <w:rPr>
                <w:rFonts w:eastAsia="仿宋" w:cs="Times New Roman"/>
                <w:kern w:val="0"/>
                <w:sz w:val="21"/>
                <w:szCs w:val="21"/>
              </w:rPr>
              <w:t>向阳砬门抗联遗址</w:t>
            </w:r>
          </w:p>
        </w:tc>
        <w:tc>
          <w:tcPr>
            <w:tcW w:w="1418" w:type="dxa"/>
            <w:vAlign w:val="center"/>
          </w:tcPr>
          <w:p w14:paraId="564B5AE3">
            <w:pPr>
              <w:spacing w:line="240" w:lineRule="auto"/>
              <w:ind w:firstLine="0" w:firstLineChars="0"/>
              <w:jc w:val="center"/>
              <w:rPr>
                <w:rFonts w:eastAsia="仿宋" w:cs="Times New Roman"/>
                <w:kern w:val="0"/>
                <w:sz w:val="21"/>
                <w:szCs w:val="21"/>
              </w:rPr>
            </w:pPr>
            <w:r>
              <w:rPr>
                <w:rFonts w:eastAsia="仿宋" w:cs="Times New Roman"/>
                <w:kern w:val="0"/>
                <w:sz w:val="21"/>
                <w:szCs w:val="21"/>
              </w:rPr>
              <w:t>和平村</w:t>
            </w:r>
          </w:p>
        </w:tc>
        <w:tc>
          <w:tcPr>
            <w:tcW w:w="1276" w:type="dxa"/>
            <w:vAlign w:val="center"/>
          </w:tcPr>
          <w:p w14:paraId="23EAA716">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275" w:type="dxa"/>
            <w:vAlign w:val="center"/>
          </w:tcPr>
          <w:p w14:paraId="7C18AAB0">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59592EE0">
            <w:pPr>
              <w:spacing w:line="240" w:lineRule="auto"/>
              <w:ind w:firstLine="0" w:firstLineChars="0"/>
              <w:jc w:val="center"/>
              <w:rPr>
                <w:rFonts w:eastAsia="仿宋" w:cs="Times New Roman"/>
                <w:kern w:val="0"/>
                <w:sz w:val="21"/>
                <w:szCs w:val="21"/>
              </w:rPr>
            </w:pPr>
          </w:p>
        </w:tc>
      </w:tr>
      <w:tr w14:paraId="072B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2A6206D">
            <w:pPr>
              <w:spacing w:line="240" w:lineRule="auto"/>
              <w:ind w:firstLine="0" w:firstLineChars="0"/>
              <w:jc w:val="center"/>
              <w:rPr>
                <w:rFonts w:eastAsia="仿宋" w:cs="Times New Roman"/>
                <w:kern w:val="0"/>
                <w:sz w:val="21"/>
                <w:szCs w:val="21"/>
              </w:rPr>
            </w:pPr>
            <w:r>
              <w:rPr>
                <w:rFonts w:eastAsia="仿宋" w:cs="Times New Roman"/>
                <w:kern w:val="0"/>
                <w:sz w:val="21"/>
                <w:szCs w:val="21"/>
              </w:rPr>
              <w:t>3</w:t>
            </w:r>
          </w:p>
        </w:tc>
        <w:tc>
          <w:tcPr>
            <w:tcW w:w="2409" w:type="dxa"/>
            <w:vAlign w:val="center"/>
          </w:tcPr>
          <w:p w14:paraId="2A36B2AA">
            <w:pPr>
              <w:spacing w:line="240" w:lineRule="auto"/>
              <w:ind w:firstLine="0" w:firstLineChars="0"/>
              <w:jc w:val="center"/>
              <w:rPr>
                <w:rFonts w:eastAsia="仿宋" w:cs="Times New Roman"/>
                <w:kern w:val="0"/>
                <w:sz w:val="21"/>
                <w:szCs w:val="21"/>
              </w:rPr>
            </w:pPr>
            <w:r>
              <w:rPr>
                <w:rFonts w:eastAsia="仿宋" w:cs="Times New Roman"/>
                <w:kern w:val="0"/>
                <w:sz w:val="21"/>
                <w:szCs w:val="21"/>
              </w:rPr>
              <w:t>向阳碰门里伏击战遗址</w:t>
            </w:r>
          </w:p>
        </w:tc>
        <w:tc>
          <w:tcPr>
            <w:tcW w:w="1418" w:type="dxa"/>
            <w:vAlign w:val="center"/>
          </w:tcPr>
          <w:p w14:paraId="0F70FF06">
            <w:pPr>
              <w:spacing w:line="240" w:lineRule="auto"/>
              <w:ind w:firstLine="0" w:firstLineChars="0"/>
              <w:jc w:val="center"/>
              <w:rPr>
                <w:rFonts w:eastAsia="仿宋" w:cs="Times New Roman"/>
                <w:kern w:val="0"/>
                <w:sz w:val="21"/>
                <w:szCs w:val="21"/>
              </w:rPr>
            </w:pPr>
            <w:r>
              <w:rPr>
                <w:rFonts w:eastAsia="仿宋" w:cs="Times New Roman"/>
                <w:kern w:val="0"/>
                <w:sz w:val="21"/>
                <w:szCs w:val="21"/>
              </w:rPr>
              <w:t>北岔村</w:t>
            </w:r>
          </w:p>
        </w:tc>
        <w:tc>
          <w:tcPr>
            <w:tcW w:w="1276" w:type="dxa"/>
            <w:vAlign w:val="center"/>
          </w:tcPr>
          <w:p w14:paraId="7CF445CB">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275" w:type="dxa"/>
            <w:vAlign w:val="center"/>
          </w:tcPr>
          <w:p w14:paraId="42267AED">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5946AB71">
            <w:pPr>
              <w:spacing w:line="240" w:lineRule="auto"/>
              <w:ind w:firstLine="0" w:firstLineChars="0"/>
              <w:jc w:val="center"/>
              <w:rPr>
                <w:rFonts w:eastAsia="仿宋" w:cs="Times New Roman"/>
                <w:kern w:val="0"/>
                <w:sz w:val="21"/>
                <w:szCs w:val="21"/>
              </w:rPr>
            </w:pPr>
          </w:p>
        </w:tc>
      </w:tr>
      <w:tr w14:paraId="3C9E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9C80EDF">
            <w:pPr>
              <w:spacing w:line="240" w:lineRule="auto"/>
              <w:ind w:firstLine="0" w:firstLineChars="0"/>
              <w:jc w:val="center"/>
              <w:rPr>
                <w:rFonts w:eastAsia="仿宋" w:cs="Times New Roman"/>
                <w:kern w:val="0"/>
                <w:sz w:val="21"/>
                <w:szCs w:val="21"/>
              </w:rPr>
            </w:pPr>
            <w:r>
              <w:rPr>
                <w:rFonts w:eastAsia="仿宋" w:cs="Times New Roman"/>
                <w:kern w:val="0"/>
                <w:sz w:val="21"/>
                <w:szCs w:val="21"/>
              </w:rPr>
              <w:t>4</w:t>
            </w:r>
          </w:p>
        </w:tc>
        <w:tc>
          <w:tcPr>
            <w:tcW w:w="2409" w:type="dxa"/>
            <w:vAlign w:val="center"/>
          </w:tcPr>
          <w:p w14:paraId="4AEF5F1F">
            <w:pPr>
              <w:spacing w:line="240" w:lineRule="auto"/>
              <w:ind w:firstLine="0" w:firstLineChars="0"/>
              <w:jc w:val="center"/>
              <w:rPr>
                <w:rFonts w:eastAsia="仿宋" w:cs="Times New Roman"/>
                <w:kern w:val="0"/>
                <w:sz w:val="21"/>
                <w:szCs w:val="21"/>
              </w:rPr>
            </w:pPr>
            <w:r>
              <w:rPr>
                <w:rFonts w:eastAsia="仿宋" w:cs="Times New Roman"/>
                <w:kern w:val="0"/>
                <w:sz w:val="21"/>
                <w:szCs w:val="21"/>
              </w:rPr>
              <w:t>雅河老虎洞沟抗联密营遗址</w:t>
            </w:r>
          </w:p>
        </w:tc>
        <w:tc>
          <w:tcPr>
            <w:tcW w:w="1418" w:type="dxa"/>
            <w:vAlign w:val="center"/>
          </w:tcPr>
          <w:p w14:paraId="5C21077F">
            <w:pPr>
              <w:spacing w:line="240" w:lineRule="auto"/>
              <w:ind w:firstLine="0" w:firstLineChars="0"/>
              <w:jc w:val="center"/>
              <w:rPr>
                <w:rFonts w:eastAsia="仿宋" w:cs="Times New Roman"/>
                <w:kern w:val="0"/>
                <w:sz w:val="21"/>
                <w:szCs w:val="21"/>
              </w:rPr>
            </w:pPr>
            <w:r>
              <w:rPr>
                <w:rFonts w:eastAsia="仿宋" w:cs="Times New Roman"/>
                <w:kern w:val="0"/>
                <w:sz w:val="21"/>
                <w:szCs w:val="21"/>
              </w:rPr>
              <w:t>和平村</w:t>
            </w:r>
          </w:p>
        </w:tc>
        <w:tc>
          <w:tcPr>
            <w:tcW w:w="1276" w:type="dxa"/>
            <w:vAlign w:val="center"/>
          </w:tcPr>
          <w:p w14:paraId="7A2967CD">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275" w:type="dxa"/>
            <w:vAlign w:val="center"/>
          </w:tcPr>
          <w:p w14:paraId="21802D6B">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4D5B24C8">
            <w:pPr>
              <w:spacing w:line="240" w:lineRule="auto"/>
              <w:ind w:firstLine="0" w:firstLineChars="0"/>
              <w:jc w:val="center"/>
              <w:rPr>
                <w:rFonts w:eastAsia="仿宋" w:cs="Times New Roman"/>
                <w:kern w:val="0"/>
                <w:sz w:val="21"/>
                <w:szCs w:val="21"/>
              </w:rPr>
            </w:pPr>
          </w:p>
        </w:tc>
      </w:tr>
      <w:tr w14:paraId="2D9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82B3A3B">
            <w:pPr>
              <w:spacing w:line="240" w:lineRule="auto"/>
              <w:ind w:firstLine="0" w:firstLineChars="0"/>
              <w:jc w:val="center"/>
              <w:rPr>
                <w:rFonts w:eastAsia="仿宋" w:cs="Times New Roman"/>
                <w:kern w:val="0"/>
                <w:sz w:val="21"/>
                <w:szCs w:val="21"/>
              </w:rPr>
            </w:pPr>
            <w:r>
              <w:rPr>
                <w:rFonts w:eastAsia="仿宋" w:cs="Times New Roman"/>
                <w:kern w:val="0"/>
                <w:sz w:val="21"/>
                <w:szCs w:val="21"/>
              </w:rPr>
              <w:t>5</w:t>
            </w:r>
          </w:p>
        </w:tc>
        <w:tc>
          <w:tcPr>
            <w:tcW w:w="2409" w:type="dxa"/>
            <w:vAlign w:val="center"/>
          </w:tcPr>
          <w:p w14:paraId="6D65B81B">
            <w:pPr>
              <w:spacing w:line="240" w:lineRule="auto"/>
              <w:ind w:firstLine="0" w:firstLineChars="0"/>
              <w:jc w:val="center"/>
              <w:rPr>
                <w:rFonts w:eastAsia="仿宋" w:cs="Times New Roman"/>
                <w:kern w:val="0"/>
                <w:sz w:val="21"/>
                <w:szCs w:val="21"/>
              </w:rPr>
            </w:pPr>
            <w:r>
              <w:rPr>
                <w:rFonts w:eastAsia="仿宋" w:cs="Times New Roman"/>
                <w:kern w:val="0"/>
                <w:sz w:val="21"/>
                <w:szCs w:val="21"/>
              </w:rPr>
              <w:t>向阳枫林谷抗联医院遗址（大荒沟）</w:t>
            </w:r>
          </w:p>
        </w:tc>
        <w:tc>
          <w:tcPr>
            <w:tcW w:w="1418" w:type="dxa"/>
            <w:vAlign w:val="center"/>
          </w:tcPr>
          <w:p w14:paraId="7254D95E">
            <w:pPr>
              <w:spacing w:line="240" w:lineRule="auto"/>
              <w:ind w:firstLine="0" w:firstLineChars="0"/>
              <w:jc w:val="center"/>
              <w:rPr>
                <w:rFonts w:eastAsia="仿宋" w:cs="Times New Roman"/>
                <w:kern w:val="0"/>
                <w:sz w:val="21"/>
                <w:szCs w:val="21"/>
              </w:rPr>
            </w:pPr>
            <w:r>
              <w:rPr>
                <w:rFonts w:eastAsia="仿宋" w:cs="Times New Roman"/>
                <w:kern w:val="0"/>
                <w:sz w:val="21"/>
                <w:szCs w:val="21"/>
              </w:rPr>
              <w:t>和平村</w:t>
            </w:r>
          </w:p>
        </w:tc>
        <w:tc>
          <w:tcPr>
            <w:tcW w:w="1276" w:type="dxa"/>
            <w:vAlign w:val="center"/>
          </w:tcPr>
          <w:p w14:paraId="3C23EB34">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275" w:type="dxa"/>
            <w:vAlign w:val="center"/>
          </w:tcPr>
          <w:p w14:paraId="4902EDB3">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1065D4A1">
            <w:pPr>
              <w:spacing w:line="240" w:lineRule="auto"/>
              <w:ind w:firstLine="0" w:firstLineChars="0"/>
              <w:jc w:val="center"/>
              <w:rPr>
                <w:rFonts w:eastAsia="仿宋" w:cs="Times New Roman"/>
                <w:kern w:val="0"/>
                <w:sz w:val="21"/>
                <w:szCs w:val="21"/>
              </w:rPr>
            </w:pPr>
          </w:p>
        </w:tc>
      </w:tr>
    </w:tbl>
    <w:p w14:paraId="2BA34AA4">
      <w:pPr>
        <w:widowControl/>
        <w:adjustRightInd w:val="0"/>
        <w:snapToGrid w:val="0"/>
        <w:ind w:firstLine="640"/>
        <w:rPr>
          <w:rFonts w:cs="Times New Roman"/>
        </w:rPr>
      </w:pPr>
    </w:p>
    <w:bookmarkEnd w:id="48"/>
    <w:p w14:paraId="327340E2">
      <w:pPr>
        <w:pStyle w:val="2"/>
        <w:spacing w:before="312" w:after="312"/>
        <w:rPr>
          <w:rFonts w:ascii="Times New Roman" w:hAnsi="Times New Roman" w:cs="Times New Roman"/>
        </w:rPr>
      </w:pPr>
      <w:bookmarkStart w:id="49" w:name="_Toc29546"/>
      <w:bookmarkStart w:id="50" w:name="_Toc185844293"/>
      <w:r>
        <w:rPr>
          <w:rFonts w:ascii="Times New Roman" w:hAnsi="Times New Roman" w:cs="Times New Roman"/>
        </w:rPr>
        <w:t>第五章 镇村统筹发展</w:t>
      </w:r>
      <w:bookmarkEnd w:id="49"/>
      <w:bookmarkEnd w:id="50"/>
    </w:p>
    <w:p w14:paraId="0A8CE6A3">
      <w:pPr>
        <w:pStyle w:val="3"/>
        <w:rPr>
          <w:rFonts w:ascii="Times New Roman" w:hAnsi="Times New Roman" w:cs="Times New Roman"/>
        </w:rPr>
      </w:pPr>
      <w:bookmarkStart w:id="51" w:name="_Toc185844294"/>
      <w:bookmarkStart w:id="52" w:name="_Toc31136"/>
      <w:r>
        <w:rPr>
          <w:rFonts w:ascii="Times New Roman" w:hAnsi="Times New Roman" w:cs="Times New Roman"/>
        </w:rPr>
        <w:t>第一节 镇村体系</w:t>
      </w:r>
      <w:bookmarkEnd w:id="51"/>
      <w:bookmarkEnd w:id="52"/>
    </w:p>
    <w:p w14:paraId="5A78A818">
      <w:pPr>
        <w:pStyle w:val="4"/>
        <w:numPr>
          <w:ilvl w:val="0"/>
          <w:numId w:val="15"/>
        </w:numPr>
        <w:ind w:left="420" w:firstLine="361" w:firstLineChars="113"/>
      </w:pPr>
      <w:r>
        <w:t>镇村人口规模</w:t>
      </w:r>
    </w:p>
    <w:p w14:paraId="61D5995A">
      <w:pPr>
        <w:ind w:firstLine="640"/>
        <w:rPr>
          <w:rFonts w:cs="Times New Roman"/>
        </w:rPr>
      </w:pPr>
      <w:r>
        <w:rPr>
          <w:rFonts w:cs="Times New Roman"/>
        </w:rPr>
        <w:t>正视人口自然收缩规律，顺应城镇化高质量发展和城镇化发展阶段特征，积极应对人口减少与老龄化现象。</w:t>
      </w:r>
      <w:bookmarkStart w:id="53" w:name="_Hlk131409854"/>
      <w:bookmarkStart w:id="54" w:name="_Hlk131410016"/>
      <w:r>
        <w:rPr>
          <w:rFonts w:cs="Times New Roman"/>
        </w:rPr>
        <w:t>规划至</w:t>
      </w:r>
      <w:bookmarkEnd w:id="53"/>
      <w:r>
        <w:rPr>
          <w:rFonts w:cs="Times New Roman"/>
        </w:rPr>
        <w:t>2035年，向阳乡域常住人口规模约8000人，乡中心区人口约为2000人</w:t>
      </w:r>
      <w:bookmarkEnd w:id="54"/>
      <w:r>
        <w:rPr>
          <w:rFonts w:cs="Times New Roman"/>
        </w:rPr>
        <w:t>。</w:t>
      </w:r>
    </w:p>
    <w:p w14:paraId="5A68FC78">
      <w:pPr>
        <w:pStyle w:val="4"/>
        <w:numPr>
          <w:ilvl w:val="0"/>
          <w:numId w:val="1"/>
        </w:numPr>
        <w:ind w:left="860" w:firstLine="361" w:firstLineChars="113"/>
      </w:pPr>
      <w:r>
        <w:t>镇村等级规模职能结构</w:t>
      </w:r>
    </w:p>
    <w:p w14:paraId="08AA5B38">
      <w:pPr>
        <w:ind w:firstLine="640"/>
        <w:rPr>
          <w:rFonts w:cs="Times New Roman"/>
        </w:rPr>
      </w:pPr>
      <w:r>
        <w:rPr>
          <w:rFonts w:cs="Times New Roman"/>
        </w:rPr>
        <w:t>落实上位规划引导，综合考虑人口规模、经济职能、辐射范围等因素，</w:t>
      </w:r>
      <w:r>
        <w:rPr>
          <w:rFonts w:hint="eastAsia" w:cs="Times New Roman"/>
        </w:rPr>
        <w:t>规划确定向阳乡为一般乡镇，</w:t>
      </w:r>
      <w:r>
        <w:rPr>
          <w:rFonts w:cs="Times New Roman"/>
        </w:rPr>
        <w:t>构建“乡中心区—中心村—一般村”三级镇村等级结构体系。</w:t>
      </w:r>
      <w:r>
        <w:rPr>
          <w:rFonts w:cs="Times New Roman"/>
        </w:rPr>
        <w:cr/>
      </w:r>
      <w:r>
        <w:rPr>
          <w:rFonts w:cs="Times New Roman"/>
        </w:rPr>
        <w:t xml:space="preserve">    乡中心区：以乡政府驻地向阳村为核心，是全域的政治、经济、文化中心和综合服务中心。其主要职能包括面向全域的管理职能、生产职能、服务职能、集散职能，作为全域的核心，要不断扩大辐射范围，设施配套按全域服务人口核算。规划结合较好的交通运输条件和各项资源优势，加快发展旅游服务业和特色农业，优化资源配置走集约型循环经济发展道路。</w:t>
      </w:r>
    </w:p>
    <w:p w14:paraId="0A7A1BBC">
      <w:pPr>
        <w:ind w:firstLine="640"/>
        <w:rPr>
          <w:rFonts w:cs="Times New Roman"/>
        </w:rPr>
      </w:pPr>
      <w:r>
        <w:rPr>
          <w:rFonts w:cs="Times New Roman"/>
        </w:rPr>
        <w:t>中心村：和平村。向阳乡各种旅游资源要素在此全面聚合、高度集中，是全乡未来人口、产业、功能扩散以及旅游集散的主要承载地区。要充分发挥旅游资源优势，形成村庄组团的中心，为周边村庄提供设施支撑，带动周边村庄发展。规划以乡村旅游为主导产业，依托良好的区位交通条件及生态资源禀赋，完善基础设施和公共服务设施配套，带动全域旅游业发展。中心村常住人口规模2000人。</w:t>
      </w:r>
    </w:p>
    <w:p w14:paraId="0986AB1B">
      <w:pPr>
        <w:ind w:firstLine="640"/>
        <w:rPr>
          <w:rFonts w:cs="Times New Roman"/>
        </w:rPr>
      </w:pPr>
      <w:r>
        <w:rPr>
          <w:rFonts w:cs="Times New Roman"/>
        </w:rPr>
        <w:t>一般村：爬宝村、双台村、北岔村、回龙村4个一般村，是农村生活、日常公共服务中心和专业化农业生产基地。加快板栗、平欧大榛子、林下参、五味子、食用菌等特色农业发展，完善乡村基础设施和服务设施，提升人居环境水平。一般村常住人口规模2000人以下。</w:t>
      </w:r>
    </w:p>
    <w:p w14:paraId="0E5ED9F1">
      <w:pPr>
        <w:pStyle w:val="3"/>
        <w:rPr>
          <w:rFonts w:ascii="Times New Roman" w:hAnsi="Times New Roman" w:cs="Times New Roman"/>
        </w:rPr>
      </w:pPr>
      <w:bookmarkStart w:id="55" w:name="_Toc185844295"/>
      <w:bookmarkStart w:id="56" w:name="_Toc175064675"/>
      <w:bookmarkStart w:id="57" w:name="_Toc17166"/>
      <w:r>
        <w:rPr>
          <w:rFonts w:ascii="Times New Roman" w:hAnsi="Times New Roman" w:cs="Times New Roman"/>
        </w:rPr>
        <w:t>第二节 村庄布局</w:t>
      </w:r>
      <w:bookmarkEnd w:id="55"/>
      <w:bookmarkEnd w:id="56"/>
      <w:bookmarkEnd w:id="57"/>
    </w:p>
    <w:p w14:paraId="67DBAFB1">
      <w:pPr>
        <w:pStyle w:val="4"/>
        <w:numPr>
          <w:ilvl w:val="0"/>
          <w:numId w:val="16"/>
        </w:numPr>
        <w:ind w:left="420" w:firstLine="361" w:firstLineChars="113"/>
        <w:rPr>
          <w:rFonts w:eastAsia="楷体"/>
        </w:rPr>
      </w:pPr>
      <w:r>
        <w:t>村庄分类引导</w:t>
      </w:r>
    </w:p>
    <w:p w14:paraId="71EFFB87">
      <w:pPr>
        <w:widowControl/>
        <w:adjustRightInd w:val="0"/>
        <w:snapToGrid w:val="0"/>
        <w:ind w:firstLine="640"/>
        <w:rPr>
          <w:rFonts w:cs="Times New Roman"/>
        </w:rPr>
      </w:pPr>
      <w:r>
        <w:rPr>
          <w:rFonts w:cs="Times New Roman"/>
        </w:rPr>
        <w:t>改善乡村人居环境，保护提升乡村风貌格局，顺应村庄发展规律和演变趋势，根据不同村庄的发展现状、区位条件、资源禀赋等，</w:t>
      </w:r>
      <w:r>
        <w:rPr>
          <w:rFonts w:cs="Times New Roman"/>
          <w:color w:val="000000"/>
          <w:szCs w:val="32"/>
          <w:lang w:bidi="ar"/>
        </w:rPr>
        <w:t>按照集聚建设、整治提升、城郊融合、特色保护的思路，</w:t>
      </w:r>
      <w:r>
        <w:rPr>
          <w:rFonts w:cs="Times New Roman"/>
        </w:rPr>
        <w:t>加强村庄发展的分类引导，分类推进乡村发展。</w:t>
      </w:r>
    </w:p>
    <w:p w14:paraId="1E916F45">
      <w:pPr>
        <w:widowControl/>
        <w:adjustRightInd w:val="0"/>
        <w:snapToGrid w:val="0"/>
        <w:ind w:firstLine="640"/>
        <w:rPr>
          <w:rFonts w:cs="Times New Roman"/>
        </w:rPr>
      </w:pPr>
      <w:r>
        <w:rPr>
          <w:rFonts w:cs="Times New Roman"/>
        </w:rPr>
        <w:t>规划全域内</w:t>
      </w:r>
      <w:bookmarkStart w:id="58" w:name="OLE_LINK11"/>
      <w:r>
        <w:rPr>
          <w:rFonts w:cs="Times New Roman"/>
        </w:rPr>
        <w:t>集聚建设类</w:t>
      </w:r>
      <w:bookmarkEnd w:id="58"/>
      <w:r>
        <w:rPr>
          <w:rFonts w:cs="Times New Roman"/>
        </w:rPr>
        <w:t>村庄1个，</w:t>
      </w:r>
      <w:bookmarkStart w:id="59" w:name="OLE_LINK12"/>
      <w:r>
        <w:rPr>
          <w:rFonts w:cs="Times New Roman"/>
        </w:rPr>
        <w:t>整治提升类</w:t>
      </w:r>
      <w:bookmarkEnd w:id="59"/>
      <w:r>
        <w:rPr>
          <w:rFonts w:cs="Times New Roman"/>
        </w:rPr>
        <w:t>村庄4个，城郊融合类村庄1个，无</w:t>
      </w:r>
      <w:del w:id="7" w:author="杨起" w:date="2026-03-24T15:53:18Z">
        <w:r>
          <w:rPr>
            <w:rFonts w:cs="Times New Roman"/>
          </w:rPr>
          <w:delText>和</w:delText>
        </w:r>
      </w:del>
      <w:r>
        <w:rPr>
          <w:rFonts w:cs="Times New Roman"/>
        </w:rPr>
        <w:t>拆迁撤并类，村庄规划编制应按照《辽宁省村庄规划导则（试行）》要求，对村庄进行分类发展引导。</w:t>
      </w:r>
    </w:p>
    <w:p w14:paraId="4C665C0B">
      <w:pPr>
        <w:widowControl/>
        <w:adjustRightInd w:val="0"/>
        <w:snapToGrid w:val="0"/>
        <w:ind w:firstLine="640"/>
        <w:rPr>
          <w:rFonts w:cs="Times New Roman"/>
        </w:rPr>
      </w:pPr>
    </w:p>
    <w:p w14:paraId="0DE5F1C2">
      <w:pPr>
        <w:widowControl/>
        <w:adjustRightInd w:val="0"/>
        <w:snapToGrid w:val="0"/>
        <w:ind w:firstLine="640"/>
        <w:rPr>
          <w:rFonts w:cs="Times New Roman"/>
        </w:rPr>
      </w:pPr>
    </w:p>
    <w:p w14:paraId="49785832">
      <w:pPr>
        <w:widowControl/>
        <w:adjustRightInd w:val="0"/>
        <w:snapToGrid w:val="0"/>
        <w:ind w:firstLine="640"/>
        <w:rPr>
          <w:rFonts w:cs="Times New Roman"/>
        </w:rPr>
      </w:pPr>
    </w:p>
    <w:p w14:paraId="28DC6343">
      <w:pPr>
        <w:widowControl/>
        <w:adjustRightInd w:val="0"/>
        <w:snapToGrid w:val="0"/>
        <w:ind w:firstLine="640"/>
        <w:rPr>
          <w:rFonts w:cs="Times New Roman"/>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6"/>
        <w:gridCol w:w="1286"/>
        <w:gridCol w:w="2133"/>
        <w:gridCol w:w="2133"/>
      </w:tblGrid>
      <w:tr w14:paraId="4C6C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29D8C6CD">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行政村类型</w:t>
            </w:r>
          </w:p>
        </w:tc>
        <w:tc>
          <w:tcPr>
            <w:tcW w:w="754" w:type="pct"/>
            <w:vAlign w:val="center"/>
          </w:tcPr>
          <w:p w14:paraId="7C4F688E">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数量</w:t>
            </w:r>
          </w:p>
        </w:tc>
        <w:tc>
          <w:tcPr>
            <w:tcW w:w="1250" w:type="pct"/>
            <w:vAlign w:val="center"/>
          </w:tcPr>
          <w:p w14:paraId="0D6B17BC">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行政村名称</w:t>
            </w:r>
          </w:p>
        </w:tc>
        <w:tc>
          <w:tcPr>
            <w:tcW w:w="1250" w:type="pct"/>
            <w:vAlign w:val="center"/>
          </w:tcPr>
          <w:p w14:paraId="607A3C6B">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备注</w:t>
            </w:r>
          </w:p>
        </w:tc>
      </w:tr>
      <w:tr w14:paraId="4C2A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04F7F9EF">
            <w:pPr>
              <w:spacing w:line="240" w:lineRule="auto"/>
              <w:ind w:firstLine="0" w:firstLineChars="0"/>
              <w:jc w:val="center"/>
              <w:rPr>
                <w:rFonts w:cs="Times New Roman"/>
                <w:kern w:val="0"/>
                <w:sz w:val="21"/>
                <w:szCs w:val="21"/>
              </w:rPr>
            </w:pPr>
            <w:r>
              <w:rPr>
                <w:rFonts w:cs="Times New Roman"/>
                <w:kern w:val="0"/>
                <w:sz w:val="21"/>
                <w:szCs w:val="21"/>
              </w:rPr>
              <w:t>集聚建设类</w:t>
            </w:r>
          </w:p>
        </w:tc>
        <w:tc>
          <w:tcPr>
            <w:tcW w:w="754" w:type="pct"/>
            <w:vAlign w:val="center"/>
          </w:tcPr>
          <w:p w14:paraId="383BF5EE">
            <w:pPr>
              <w:spacing w:line="240" w:lineRule="auto"/>
              <w:ind w:firstLine="0" w:firstLineChars="0"/>
              <w:jc w:val="center"/>
              <w:rPr>
                <w:rFonts w:cs="Times New Roman"/>
                <w:kern w:val="0"/>
                <w:sz w:val="21"/>
                <w:szCs w:val="21"/>
              </w:rPr>
            </w:pPr>
            <w:r>
              <w:rPr>
                <w:rFonts w:cs="Times New Roman"/>
                <w:kern w:val="0"/>
                <w:sz w:val="21"/>
                <w:szCs w:val="21"/>
              </w:rPr>
              <w:t>1</w:t>
            </w:r>
          </w:p>
        </w:tc>
        <w:tc>
          <w:tcPr>
            <w:tcW w:w="1250" w:type="pct"/>
            <w:vAlign w:val="center"/>
          </w:tcPr>
          <w:p w14:paraId="6F567676">
            <w:pPr>
              <w:spacing w:line="240" w:lineRule="auto"/>
              <w:ind w:firstLine="0" w:firstLineChars="0"/>
              <w:jc w:val="center"/>
              <w:rPr>
                <w:rFonts w:cs="Times New Roman"/>
                <w:kern w:val="0"/>
                <w:sz w:val="21"/>
                <w:szCs w:val="21"/>
              </w:rPr>
            </w:pPr>
            <w:r>
              <w:rPr>
                <w:rFonts w:cs="Times New Roman"/>
                <w:kern w:val="0"/>
                <w:sz w:val="21"/>
                <w:szCs w:val="21"/>
              </w:rPr>
              <w:t>和平村</w:t>
            </w:r>
          </w:p>
        </w:tc>
        <w:tc>
          <w:tcPr>
            <w:tcW w:w="1250" w:type="pct"/>
          </w:tcPr>
          <w:p w14:paraId="630B8640">
            <w:pPr>
              <w:widowControl/>
              <w:spacing w:line="240" w:lineRule="auto"/>
              <w:ind w:firstLine="0" w:firstLineChars="0"/>
              <w:jc w:val="center"/>
              <w:rPr>
                <w:rFonts w:eastAsia="黑体" w:cs="Times New Roman"/>
                <w:color w:val="000000"/>
                <w:kern w:val="0"/>
                <w:sz w:val="21"/>
                <w:szCs w:val="21"/>
                <w:lang w:bidi="ar"/>
              </w:rPr>
            </w:pPr>
          </w:p>
        </w:tc>
      </w:tr>
      <w:tr w14:paraId="1C8C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restart"/>
            <w:vAlign w:val="center"/>
          </w:tcPr>
          <w:p w14:paraId="0872F5F6">
            <w:pPr>
              <w:spacing w:line="240" w:lineRule="auto"/>
              <w:ind w:firstLine="0" w:firstLineChars="0"/>
              <w:jc w:val="center"/>
              <w:rPr>
                <w:rFonts w:cs="Times New Roman"/>
                <w:kern w:val="0"/>
                <w:sz w:val="21"/>
                <w:szCs w:val="21"/>
              </w:rPr>
            </w:pPr>
            <w:r>
              <w:rPr>
                <w:rFonts w:cs="Times New Roman"/>
                <w:kern w:val="0"/>
                <w:sz w:val="21"/>
                <w:szCs w:val="21"/>
              </w:rPr>
              <w:t>整治提升类</w:t>
            </w:r>
          </w:p>
        </w:tc>
        <w:tc>
          <w:tcPr>
            <w:tcW w:w="754" w:type="pct"/>
            <w:vMerge w:val="restart"/>
            <w:vAlign w:val="center"/>
          </w:tcPr>
          <w:p w14:paraId="3D528A80">
            <w:pPr>
              <w:spacing w:line="240" w:lineRule="auto"/>
              <w:ind w:firstLine="0" w:firstLineChars="0"/>
              <w:jc w:val="center"/>
              <w:rPr>
                <w:rFonts w:cs="Times New Roman"/>
                <w:kern w:val="0"/>
                <w:sz w:val="21"/>
                <w:szCs w:val="21"/>
              </w:rPr>
            </w:pPr>
            <w:r>
              <w:rPr>
                <w:rFonts w:cs="Times New Roman"/>
                <w:kern w:val="0"/>
                <w:sz w:val="21"/>
                <w:szCs w:val="21"/>
              </w:rPr>
              <w:t>4</w:t>
            </w:r>
          </w:p>
        </w:tc>
        <w:tc>
          <w:tcPr>
            <w:tcW w:w="1250" w:type="pct"/>
            <w:vAlign w:val="center"/>
          </w:tcPr>
          <w:p w14:paraId="229829D1">
            <w:pPr>
              <w:spacing w:line="240" w:lineRule="auto"/>
              <w:ind w:firstLine="0" w:firstLineChars="0"/>
              <w:jc w:val="center"/>
              <w:rPr>
                <w:rFonts w:cs="Times New Roman"/>
                <w:kern w:val="0"/>
                <w:sz w:val="21"/>
                <w:szCs w:val="21"/>
              </w:rPr>
            </w:pPr>
            <w:r>
              <w:rPr>
                <w:rFonts w:cs="Times New Roman"/>
                <w:color w:val="000000"/>
                <w:sz w:val="21"/>
                <w:szCs w:val="21"/>
              </w:rPr>
              <w:t>回龙村</w:t>
            </w:r>
          </w:p>
        </w:tc>
        <w:tc>
          <w:tcPr>
            <w:tcW w:w="1250" w:type="pct"/>
          </w:tcPr>
          <w:p w14:paraId="4288FE2F">
            <w:pPr>
              <w:widowControl/>
              <w:spacing w:line="240" w:lineRule="auto"/>
              <w:ind w:firstLine="0" w:firstLineChars="0"/>
              <w:jc w:val="center"/>
              <w:rPr>
                <w:rFonts w:eastAsia="黑体" w:cs="Times New Roman"/>
                <w:color w:val="000000"/>
                <w:kern w:val="0"/>
                <w:sz w:val="21"/>
                <w:szCs w:val="21"/>
                <w:lang w:bidi="ar"/>
              </w:rPr>
            </w:pPr>
          </w:p>
        </w:tc>
      </w:tr>
      <w:tr w14:paraId="328E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continue"/>
            <w:vAlign w:val="center"/>
          </w:tcPr>
          <w:p w14:paraId="46D8D5E1">
            <w:pPr>
              <w:spacing w:line="240" w:lineRule="auto"/>
              <w:ind w:firstLine="0" w:firstLineChars="0"/>
              <w:jc w:val="center"/>
              <w:rPr>
                <w:rFonts w:cs="Times New Roman"/>
                <w:kern w:val="0"/>
                <w:sz w:val="21"/>
                <w:szCs w:val="21"/>
              </w:rPr>
            </w:pPr>
          </w:p>
        </w:tc>
        <w:tc>
          <w:tcPr>
            <w:tcW w:w="754" w:type="pct"/>
            <w:vMerge w:val="continue"/>
            <w:vAlign w:val="center"/>
          </w:tcPr>
          <w:p w14:paraId="0791FD25">
            <w:pPr>
              <w:spacing w:line="240" w:lineRule="auto"/>
              <w:ind w:firstLine="0" w:firstLineChars="0"/>
              <w:jc w:val="center"/>
              <w:rPr>
                <w:rFonts w:cs="Times New Roman"/>
                <w:kern w:val="0"/>
                <w:sz w:val="21"/>
                <w:szCs w:val="21"/>
              </w:rPr>
            </w:pPr>
          </w:p>
        </w:tc>
        <w:tc>
          <w:tcPr>
            <w:tcW w:w="1250" w:type="pct"/>
            <w:vAlign w:val="center"/>
          </w:tcPr>
          <w:p w14:paraId="06A93735">
            <w:pPr>
              <w:spacing w:line="240" w:lineRule="auto"/>
              <w:ind w:firstLine="0" w:firstLineChars="0"/>
              <w:jc w:val="center"/>
              <w:rPr>
                <w:rFonts w:cs="Times New Roman"/>
                <w:kern w:val="0"/>
                <w:sz w:val="21"/>
                <w:szCs w:val="21"/>
              </w:rPr>
            </w:pPr>
            <w:r>
              <w:rPr>
                <w:rFonts w:cs="Times New Roman"/>
                <w:color w:val="000000"/>
                <w:sz w:val="21"/>
                <w:szCs w:val="21"/>
              </w:rPr>
              <w:t>爬宝村</w:t>
            </w:r>
          </w:p>
        </w:tc>
        <w:tc>
          <w:tcPr>
            <w:tcW w:w="1250" w:type="pct"/>
          </w:tcPr>
          <w:p w14:paraId="24B799AA">
            <w:pPr>
              <w:widowControl/>
              <w:spacing w:line="240" w:lineRule="auto"/>
              <w:ind w:firstLine="0" w:firstLineChars="0"/>
              <w:jc w:val="center"/>
              <w:rPr>
                <w:rFonts w:eastAsia="黑体" w:cs="Times New Roman"/>
                <w:color w:val="000000"/>
                <w:kern w:val="0"/>
                <w:sz w:val="21"/>
                <w:szCs w:val="21"/>
                <w:lang w:bidi="ar"/>
              </w:rPr>
            </w:pPr>
          </w:p>
        </w:tc>
      </w:tr>
      <w:tr w14:paraId="021F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continue"/>
            <w:vAlign w:val="center"/>
          </w:tcPr>
          <w:p w14:paraId="2A2B848E">
            <w:pPr>
              <w:spacing w:line="240" w:lineRule="auto"/>
              <w:ind w:firstLine="0" w:firstLineChars="0"/>
              <w:jc w:val="center"/>
              <w:rPr>
                <w:rFonts w:cs="Times New Roman"/>
                <w:kern w:val="0"/>
                <w:sz w:val="21"/>
                <w:szCs w:val="21"/>
              </w:rPr>
            </w:pPr>
          </w:p>
        </w:tc>
        <w:tc>
          <w:tcPr>
            <w:tcW w:w="754" w:type="pct"/>
            <w:vMerge w:val="continue"/>
            <w:vAlign w:val="center"/>
          </w:tcPr>
          <w:p w14:paraId="628911D4">
            <w:pPr>
              <w:spacing w:line="240" w:lineRule="auto"/>
              <w:ind w:firstLine="0" w:firstLineChars="0"/>
              <w:jc w:val="center"/>
              <w:rPr>
                <w:rFonts w:cs="Times New Roman"/>
                <w:kern w:val="0"/>
                <w:sz w:val="21"/>
                <w:szCs w:val="21"/>
              </w:rPr>
            </w:pPr>
          </w:p>
        </w:tc>
        <w:tc>
          <w:tcPr>
            <w:tcW w:w="1250" w:type="pct"/>
            <w:vAlign w:val="center"/>
          </w:tcPr>
          <w:p w14:paraId="3F7DCE7A">
            <w:pPr>
              <w:spacing w:line="240" w:lineRule="auto"/>
              <w:ind w:firstLine="0" w:firstLineChars="0"/>
              <w:jc w:val="center"/>
              <w:rPr>
                <w:rFonts w:cs="Times New Roman"/>
                <w:color w:val="000000"/>
                <w:sz w:val="21"/>
                <w:szCs w:val="21"/>
              </w:rPr>
            </w:pPr>
            <w:r>
              <w:rPr>
                <w:rFonts w:cs="Times New Roman"/>
                <w:color w:val="000000"/>
                <w:sz w:val="21"/>
                <w:szCs w:val="21"/>
              </w:rPr>
              <w:t>北岔村</w:t>
            </w:r>
          </w:p>
        </w:tc>
        <w:tc>
          <w:tcPr>
            <w:tcW w:w="1250" w:type="pct"/>
          </w:tcPr>
          <w:p w14:paraId="5866FDB4">
            <w:pPr>
              <w:widowControl/>
              <w:spacing w:line="240" w:lineRule="auto"/>
              <w:ind w:firstLine="0" w:firstLineChars="0"/>
              <w:jc w:val="center"/>
              <w:rPr>
                <w:rFonts w:eastAsia="黑体" w:cs="Times New Roman"/>
                <w:color w:val="000000"/>
                <w:kern w:val="0"/>
                <w:sz w:val="21"/>
                <w:szCs w:val="21"/>
                <w:lang w:bidi="ar"/>
              </w:rPr>
            </w:pPr>
          </w:p>
        </w:tc>
      </w:tr>
      <w:tr w14:paraId="6340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continue"/>
            <w:vAlign w:val="center"/>
          </w:tcPr>
          <w:p w14:paraId="17D545FA">
            <w:pPr>
              <w:spacing w:line="240" w:lineRule="auto"/>
              <w:ind w:firstLine="0" w:firstLineChars="0"/>
              <w:jc w:val="center"/>
              <w:rPr>
                <w:rFonts w:cs="Times New Roman"/>
                <w:kern w:val="0"/>
                <w:sz w:val="21"/>
                <w:szCs w:val="21"/>
              </w:rPr>
            </w:pPr>
          </w:p>
        </w:tc>
        <w:tc>
          <w:tcPr>
            <w:tcW w:w="754" w:type="pct"/>
            <w:vMerge w:val="continue"/>
            <w:vAlign w:val="center"/>
          </w:tcPr>
          <w:p w14:paraId="6BEA4B68">
            <w:pPr>
              <w:spacing w:line="240" w:lineRule="auto"/>
              <w:ind w:firstLine="0" w:firstLineChars="0"/>
              <w:jc w:val="center"/>
              <w:rPr>
                <w:rFonts w:cs="Times New Roman"/>
                <w:kern w:val="0"/>
                <w:sz w:val="21"/>
                <w:szCs w:val="21"/>
              </w:rPr>
            </w:pPr>
          </w:p>
        </w:tc>
        <w:tc>
          <w:tcPr>
            <w:tcW w:w="1250" w:type="pct"/>
            <w:vAlign w:val="center"/>
          </w:tcPr>
          <w:p w14:paraId="165BBF7B">
            <w:pPr>
              <w:spacing w:line="240" w:lineRule="auto"/>
              <w:ind w:firstLine="0" w:firstLineChars="0"/>
              <w:jc w:val="center"/>
              <w:rPr>
                <w:rFonts w:cs="Times New Roman"/>
                <w:kern w:val="0"/>
                <w:sz w:val="21"/>
                <w:szCs w:val="21"/>
              </w:rPr>
            </w:pPr>
            <w:r>
              <w:rPr>
                <w:rFonts w:cs="Times New Roman"/>
                <w:color w:val="000000"/>
                <w:sz w:val="21"/>
                <w:szCs w:val="21"/>
              </w:rPr>
              <w:t>双合村</w:t>
            </w:r>
          </w:p>
        </w:tc>
        <w:tc>
          <w:tcPr>
            <w:tcW w:w="1250" w:type="pct"/>
          </w:tcPr>
          <w:p w14:paraId="58CD9E56">
            <w:pPr>
              <w:widowControl/>
              <w:spacing w:line="240" w:lineRule="auto"/>
              <w:ind w:firstLine="0" w:firstLineChars="0"/>
              <w:jc w:val="center"/>
              <w:rPr>
                <w:rFonts w:eastAsia="黑体" w:cs="Times New Roman"/>
                <w:color w:val="000000"/>
                <w:kern w:val="0"/>
                <w:sz w:val="21"/>
                <w:szCs w:val="21"/>
                <w:lang w:bidi="ar"/>
              </w:rPr>
            </w:pPr>
          </w:p>
        </w:tc>
      </w:tr>
      <w:tr w14:paraId="399F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2D835A54">
            <w:pPr>
              <w:spacing w:line="240" w:lineRule="auto"/>
              <w:ind w:firstLine="0" w:firstLineChars="0"/>
              <w:jc w:val="center"/>
              <w:rPr>
                <w:rFonts w:cs="Times New Roman"/>
                <w:kern w:val="0"/>
                <w:sz w:val="21"/>
                <w:szCs w:val="21"/>
              </w:rPr>
            </w:pPr>
            <w:r>
              <w:rPr>
                <w:rFonts w:cs="Times New Roman"/>
                <w:kern w:val="0"/>
                <w:sz w:val="21"/>
                <w:szCs w:val="21"/>
              </w:rPr>
              <w:t>城郊融合类</w:t>
            </w:r>
          </w:p>
        </w:tc>
        <w:tc>
          <w:tcPr>
            <w:tcW w:w="754" w:type="pct"/>
            <w:vAlign w:val="center"/>
          </w:tcPr>
          <w:p w14:paraId="232D2188">
            <w:pPr>
              <w:spacing w:line="240" w:lineRule="auto"/>
              <w:ind w:firstLine="0" w:firstLineChars="0"/>
              <w:jc w:val="center"/>
              <w:rPr>
                <w:rFonts w:cs="Times New Roman"/>
                <w:kern w:val="0"/>
                <w:sz w:val="21"/>
                <w:szCs w:val="21"/>
              </w:rPr>
            </w:pPr>
            <w:r>
              <w:rPr>
                <w:rFonts w:cs="Times New Roman"/>
                <w:kern w:val="0"/>
                <w:sz w:val="21"/>
                <w:szCs w:val="21"/>
              </w:rPr>
              <w:t>1</w:t>
            </w:r>
          </w:p>
        </w:tc>
        <w:tc>
          <w:tcPr>
            <w:tcW w:w="1250" w:type="pct"/>
            <w:vAlign w:val="center"/>
          </w:tcPr>
          <w:p w14:paraId="156C3028">
            <w:pPr>
              <w:spacing w:line="240" w:lineRule="auto"/>
              <w:ind w:firstLine="0" w:firstLineChars="0"/>
              <w:jc w:val="center"/>
              <w:rPr>
                <w:rFonts w:cs="Times New Roman"/>
                <w:kern w:val="0"/>
                <w:sz w:val="21"/>
                <w:szCs w:val="21"/>
              </w:rPr>
            </w:pPr>
            <w:r>
              <w:rPr>
                <w:rFonts w:cs="Times New Roman"/>
                <w:kern w:val="0"/>
                <w:sz w:val="21"/>
                <w:szCs w:val="21"/>
              </w:rPr>
              <w:t>向阳村</w:t>
            </w:r>
          </w:p>
        </w:tc>
        <w:tc>
          <w:tcPr>
            <w:tcW w:w="1250" w:type="pct"/>
          </w:tcPr>
          <w:p w14:paraId="72802886">
            <w:pPr>
              <w:widowControl/>
              <w:spacing w:line="240" w:lineRule="auto"/>
              <w:ind w:firstLine="0" w:firstLineChars="0"/>
              <w:jc w:val="center"/>
              <w:rPr>
                <w:rFonts w:eastAsia="黑体" w:cs="Times New Roman"/>
                <w:color w:val="000000"/>
                <w:kern w:val="0"/>
                <w:sz w:val="21"/>
                <w:szCs w:val="21"/>
                <w:lang w:bidi="ar"/>
              </w:rPr>
            </w:pPr>
          </w:p>
        </w:tc>
      </w:tr>
    </w:tbl>
    <w:p w14:paraId="38F6B702">
      <w:pPr>
        <w:widowControl/>
        <w:adjustRightInd w:val="0"/>
        <w:snapToGrid w:val="0"/>
        <w:ind w:firstLine="0" w:firstLineChars="0"/>
        <w:rPr>
          <w:rFonts w:cs="Times New Roman"/>
        </w:rPr>
      </w:pPr>
    </w:p>
    <w:p w14:paraId="6BD79726">
      <w:pPr>
        <w:widowControl/>
        <w:adjustRightInd w:val="0"/>
        <w:snapToGrid w:val="0"/>
        <w:ind w:firstLine="0" w:firstLineChars="0"/>
        <w:rPr>
          <w:rFonts w:cs="Times New Roman"/>
        </w:rPr>
      </w:pPr>
    </w:p>
    <w:p w14:paraId="54F206AD">
      <w:pPr>
        <w:widowControl/>
        <w:adjustRightInd w:val="0"/>
        <w:snapToGrid w:val="0"/>
        <w:ind w:firstLine="0" w:firstLineChars="0"/>
        <w:rPr>
          <w:rFonts w:cs="Times New Roman"/>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15D9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000" w:type="pct"/>
            <w:tcBorders>
              <w:top w:val="single" w:color="auto" w:sz="4" w:space="0"/>
              <w:left w:val="single" w:color="auto" w:sz="4" w:space="0"/>
              <w:bottom w:val="single" w:color="auto" w:sz="4" w:space="0"/>
              <w:right w:val="single" w:color="auto" w:sz="4" w:space="0"/>
            </w:tcBorders>
          </w:tcPr>
          <w:p w14:paraId="63F70073">
            <w:pPr>
              <w:pStyle w:val="13"/>
              <w:widowControl w:val="0"/>
              <w:tabs>
                <w:tab w:val="left" w:pos="0"/>
                <w:tab w:val="left" w:pos="5530"/>
              </w:tabs>
              <w:adjustRightInd/>
              <w:snapToGrid/>
              <w:spacing w:before="0" w:beforeAutospacing="0" w:after="0" w:afterAutospacing="0" w:line="500" w:lineRule="exact"/>
              <w:ind w:firstLine="560"/>
              <w:jc w:val="center"/>
              <w:rPr>
                <w:rFonts w:ascii="Times New Roman" w:hAnsi="Times New Roman" w:eastAsia="仿宋" w:cs="Times New Roman"/>
                <w:kern w:val="2"/>
                <w:sz w:val="32"/>
                <w:szCs w:val="32"/>
              </w:rPr>
            </w:pPr>
            <w:r>
              <w:rPr>
                <w:rFonts w:ascii="Times New Roman" w:hAnsi="Times New Roman" w:eastAsia="黑体" w:cs="Times New Roman"/>
                <w:kern w:val="2"/>
                <w:sz w:val="28"/>
                <w:szCs w:val="28"/>
                <w:lang w:bidi="ar"/>
              </w:rPr>
              <w:t>专栏1 村庄分类与建设指引</w:t>
            </w:r>
          </w:p>
        </w:tc>
      </w:tr>
      <w:tr w14:paraId="2B04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14:paraId="45DF8BE5">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集聚建设类村庄：规划确定和平村为集聚建设类村庄。坚持保护优先、节约优先，配建补齐各类基础设施，加快人居环境整治，建设美丽宜居村庄。通过打造专业村庄，强化对周边村庄的辐射带动和示范作用，引导周边零散居民点向该类型村庄集聚。鼓励发挥自身比较优势，强化主导产业支撑。强化村庄空间与区域环境协调性。</w:t>
            </w:r>
          </w:p>
          <w:p w14:paraId="2C06B2E0">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整治提升类村庄：规划确定回龙村、爬宝村、北岔村、双合村为整治提升类村庄。以改善村民生活居住环境为目的，重点补齐村庄设施短板、强化村庄人居环境整治、保障村民合理建房需求、塑造乡村特色风貌，提高村民的生活居住质量。积极盘活存量用地。</w:t>
            </w:r>
          </w:p>
          <w:p w14:paraId="1808F752">
            <w:pPr>
              <w:pStyle w:val="13"/>
              <w:spacing w:before="0" w:beforeAutospacing="0" w:after="0" w:afterAutospacing="0" w:line="500" w:lineRule="exact"/>
              <w:ind w:firstLine="560" w:firstLineChars="200"/>
              <w:jc w:val="both"/>
              <w:rPr>
                <w:rFonts w:ascii="Times New Roman" w:hAnsi="Times New Roman" w:cs="Times New Roman"/>
              </w:rPr>
            </w:pPr>
            <w:r>
              <w:rPr>
                <w:rFonts w:ascii="Times New Roman" w:hAnsi="Times New Roman" w:eastAsia="仿宋_GB2312" w:cs="Times New Roman"/>
                <w:kern w:val="2"/>
                <w:sz w:val="28"/>
                <w:szCs w:val="20"/>
                <w:lang w:bidi="ar"/>
              </w:rPr>
              <w:t>城郊融合类村庄：规划确定向阳村为城郊融合类村庄。推动城乡产业融合发展、基础设施互联互通、公共服务设施共建共享，打造宜居、宜业、宜游的现代化村庄。鼓励工业企业与农业形成优势互补，共同打造从田间到餐桌的完整产业链。完善公共服务设施，满足村民的基本需求。</w:t>
            </w:r>
          </w:p>
        </w:tc>
      </w:tr>
    </w:tbl>
    <w:p w14:paraId="70E9C5AE">
      <w:pPr>
        <w:pStyle w:val="4"/>
        <w:numPr>
          <w:ilvl w:val="0"/>
          <w:numId w:val="1"/>
        </w:numPr>
        <w:ind w:left="860" w:firstLine="361" w:firstLineChars="113"/>
        <w:rPr>
          <w:rFonts w:eastAsia="楷体"/>
        </w:rPr>
      </w:pPr>
      <w:r>
        <w:t>村庄分型引导</w:t>
      </w:r>
    </w:p>
    <w:p w14:paraId="53519CC5">
      <w:pPr>
        <w:widowControl/>
        <w:adjustRightInd w:val="0"/>
        <w:snapToGrid w:val="0"/>
        <w:ind w:firstLine="640"/>
        <w:rPr>
          <w:rFonts w:cs="Times New Roman"/>
        </w:rPr>
      </w:pPr>
      <w:r>
        <w:rPr>
          <w:rFonts w:cs="Times New Roman"/>
        </w:rPr>
        <w:t>在尊重村民意愿的基础上，结合村庄建设用地规模、人口规模、产业发展、空心化程度等因素，将各行政村内的居民点分为“增量型、等量型”</w:t>
      </w:r>
      <w:r>
        <w:rPr>
          <w:rFonts w:hint="eastAsia" w:cs="Times New Roman"/>
        </w:rPr>
        <w:t>二</w:t>
      </w:r>
      <w:r>
        <w:rPr>
          <w:rFonts w:cs="Times New Roman"/>
        </w:rPr>
        <w:t>种类型，作为村庄规划用地管控及指标投放的依据。</w:t>
      </w:r>
    </w:p>
    <w:p w14:paraId="7CF81571">
      <w:pPr>
        <w:widowControl/>
        <w:adjustRightInd w:val="0"/>
        <w:snapToGrid w:val="0"/>
        <w:ind w:firstLine="640"/>
        <w:rPr>
          <w:rFonts w:cs="Times New Roma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1"/>
        <w:gridCol w:w="1661"/>
      </w:tblGrid>
      <w:tr w14:paraId="2335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vAlign w:val="center"/>
          </w:tcPr>
          <w:p w14:paraId="545B951F">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序号</w:t>
            </w:r>
          </w:p>
        </w:tc>
        <w:tc>
          <w:tcPr>
            <w:tcW w:w="1660" w:type="dxa"/>
            <w:vAlign w:val="center"/>
          </w:tcPr>
          <w:p w14:paraId="5874B6E1">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村庄名称</w:t>
            </w:r>
          </w:p>
        </w:tc>
        <w:tc>
          <w:tcPr>
            <w:tcW w:w="1660" w:type="dxa"/>
            <w:vAlign w:val="center"/>
          </w:tcPr>
          <w:p w14:paraId="1098AFCE">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自然村名称</w:t>
            </w:r>
          </w:p>
        </w:tc>
        <w:tc>
          <w:tcPr>
            <w:tcW w:w="1661" w:type="dxa"/>
            <w:vAlign w:val="center"/>
          </w:tcPr>
          <w:p w14:paraId="4C9D320D">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分型</w:t>
            </w:r>
          </w:p>
        </w:tc>
        <w:tc>
          <w:tcPr>
            <w:tcW w:w="1661" w:type="dxa"/>
            <w:vAlign w:val="center"/>
          </w:tcPr>
          <w:p w14:paraId="4595E9C0">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备注</w:t>
            </w:r>
          </w:p>
        </w:tc>
      </w:tr>
      <w:tr w14:paraId="0ADE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4C02B8A2">
            <w:pPr>
              <w:widowControl/>
              <w:adjustRightInd w:val="0"/>
              <w:spacing w:line="240" w:lineRule="auto"/>
              <w:ind w:firstLine="0" w:firstLineChars="0"/>
              <w:contextualSpacing/>
              <w:jc w:val="center"/>
              <w:rPr>
                <w:rFonts w:cs="Times New Roman"/>
                <w:sz w:val="21"/>
                <w:szCs w:val="21"/>
              </w:rPr>
            </w:pPr>
            <w:r>
              <w:rPr>
                <w:rFonts w:cs="Times New Roman"/>
                <w:sz w:val="21"/>
                <w:szCs w:val="21"/>
              </w:rPr>
              <w:t>1</w:t>
            </w:r>
          </w:p>
        </w:tc>
        <w:tc>
          <w:tcPr>
            <w:tcW w:w="1660" w:type="dxa"/>
            <w:vMerge w:val="restart"/>
          </w:tcPr>
          <w:p w14:paraId="1F71F9BE">
            <w:pPr>
              <w:widowControl/>
              <w:adjustRightInd w:val="0"/>
              <w:spacing w:line="240" w:lineRule="auto"/>
              <w:ind w:firstLine="0" w:firstLineChars="0"/>
              <w:contextualSpacing/>
              <w:jc w:val="center"/>
              <w:rPr>
                <w:rFonts w:cs="Times New Roman"/>
                <w:sz w:val="21"/>
                <w:szCs w:val="21"/>
              </w:rPr>
            </w:pPr>
            <w:r>
              <w:rPr>
                <w:rFonts w:cs="Times New Roman"/>
                <w:kern w:val="0"/>
                <w:sz w:val="21"/>
                <w:szCs w:val="21"/>
              </w:rPr>
              <w:t>向阳村</w:t>
            </w:r>
          </w:p>
        </w:tc>
        <w:tc>
          <w:tcPr>
            <w:tcW w:w="1660" w:type="dxa"/>
          </w:tcPr>
          <w:p w14:paraId="7286AE29">
            <w:pPr>
              <w:widowControl/>
              <w:adjustRightInd w:val="0"/>
              <w:spacing w:line="240" w:lineRule="auto"/>
              <w:ind w:firstLine="0" w:firstLineChars="0"/>
              <w:contextualSpacing/>
              <w:jc w:val="center"/>
              <w:rPr>
                <w:rFonts w:cs="Times New Roman"/>
                <w:sz w:val="21"/>
                <w:szCs w:val="21"/>
              </w:rPr>
            </w:pPr>
            <w:r>
              <w:rPr>
                <w:rFonts w:cs="Times New Roman"/>
                <w:sz w:val="21"/>
                <w:szCs w:val="21"/>
              </w:rPr>
              <w:t>向阳村</w:t>
            </w:r>
          </w:p>
        </w:tc>
        <w:tc>
          <w:tcPr>
            <w:tcW w:w="1661" w:type="dxa"/>
          </w:tcPr>
          <w:p w14:paraId="33D4475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tcPr>
          <w:p w14:paraId="71C0C1F8">
            <w:pPr>
              <w:widowControl/>
              <w:adjustRightInd w:val="0"/>
              <w:spacing w:line="240" w:lineRule="auto"/>
              <w:ind w:firstLine="0" w:firstLineChars="0"/>
              <w:contextualSpacing/>
              <w:jc w:val="center"/>
              <w:rPr>
                <w:rFonts w:cs="Times New Roman"/>
                <w:sz w:val="21"/>
                <w:szCs w:val="21"/>
              </w:rPr>
            </w:pPr>
          </w:p>
        </w:tc>
      </w:tr>
      <w:tr w14:paraId="2235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9AD3F9A">
            <w:pPr>
              <w:widowControl/>
              <w:adjustRightInd w:val="0"/>
              <w:spacing w:line="240" w:lineRule="auto"/>
              <w:ind w:firstLine="0" w:firstLineChars="0"/>
              <w:contextualSpacing/>
              <w:jc w:val="center"/>
              <w:rPr>
                <w:rFonts w:cs="Times New Roman"/>
                <w:sz w:val="21"/>
                <w:szCs w:val="21"/>
              </w:rPr>
            </w:pPr>
            <w:r>
              <w:rPr>
                <w:rFonts w:cs="Times New Roman"/>
                <w:sz w:val="21"/>
                <w:szCs w:val="21"/>
              </w:rPr>
              <w:t>2</w:t>
            </w:r>
          </w:p>
        </w:tc>
        <w:tc>
          <w:tcPr>
            <w:tcW w:w="1660" w:type="dxa"/>
            <w:vMerge w:val="continue"/>
          </w:tcPr>
          <w:p w14:paraId="566DB3A3">
            <w:pPr>
              <w:widowControl/>
              <w:adjustRightInd w:val="0"/>
              <w:spacing w:line="240" w:lineRule="auto"/>
              <w:ind w:firstLine="0" w:firstLineChars="0"/>
              <w:contextualSpacing/>
              <w:jc w:val="center"/>
              <w:rPr>
                <w:rFonts w:cs="Times New Roman"/>
                <w:kern w:val="0"/>
                <w:sz w:val="21"/>
                <w:szCs w:val="21"/>
              </w:rPr>
            </w:pPr>
          </w:p>
        </w:tc>
        <w:tc>
          <w:tcPr>
            <w:tcW w:w="1660" w:type="dxa"/>
          </w:tcPr>
          <w:p w14:paraId="49915300">
            <w:pPr>
              <w:widowControl/>
              <w:adjustRightInd w:val="0"/>
              <w:spacing w:line="240" w:lineRule="auto"/>
              <w:ind w:firstLine="0" w:firstLineChars="0"/>
              <w:contextualSpacing/>
              <w:jc w:val="center"/>
              <w:rPr>
                <w:rFonts w:cs="Times New Roman"/>
                <w:sz w:val="21"/>
                <w:szCs w:val="21"/>
              </w:rPr>
            </w:pPr>
            <w:r>
              <w:rPr>
                <w:rFonts w:cs="Times New Roman"/>
                <w:sz w:val="21"/>
                <w:szCs w:val="21"/>
              </w:rPr>
              <w:t>小南岔</w:t>
            </w:r>
          </w:p>
        </w:tc>
        <w:tc>
          <w:tcPr>
            <w:tcW w:w="1661" w:type="dxa"/>
          </w:tcPr>
          <w:p w14:paraId="6729F83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502478A6">
            <w:pPr>
              <w:widowControl/>
              <w:adjustRightInd w:val="0"/>
              <w:spacing w:line="240" w:lineRule="auto"/>
              <w:ind w:firstLine="0" w:firstLineChars="0"/>
              <w:contextualSpacing/>
              <w:jc w:val="center"/>
              <w:rPr>
                <w:rFonts w:cs="Times New Roman"/>
                <w:sz w:val="21"/>
                <w:szCs w:val="21"/>
              </w:rPr>
            </w:pPr>
          </w:p>
        </w:tc>
      </w:tr>
      <w:tr w14:paraId="1074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494307A">
            <w:pPr>
              <w:widowControl/>
              <w:adjustRightInd w:val="0"/>
              <w:spacing w:line="240" w:lineRule="auto"/>
              <w:ind w:firstLine="0" w:firstLineChars="0"/>
              <w:contextualSpacing/>
              <w:jc w:val="center"/>
              <w:rPr>
                <w:rFonts w:cs="Times New Roman"/>
                <w:sz w:val="21"/>
                <w:szCs w:val="21"/>
              </w:rPr>
            </w:pPr>
            <w:r>
              <w:rPr>
                <w:rFonts w:cs="Times New Roman"/>
                <w:sz w:val="21"/>
                <w:szCs w:val="21"/>
              </w:rPr>
              <w:t>3</w:t>
            </w:r>
          </w:p>
        </w:tc>
        <w:tc>
          <w:tcPr>
            <w:tcW w:w="1660" w:type="dxa"/>
            <w:vMerge w:val="continue"/>
          </w:tcPr>
          <w:p w14:paraId="7414BFCA">
            <w:pPr>
              <w:widowControl/>
              <w:adjustRightInd w:val="0"/>
              <w:spacing w:line="240" w:lineRule="auto"/>
              <w:ind w:firstLine="0" w:firstLineChars="0"/>
              <w:contextualSpacing/>
              <w:jc w:val="center"/>
              <w:rPr>
                <w:rFonts w:cs="Times New Roman"/>
                <w:kern w:val="0"/>
                <w:sz w:val="21"/>
                <w:szCs w:val="21"/>
              </w:rPr>
            </w:pPr>
          </w:p>
        </w:tc>
        <w:tc>
          <w:tcPr>
            <w:tcW w:w="1660" w:type="dxa"/>
          </w:tcPr>
          <w:p w14:paraId="5B0E91CE">
            <w:pPr>
              <w:widowControl/>
              <w:adjustRightInd w:val="0"/>
              <w:spacing w:line="240" w:lineRule="auto"/>
              <w:ind w:firstLine="0" w:firstLineChars="0"/>
              <w:contextualSpacing/>
              <w:jc w:val="center"/>
              <w:rPr>
                <w:rFonts w:cs="Times New Roman"/>
                <w:sz w:val="21"/>
                <w:szCs w:val="21"/>
              </w:rPr>
            </w:pPr>
            <w:r>
              <w:rPr>
                <w:rFonts w:cs="Times New Roman"/>
                <w:sz w:val="21"/>
                <w:szCs w:val="21"/>
              </w:rPr>
              <w:t>小西沟</w:t>
            </w:r>
          </w:p>
        </w:tc>
        <w:tc>
          <w:tcPr>
            <w:tcW w:w="1661" w:type="dxa"/>
          </w:tcPr>
          <w:p w14:paraId="58FC7B8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691CC9C1">
            <w:pPr>
              <w:widowControl/>
              <w:adjustRightInd w:val="0"/>
              <w:spacing w:line="240" w:lineRule="auto"/>
              <w:ind w:firstLine="0" w:firstLineChars="0"/>
              <w:contextualSpacing/>
              <w:jc w:val="center"/>
              <w:rPr>
                <w:rFonts w:cs="Times New Roman"/>
                <w:sz w:val="21"/>
                <w:szCs w:val="21"/>
              </w:rPr>
            </w:pPr>
          </w:p>
        </w:tc>
      </w:tr>
      <w:tr w14:paraId="73F8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F2CDB2F">
            <w:pPr>
              <w:widowControl/>
              <w:adjustRightInd w:val="0"/>
              <w:spacing w:line="240" w:lineRule="auto"/>
              <w:ind w:firstLine="0" w:firstLineChars="0"/>
              <w:contextualSpacing/>
              <w:jc w:val="center"/>
              <w:rPr>
                <w:rFonts w:cs="Times New Roman"/>
                <w:sz w:val="21"/>
                <w:szCs w:val="21"/>
              </w:rPr>
            </w:pPr>
            <w:r>
              <w:rPr>
                <w:rFonts w:cs="Times New Roman"/>
                <w:sz w:val="21"/>
                <w:szCs w:val="21"/>
              </w:rPr>
              <w:t>4</w:t>
            </w:r>
          </w:p>
        </w:tc>
        <w:tc>
          <w:tcPr>
            <w:tcW w:w="1660" w:type="dxa"/>
            <w:vMerge w:val="continue"/>
          </w:tcPr>
          <w:p w14:paraId="26E193AF">
            <w:pPr>
              <w:widowControl/>
              <w:adjustRightInd w:val="0"/>
              <w:spacing w:line="240" w:lineRule="auto"/>
              <w:ind w:firstLine="0" w:firstLineChars="0"/>
              <w:contextualSpacing/>
              <w:jc w:val="center"/>
              <w:rPr>
                <w:rFonts w:cs="Times New Roman"/>
                <w:kern w:val="0"/>
                <w:sz w:val="21"/>
                <w:szCs w:val="21"/>
              </w:rPr>
            </w:pPr>
          </w:p>
        </w:tc>
        <w:tc>
          <w:tcPr>
            <w:tcW w:w="1660" w:type="dxa"/>
          </w:tcPr>
          <w:p w14:paraId="36EB72EC">
            <w:pPr>
              <w:widowControl/>
              <w:adjustRightInd w:val="0"/>
              <w:spacing w:line="240" w:lineRule="auto"/>
              <w:ind w:firstLine="0" w:firstLineChars="0"/>
              <w:contextualSpacing/>
              <w:jc w:val="center"/>
              <w:rPr>
                <w:rFonts w:cs="Times New Roman"/>
                <w:sz w:val="21"/>
                <w:szCs w:val="21"/>
              </w:rPr>
            </w:pPr>
            <w:r>
              <w:rPr>
                <w:rFonts w:cs="Times New Roman"/>
                <w:sz w:val="21"/>
                <w:szCs w:val="21"/>
              </w:rPr>
              <w:t>马圈子沟门</w:t>
            </w:r>
          </w:p>
        </w:tc>
        <w:tc>
          <w:tcPr>
            <w:tcW w:w="1661" w:type="dxa"/>
          </w:tcPr>
          <w:p w14:paraId="01A4931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21AC8F09">
            <w:pPr>
              <w:widowControl/>
              <w:adjustRightInd w:val="0"/>
              <w:spacing w:line="240" w:lineRule="auto"/>
              <w:ind w:firstLine="0" w:firstLineChars="0"/>
              <w:contextualSpacing/>
              <w:jc w:val="center"/>
              <w:rPr>
                <w:rFonts w:cs="Times New Roman"/>
                <w:sz w:val="21"/>
                <w:szCs w:val="21"/>
              </w:rPr>
            </w:pPr>
          </w:p>
        </w:tc>
      </w:tr>
      <w:tr w14:paraId="49CC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103FCFD8">
            <w:pPr>
              <w:widowControl/>
              <w:adjustRightInd w:val="0"/>
              <w:spacing w:line="240" w:lineRule="auto"/>
              <w:ind w:firstLine="0" w:firstLineChars="0"/>
              <w:contextualSpacing/>
              <w:jc w:val="center"/>
              <w:rPr>
                <w:rFonts w:cs="Times New Roman"/>
                <w:sz w:val="21"/>
                <w:szCs w:val="21"/>
              </w:rPr>
            </w:pPr>
            <w:r>
              <w:rPr>
                <w:rFonts w:cs="Times New Roman"/>
                <w:sz w:val="21"/>
                <w:szCs w:val="21"/>
              </w:rPr>
              <w:t>5</w:t>
            </w:r>
          </w:p>
        </w:tc>
        <w:tc>
          <w:tcPr>
            <w:tcW w:w="1660" w:type="dxa"/>
            <w:vMerge w:val="continue"/>
          </w:tcPr>
          <w:p w14:paraId="7B153AC0">
            <w:pPr>
              <w:widowControl/>
              <w:adjustRightInd w:val="0"/>
              <w:spacing w:line="240" w:lineRule="auto"/>
              <w:ind w:firstLine="0" w:firstLineChars="0"/>
              <w:contextualSpacing/>
              <w:jc w:val="center"/>
              <w:rPr>
                <w:rFonts w:cs="Times New Roman"/>
                <w:sz w:val="21"/>
                <w:szCs w:val="21"/>
              </w:rPr>
            </w:pPr>
          </w:p>
        </w:tc>
        <w:tc>
          <w:tcPr>
            <w:tcW w:w="1660" w:type="dxa"/>
          </w:tcPr>
          <w:p w14:paraId="787BDB2C">
            <w:pPr>
              <w:widowControl/>
              <w:adjustRightInd w:val="0"/>
              <w:spacing w:line="240" w:lineRule="auto"/>
              <w:ind w:firstLine="0" w:firstLineChars="0"/>
              <w:contextualSpacing/>
              <w:jc w:val="center"/>
              <w:rPr>
                <w:rFonts w:cs="Times New Roman"/>
                <w:sz w:val="21"/>
                <w:szCs w:val="21"/>
              </w:rPr>
            </w:pPr>
            <w:r>
              <w:rPr>
                <w:rFonts w:cs="Times New Roman"/>
                <w:sz w:val="21"/>
                <w:szCs w:val="21"/>
              </w:rPr>
              <w:t>湾沟</w:t>
            </w:r>
          </w:p>
        </w:tc>
        <w:tc>
          <w:tcPr>
            <w:tcW w:w="1661" w:type="dxa"/>
          </w:tcPr>
          <w:p w14:paraId="429417E7">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4665C891">
            <w:pPr>
              <w:widowControl/>
              <w:adjustRightInd w:val="0"/>
              <w:spacing w:line="240" w:lineRule="auto"/>
              <w:ind w:firstLine="0" w:firstLineChars="0"/>
              <w:contextualSpacing/>
              <w:jc w:val="center"/>
              <w:rPr>
                <w:rFonts w:cs="Times New Roman"/>
                <w:sz w:val="21"/>
                <w:szCs w:val="21"/>
              </w:rPr>
            </w:pPr>
          </w:p>
        </w:tc>
      </w:tr>
      <w:tr w14:paraId="1F06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BB60011">
            <w:pPr>
              <w:widowControl/>
              <w:adjustRightInd w:val="0"/>
              <w:spacing w:line="240" w:lineRule="auto"/>
              <w:ind w:firstLine="0" w:firstLineChars="0"/>
              <w:contextualSpacing/>
              <w:jc w:val="center"/>
              <w:rPr>
                <w:rFonts w:cs="Times New Roman"/>
                <w:sz w:val="21"/>
                <w:szCs w:val="21"/>
              </w:rPr>
            </w:pPr>
            <w:r>
              <w:rPr>
                <w:rFonts w:cs="Times New Roman"/>
                <w:sz w:val="21"/>
                <w:szCs w:val="21"/>
              </w:rPr>
              <w:t>6</w:t>
            </w:r>
          </w:p>
        </w:tc>
        <w:tc>
          <w:tcPr>
            <w:tcW w:w="1660" w:type="dxa"/>
            <w:vMerge w:val="restart"/>
            <w:vAlign w:val="center"/>
          </w:tcPr>
          <w:p w14:paraId="502D4DD0">
            <w:pPr>
              <w:widowControl/>
              <w:adjustRightInd w:val="0"/>
              <w:spacing w:line="240" w:lineRule="auto"/>
              <w:ind w:firstLine="0" w:firstLineChars="0"/>
              <w:contextualSpacing/>
              <w:jc w:val="center"/>
              <w:rPr>
                <w:rFonts w:cs="Times New Roman"/>
                <w:sz w:val="21"/>
                <w:szCs w:val="21"/>
              </w:rPr>
            </w:pPr>
            <w:r>
              <w:rPr>
                <w:rFonts w:cs="Times New Roman"/>
                <w:kern w:val="0"/>
                <w:sz w:val="21"/>
                <w:szCs w:val="21"/>
              </w:rPr>
              <w:t>和平村</w:t>
            </w:r>
          </w:p>
        </w:tc>
        <w:tc>
          <w:tcPr>
            <w:tcW w:w="1660" w:type="dxa"/>
          </w:tcPr>
          <w:p w14:paraId="750F02E5">
            <w:pPr>
              <w:widowControl/>
              <w:adjustRightInd w:val="0"/>
              <w:spacing w:line="240" w:lineRule="auto"/>
              <w:ind w:firstLine="0" w:firstLineChars="0"/>
              <w:contextualSpacing/>
              <w:jc w:val="center"/>
              <w:rPr>
                <w:rFonts w:cs="Times New Roman"/>
                <w:sz w:val="21"/>
                <w:szCs w:val="21"/>
              </w:rPr>
            </w:pPr>
            <w:r>
              <w:rPr>
                <w:rFonts w:cs="Times New Roman"/>
                <w:sz w:val="21"/>
                <w:szCs w:val="21"/>
              </w:rPr>
              <w:t>和平</w:t>
            </w:r>
          </w:p>
        </w:tc>
        <w:tc>
          <w:tcPr>
            <w:tcW w:w="1661" w:type="dxa"/>
          </w:tcPr>
          <w:p w14:paraId="5BEEFF54">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tcPr>
          <w:p w14:paraId="7AC62855">
            <w:pPr>
              <w:widowControl/>
              <w:adjustRightInd w:val="0"/>
              <w:spacing w:line="240" w:lineRule="auto"/>
              <w:ind w:firstLine="0" w:firstLineChars="0"/>
              <w:contextualSpacing/>
              <w:jc w:val="center"/>
              <w:rPr>
                <w:rFonts w:cs="Times New Roman"/>
                <w:sz w:val="21"/>
                <w:szCs w:val="21"/>
              </w:rPr>
            </w:pPr>
          </w:p>
        </w:tc>
      </w:tr>
      <w:tr w14:paraId="769A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4C8CBFDC">
            <w:pPr>
              <w:widowControl/>
              <w:adjustRightInd w:val="0"/>
              <w:spacing w:line="240" w:lineRule="auto"/>
              <w:ind w:firstLine="0" w:firstLineChars="0"/>
              <w:contextualSpacing/>
              <w:jc w:val="center"/>
              <w:rPr>
                <w:rFonts w:cs="Times New Roman"/>
                <w:sz w:val="21"/>
                <w:szCs w:val="21"/>
              </w:rPr>
            </w:pPr>
            <w:r>
              <w:rPr>
                <w:rFonts w:cs="Times New Roman"/>
                <w:sz w:val="21"/>
                <w:szCs w:val="21"/>
              </w:rPr>
              <w:t>7</w:t>
            </w:r>
          </w:p>
        </w:tc>
        <w:tc>
          <w:tcPr>
            <w:tcW w:w="1660" w:type="dxa"/>
            <w:vMerge w:val="continue"/>
            <w:vAlign w:val="center"/>
          </w:tcPr>
          <w:p w14:paraId="4EA92CE5">
            <w:pPr>
              <w:widowControl/>
              <w:adjustRightInd w:val="0"/>
              <w:spacing w:line="240" w:lineRule="auto"/>
              <w:ind w:firstLine="0" w:firstLineChars="0"/>
              <w:contextualSpacing/>
              <w:jc w:val="center"/>
              <w:rPr>
                <w:rFonts w:cs="Times New Roman"/>
                <w:kern w:val="0"/>
                <w:sz w:val="21"/>
                <w:szCs w:val="21"/>
              </w:rPr>
            </w:pPr>
          </w:p>
        </w:tc>
        <w:tc>
          <w:tcPr>
            <w:tcW w:w="1660" w:type="dxa"/>
          </w:tcPr>
          <w:p w14:paraId="4B2C1C17">
            <w:pPr>
              <w:widowControl/>
              <w:adjustRightInd w:val="0"/>
              <w:spacing w:line="240" w:lineRule="auto"/>
              <w:ind w:firstLine="0" w:firstLineChars="0"/>
              <w:contextualSpacing/>
              <w:jc w:val="center"/>
              <w:rPr>
                <w:rFonts w:cs="Times New Roman"/>
                <w:sz w:val="21"/>
                <w:szCs w:val="21"/>
              </w:rPr>
            </w:pPr>
            <w:r>
              <w:rPr>
                <w:rFonts w:cs="Times New Roman"/>
                <w:sz w:val="21"/>
                <w:szCs w:val="21"/>
              </w:rPr>
              <w:t>马路沟</w:t>
            </w:r>
          </w:p>
        </w:tc>
        <w:tc>
          <w:tcPr>
            <w:tcW w:w="1661" w:type="dxa"/>
          </w:tcPr>
          <w:p w14:paraId="763E827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571FB61E">
            <w:pPr>
              <w:widowControl/>
              <w:adjustRightInd w:val="0"/>
              <w:spacing w:line="240" w:lineRule="auto"/>
              <w:ind w:firstLine="0" w:firstLineChars="0"/>
              <w:contextualSpacing/>
              <w:jc w:val="center"/>
              <w:rPr>
                <w:rFonts w:cs="Times New Roman"/>
                <w:sz w:val="21"/>
                <w:szCs w:val="21"/>
              </w:rPr>
            </w:pPr>
          </w:p>
        </w:tc>
      </w:tr>
      <w:tr w14:paraId="6A2D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05C703B">
            <w:pPr>
              <w:widowControl/>
              <w:adjustRightInd w:val="0"/>
              <w:spacing w:line="240" w:lineRule="auto"/>
              <w:ind w:firstLine="0" w:firstLineChars="0"/>
              <w:contextualSpacing/>
              <w:jc w:val="center"/>
              <w:rPr>
                <w:rFonts w:cs="Times New Roman"/>
                <w:sz w:val="21"/>
                <w:szCs w:val="21"/>
              </w:rPr>
            </w:pPr>
            <w:r>
              <w:rPr>
                <w:rFonts w:cs="Times New Roman"/>
                <w:sz w:val="21"/>
                <w:szCs w:val="21"/>
              </w:rPr>
              <w:t>8</w:t>
            </w:r>
          </w:p>
        </w:tc>
        <w:tc>
          <w:tcPr>
            <w:tcW w:w="1660" w:type="dxa"/>
            <w:vMerge w:val="continue"/>
            <w:vAlign w:val="center"/>
          </w:tcPr>
          <w:p w14:paraId="154A391D">
            <w:pPr>
              <w:widowControl/>
              <w:adjustRightInd w:val="0"/>
              <w:spacing w:line="240" w:lineRule="auto"/>
              <w:ind w:firstLine="0" w:firstLineChars="0"/>
              <w:contextualSpacing/>
              <w:jc w:val="center"/>
              <w:rPr>
                <w:rFonts w:cs="Times New Roman"/>
                <w:kern w:val="0"/>
                <w:sz w:val="21"/>
                <w:szCs w:val="21"/>
              </w:rPr>
            </w:pPr>
          </w:p>
        </w:tc>
        <w:tc>
          <w:tcPr>
            <w:tcW w:w="1660" w:type="dxa"/>
          </w:tcPr>
          <w:p w14:paraId="5B7DD16B">
            <w:pPr>
              <w:widowControl/>
              <w:adjustRightInd w:val="0"/>
              <w:spacing w:line="240" w:lineRule="auto"/>
              <w:ind w:firstLine="0" w:firstLineChars="0"/>
              <w:contextualSpacing/>
              <w:jc w:val="center"/>
              <w:rPr>
                <w:rFonts w:cs="Times New Roman"/>
                <w:sz w:val="21"/>
                <w:szCs w:val="21"/>
              </w:rPr>
            </w:pPr>
            <w:r>
              <w:rPr>
                <w:rFonts w:cs="Times New Roman"/>
                <w:sz w:val="21"/>
                <w:szCs w:val="21"/>
              </w:rPr>
              <w:t>阎王鼻子沟</w:t>
            </w:r>
          </w:p>
        </w:tc>
        <w:tc>
          <w:tcPr>
            <w:tcW w:w="1661" w:type="dxa"/>
          </w:tcPr>
          <w:p w14:paraId="04D7E57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6989E548">
            <w:pPr>
              <w:widowControl/>
              <w:adjustRightInd w:val="0"/>
              <w:spacing w:line="240" w:lineRule="auto"/>
              <w:ind w:firstLine="0" w:firstLineChars="0"/>
              <w:contextualSpacing/>
              <w:jc w:val="center"/>
              <w:rPr>
                <w:rFonts w:cs="Times New Roman"/>
                <w:sz w:val="21"/>
                <w:szCs w:val="21"/>
              </w:rPr>
            </w:pPr>
          </w:p>
        </w:tc>
      </w:tr>
      <w:tr w14:paraId="1F57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01F54F6">
            <w:pPr>
              <w:widowControl/>
              <w:adjustRightInd w:val="0"/>
              <w:spacing w:line="240" w:lineRule="auto"/>
              <w:ind w:firstLine="0" w:firstLineChars="0"/>
              <w:contextualSpacing/>
              <w:jc w:val="center"/>
              <w:rPr>
                <w:rFonts w:cs="Times New Roman"/>
                <w:sz w:val="21"/>
                <w:szCs w:val="21"/>
              </w:rPr>
            </w:pPr>
            <w:r>
              <w:rPr>
                <w:rFonts w:cs="Times New Roman"/>
                <w:sz w:val="21"/>
                <w:szCs w:val="21"/>
              </w:rPr>
              <w:t>9</w:t>
            </w:r>
          </w:p>
        </w:tc>
        <w:tc>
          <w:tcPr>
            <w:tcW w:w="1660" w:type="dxa"/>
            <w:vMerge w:val="continue"/>
            <w:vAlign w:val="center"/>
          </w:tcPr>
          <w:p w14:paraId="4D0B154B">
            <w:pPr>
              <w:widowControl/>
              <w:adjustRightInd w:val="0"/>
              <w:spacing w:line="240" w:lineRule="auto"/>
              <w:ind w:firstLine="0" w:firstLineChars="0"/>
              <w:contextualSpacing/>
              <w:jc w:val="center"/>
              <w:rPr>
                <w:rFonts w:cs="Times New Roman"/>
                <w:kern w:val="0"/>
                <w:sz w:val="21"/>
                <w:szCs w:val="21"/>
              </w:rPr>
            </w:pPr>
          </w:p>
        </w:tc>
        <w:tc>
          <w:tcPr>
            <w:tcW w:w="1660" w:type="dxa"/>
          </w:tcPr>
          <w:p w14:paraId="3D3CB35E">
            <w:pPr>
              <w:widowControl/>
              <w:adjustRightInd w:val="0"/>
              <w:spacing w:line="240" w:lineRule="auto"/>
              <w:ind w:firstLine="0" w:firstLineChars="0"/>
              <w:contextualSpacing/>
              <w:jc w:val="center"/>
              <w:rPr>
                <w:rFonts w:cs="Times New Roman"/>
                <w:sz w:val="21"/>
                <w:szCs w:val="21"/>
              </w:rPr>
            </w:pPr>
            <w:r>
              <w:rPr>
                <w:rFonts w:cs="Times New Roman"/>
                <w:sz w:val="21"/>
                <w:szCs w:val="21"/>
              </w:rPr>
              <w:t>江边</w:t>
            </w:r>
          </w:p>
        </w:tc>
        <w:tc>
          <w:tcPr>
            <w:tcW w:w="1661" w:type="dxa"/>
          </w:tcPr>
          <w:p w14:paraId="5CB9EC3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63A72C34">
            <w:pPr>
              <w:widowControl/>
              <w:adjustRightInd w:val="0"/>
              <w:spacing w:line="240" w:lineRule="auto"/>
              <w:ind w:firstLine="0" w:firstLineChars="0"/>
              <w:contextualSpacing/>
              <w:jc w:val="center"/>
              <w:rPr>
                <w:rFonts w:cs="Times New Roman"/>
                <w:sz w:val="21"/>
                <w:szCs w:val="21"/>
              </w:rPr>
            </w:pPr>
          </w:p>
        </w:tc>
      </w:tr>
      <w:tr w14:paraId="2BA4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25E9959">
            <w:pPr>
              <w:widowControl/>
              <w:adjustRightInd w:val="0"/>
              <w:spacing w:line="240" w:lineRule="auto"/>
              <w:ind w:firstLine="0" w:firstLineChars="0"/>
              <w:contextualSpacing/>
              <w:jc w:val="center"/>
              <w:rPr>
                <w:rFonts w:cs="Times New Roman"/>
                <w:sz w:val="21"/>
                <w:szCs w:val="21"/>
              </w:rPr>
            </w:pPr>
            <w:r>
              <w:rPr>
                <w:rFonts w:cs="Times New Roman"/>
                <w:sz w:val="21"/>
                <w:szCs w:val="21"/>
              </w:rPr>
              <w:t>10</w:t>
            </w:r>
          </w:p>
        </w:tc>
        <w:tc>
          <w:tcPr>
            <w:tcW w:w="1660" w:type="dxa"/>
            <w:vMerge w:val="continue"/>
            <w:vAlign w:val="center"/>
          </w:tcPr>
          <w:p w14:paraId="022D991E">
            <w:pPr>
              <w:widowControl/>
              <w:adjustRightInd w:val="0"/>
              <w:spacing w:line="240" w:lineRule="auto"/>
              <w:ind w:firstLine="0" w:firstLineChars="0"/>
              <w:contextualSpacing/>
              <w:jc w:val="center"/>
              <w:rPr>
                <w:rFonts w:cs="Times New Roman"/>
                <w:kern w:val="0"/>
                <w:sz w:val="21"/>
                <w:szCs w:val="21"/>
              </w:rPr>
            </w:pPr>
          </w:p>
        </w:tc>
        <w:tc>
          <w:tcPr>
            <w:tcW w:w="1660" w:type="dxa"/>
          </w:tcPr>
          <w:p w14:paraId="2A57C6B4">
            <w:pPr>
              <w:widowControl/>
              <w:adjustRightInd w:val="0"/>
              <w:spacing w:line="240" w:lineRule="auto"/>
              <w:ind w:firstLine="0" w:firstLineChars="0"/>
              <w:contextualSpacing/>
              <w:jc w:val="center"/>
              <w:rPr>
                <w:rFonts w:cs="Times New Roman"/>
                <w:sz w:val="21"/>
                <w:szCs w:val="21"/>
              </w:rPr>
            </w:pPr>
            <w:r>
              <w:rPr>
                <w:rFonts w:cs="Times New Roman"/>
                <w:sz w:val="21"/>
                <w:szCs w:val="21"/>
              </w:rPr>
              <w:t>小荒沟</w:t>
            </w:r>
          </w:p>
        </w:tc>
        <w:tc>
          <w:tcPr>
            <w:tcW w:w="1661" w:type="dxa"/>
          </w:tcPr>
          <w:p w14:paraId="046EB7B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268A8887">
            <w:pPr>
              <w:widowControl/>
              <w:adjustRightInd w:val="0"/>
              <w:spacing w:line="240" w:lineRule="auto"/>
              <w:ind w:firstLine="0" w:firstLineChars="0"/>
              <w:contextualSpacing/>
              <w:jc w:val="center"/>
              <w:rPr>
                <w:rFonts w:cs="Times New Roman"/>
                <w:sz w:val="21"/>
                <w:szCs w:val="21"/>
              </w:rPr>
            </w:pPr>
          </w:p>
        </w:tc>
      </w:tr>
      <w:tr w14:paraId="5F90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B305722">
            <w:pPr>
              <w:widowControl/>
              <w:adjustRightInd w:val="0"/>
              <w:spacing w:line="240" w:lineRule="auto"/>
              <w:ind w:firstLine="0" w:firstLineChars="0"/>
              <w:contextualSpacing/>
              <w:jc w:val="center"/>
              <w:rPr>
                <w:rFonts w:cs="Times New Roman"/>
                <w:sz w:val="21"/>
                <w:szCs w:val="21"/>
              </w:rPr>
            </w:pPr>
            <w:r>
              <w:rPr>
                <w:rFonts w:cs="Times New Roman"/>
                <w:sz w:val="21"/>
                <w:szCs w:val="21"/>
              </w:rPr>
              <w:t>11</w:t>
            </w:r>
          </w:p>
        </w:tc>
        <w:tc>
          <w:tcPr>
            <w:tcW w:w="1660" w:type="dxa"/>
            <w:vMerge w:val="continue"/>
            <w:vAlign w:val="center"/>
          </w:tcPr>
          <w:p w14:paraId="688B9881">
            <w:pPr>
              <w:widowControl/>
              <w:adjustRightInd w:val="0"/>
              <w:spacing w:line="240" w:lineRule="auto"/>
              <w:ind w:firstLine="0" w:firstLineChars="0"/>
              <w:contextualSpacing/>
              <w:jc w:val="center"/>
              <w:rPr>
                <w:rFonts w:cs="Times New Roman"/>
                <w:kern w:val="0"/>
                <w:sz w:val="21"/>
                <w:szCs w:val="21"/>
              </w:rPr>
            </w:pPr>
          </w:p>
        </w:tc>
        <w:tc>
          <w:tcPr>
            <w:tcW w:w="1660" w:type="dxa"/>
          </w:tcPr>
          <w:p w14:paraId="4E666EF2">
            <w:pPr>
              <w:widowControl/>
              <w:adjustRightInd w:val="0"/>
              <w:spacing w:line="240" w:lineRule="auto"/>
              <w:ind w:firstLine="0" w:firstLineChars="0"/>
              <w:contextualSpacing/>
              <w:jc w:val="center"/>
              <w:rPr>
                <w:rFonts w:cs="Times New Roman"/>
                <w:sz w:val="21"/>
                <w:szCs w:val="21"/>
              </w:rPr>
            </w:pPr>
            <w:r>
              <w:rPr>
                <w:rFonts w:cs="Times New Roman"/>
                <w:sz w:val="21"/>
                <w:szCs w:val="21"/>
              </w:rPr>
              <w:t>大把</w:t>
            </w:r>
          </w:p>
        </w:tc>
        <w:tc>
          <w:tcPr>
            <w:tcW w:w="1661" w:type="dxa"/>
          </w:tcPr>
          <w:p w14:paraId="4ABB0AD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049B942E">
            <w:pPr>
              <w:widowControl/>
              <w:adjustRightInd w:val="0"/>
              <w:spacing w:line="240" w:lineRule="auto"/>
              <w:ind w:firstLine="0" w:firstLineChars="0"/>
              <w:contextualSpacing/>
              <w:jc w:val="center"/>
              <w:rPr>
                <w:rFonts w:cs="Times New Roman"/>
                <w:sz w:val="21"/>
                <w:szCs w:val="21"/>
              </w:rPr>
            </w:pPr>
          </w:p>
        </w:tc>
      </w:tr>
      <w:tr w14:paraId="3047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EDD1E3E">
            <w:pPr>
              <w:widowControl/>
              <w:adjustRightInd w:val="0"/>
              <w:spacing w:line="240" w:lineRule="auto"/>
              <w:ind w:firstLine="0" w:firstLineChars="0"/>
              <w:contextualSpacing/>
              <w:jc w:val="center"/>
              <w:rPr>
                <w:rFonts w:cs="Times New Roman"/>
                <w:sz w:val="21"/>
                <w:szCs w:val="21"/>
              </w:rPr>
            </w:pPr>
            <w:r>
              <w:rPr>
                <w:rFonts w:cs="Times New Roman"/>
                <w:sz w:val="21"/>
                <w:szCs w:val="21"/>
              </w:rPr>
              <w:t>12</w:t>
            </w:r>
          </w:p>
        </w:tc>
        <w:tc>
          <w:tcPr>
            <w:tcW w:w="1660" w:type="dxa"/>
            <w:vMerge w:val="continue"/>
            <w:vAlign w:val="center"/>
          </w:tcPr>
          <w:p w14:paraId="43DDF95B">
            <w:pPr>
              <w:widowControl/>
              <w:adjustRightInd w:val="0"/>
              <w:spacing w:line="240" w:lineRule="auto"/>
              <w:ind w:firstLine="0" w:firstLineChars="0"/>
              <w:contextualSpacing/>
              <w:jc w:val="center"/>
              <w:rPr>
                <w:rFonts w:cs="Times New Roman"/>
                <w:kern w:val="0"/>
                <w:sz w:val="21"/>
                <w:szCs w:val="21"/>
              </w:rPr>
            </w:pPr>
          </w:p>
        </w:tc>
        <w:tc>
          <w:tcPr>
            <w:tcW w:w="1660" w:type="dxa"/>
          </w:tcPr>
          <w:p w14:paraId="35B3E0D1">
            <w:pPr>
              <w:widowControl/>
              <w:adjustRightInd w:val="0"/>
              <w:spacing w:line="240" w:lineRule="auto"/>
              <w:ind w:firstLine="0" w:firstLineChars="0"/>
              <w:contextualSpacing/>
              <w:jc w:val="center"/>
              <w:rPr>
                <w:rFonts w:cs="Times New Roman"/>
                <w:sz w:val="21"/>
                <w:szCs w:val="21"/>
              </w:rPr>
            </w:pPr>
            <w:r>
              <w:rPr>
                <w:rFonts w:cs="Times New Roman"/>
                <w:sz w:val="21"/>
                <w:szCs w:val="21"/>
              </w:rPr>
              <w:t>驮道岭</w:t>
            </w:r>
          </w:p>
        </w:tc>
        <w:tc>
          <w:tcPr>
            <w:tcW w:w="1661" w:type="dxa"/>
          </w:tcPr>
          <w:p w14:paraId="50C473B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1B97F964">
            <w:pPr>
              <w:widowControl/>
              <w:adjustRightInd w:val="0"/>
              <w:spacing w:line="240" w:lineRule="auto"/>
              <w:ind w:firstLine="0" w:firstLineChars="0"/>
              <w:contextualSpacing/>
              <w:jc w:val="center"/>
              <w:rPr>
                <w:rFonts w:cs="Times New Roman"/>
                <w:sz w:val="21"/>
                <w:szCs w:val="21"/>
              </w:rPr>
            </w:pPr>
          </w:p>
        </w:tc>
      </w:tr>
      <w:tr w14:paraId="563B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7108557">
            <w:pPr>
              <w:widowControl/>
              <w:adjustRightInd w:val="0"/>
              <w:spacing w:line="240" w:lineRule="auto"/>
              <w:ind w:firstLine="0" w:firstLineChars="0"/>
              <w:contextualSpacing/>
              <w:jc w:val="center"/>
              <w:rPr>
                <w:rFonts w:cs="Times New Roman"/>
                <w:sz w:val="21"/>
                <w:szCs w:val="21"/>
              </w:rPr>
            </w:pPr>
            <w:r>
              <w:rPr>
                <w:rFonts w:cs="Times New Roman"/>
                <w:sz w:val="21"/>
                <w:szCs w:val="21"/>
              </w:rPr>
              <w:t>13</w:t>
            </w:r>
          </w:p>
        </w:tc>
        <w:tc>
          <w:tcPr>
            <w:tcW w:w="1660" w:type="dxa"/>
            <w:vMerge w:val="continue"/>
            <w:vAlign w:val="center"/>
          </w:tcPr>
          <w:p w14:paraId="0FD83845">
            <w:pPr>
              <w:widowControl/>
              <w:adjustRightInd w:val="0"/>
              <w:spacing w:line="240" w:lineRule="auto"/>
              <w:ind w:firstLine="0" w:firstLineChars="0"/>
              <w:contextualSpacing/>
              <w:jc w:val="center"/>
              <w:rPr>
                <w:rFonts w:cs="Times New Roman"/>
                <w:kern w:val="0"/>
                <w:sz w:val="21"/>
                <w:szCs w:val="21"/>
              </w:rPr>
            </w:pPr>
          </w:p>
        </w:tc>
        <w:tc>
          <w:tcPr>
            <w:tcW w:w="1660" w:type="dxa"/>
          </w:tcPr>
          <w:p w14:paraId="74F3647D">
            <w:pPr>
              <w:widowControl/>
              <w:adjustRightInd w:val="0"/>
              <w:spacing w:line="240" w:lineRule="auto"/>
              <w:ind w:firstLine="0" w:firstLineChars="0"/>
              <w:contextualSpacing/>
              <w:jc w:val="center"/>
              <w:rPr>
                <w:rFonts w:cs="Times New Roman"/>
                <w:sz w:val="21"/>
                <w:szCs w:val="21"/>
              </w:rPr>
            </w:pPr>
            <w:r>
              <w:rPr>
                <w:rFonts w:cs="Times New Roman"/>
                <w:sz w:val="21"/>
                <w:szCs w:val="21"/>
              </w:rPr>
              <w:t>门东岔</w:t>
            </w:r>
          </w:p>
        </w:tc>
        <w:tc>
          <w:tcPr>
            <w:tcW w:w="1661" w:type="dxa"/>
          </w:tcPr>
          <w:p w14:paraId="3862FCC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48894C2B">
            <w:pPr>
              <w:widowControl/>
              <w:adjustRightInd w:val="0"/>
              <w:spacing w:line="240" w:lineRule="auto"/>
              <w:ind w:firstLine="0" w:firstLineChars="0"/>
              <w:contextualSpacing/>
              <w:jc w:val="center"/>
              <w:rPr>
                <w:rFonts w:cs="Times New Roman"/>
                <w:sz w:val="21"/>
                <w:szCs w:val="21"/>
              </w:rPr>
            </w:pPr>
          </w:p>
        </w:tc>
      </w:tr>
      <w:tr w14:paraId="754A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2E38EC5">
            <w:pPr>
              <w:widowControl/>
              <w:adjustRightInd w:val="0"/>
              <w:spacing w:line="240" w:lineRule="auto"/>
              <w:ind w:firstLine="0" w:firstLineChars="0"/>
              <w:contextualSpacing/>
              <w:jc w:val="center"/>
              <w:rPr>
                <w:rFonts w:cs="Times New Roman"/>
                <w:sz w:val="21"/>
                <w:szCs w:val="21"/>
              </w:rPr>
            </w:pPr>
            <w:r>
              <w:rPr>
                <w:rFonts w:cs="Times New Roman"/>
                <w:sz w:val="21"/>
                <w:szCs w:val="21"/>
              </w:rPr>
              <w:t>14</w:t>
            </w:r>
          </w:p>
        </w:tc>
        <w:tc>
          <w:tcPr>
            <w:tcW w:w="1660" w:type="dxa"/>
            <w:vMerge w:val="continue"/>
            <w:vAlign w:val="center"/>
          </w:tcPr>
          <w:p w14:paraId="7EE90F41">
            <w:pPr>
              <w:widowControl/>
              <w:adjustRightInd w:val="0"/>
              <w:spacing w:line="240" w:lineRule="auto"/>
              <w:ind w:firstLine="0" w:firstLineChars="0"/>
              <w:contextualSpacing/>
              <w:jc w:val="center"/>
              <w:rPr>
                <w:rFonts w:cs="Times New Roman"/>
                <w:kern w:val="0"/>
                <w:sz w:val="21"/>
                <w:szCs w:val="21"/>
              </w:rPr>
            </w:pPr>
          </w:p>
        </w:tc>
        <w:tc>
          <w:tcPr>
            <w:tcW w:w="1660" w:type="dxa"/>
          </w:tcPr>
          <w:p w14:paraId="4DFB1BD6">
            <w:pPr>
              <w:widowControl/>
              <w:adjustRightInd w:val="0"/>
              <w:spacing w:line="240" w:lineRule="auto"/>
              <w:ind w:firstLine="0" w:firstLineChars="0"/>
              <w:contextualSpacing/>
              <w:jc w:val="center"/>
              <w:rPr>
                <w:rFonts w:cs="Times New Roman"/>
                <w:sz w:val="21"/>
                <w:szCs w:val="21"/>
              </w:rPr>
            </w:pPr>
            <w:r>
              <w:rPr>
                <w:rFonts w:cs="Times New Roman"/>
                <w:sz w:val="21"/>
                <w:szCs w:val="21"/>
              </w:rPr>
              <w:t>苇刹沟</w:t>
            </w:r>
          </w:p>
        </w:tc>
        <w:tc>
          <w:tcPr>
            <w:tcW w:w="1661" w:type="dxa"/>
          </w:tcPr>
          <w:p w14:paraId="3567B7E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67063C74">
            <w:pPr>
              <w:widowControl/>
              <w:adjustRightInd w:val="0"/>
              <w:spacing w:line="240" w:lineRule="auto"/>
              <w:ind w:firstLine="0" w:firstLineChars="0"/>
              <w:contextualSpacing/>
              <w:jc w:val="center"/>
              <w:rPr>
                <w:rFonts w:cs="Times New Roman"/>
                <w:sz w:val="21"/>
                <w:szCs w:val="21"/>
              </w:rPr>
            </w:pPr>
          </w:p>
        </w:tc>
      </w:tr>
      <w:tr w14:paraId="0574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90C0136">
            <w:pPr>
              <w:widowControl/>
              <w:adjustRightInd w:val="0"/>
              <w:spacing w:line="240" w:lineRule="auto"/>
              <w:ind w:firstLine="0" w:firstLineChars="0"/>
              <w:contextualSpacing/>
              <w:jc w:val="center"/>
              <w:rPr>
                <w:rFonts w:cs="Times New Roman"/>
                <w:sz w:val="21"/>
                <w:szCs w:val="21"/>
              </w:rPr>
            </w:pPr>
            <w:r>
              <w:rPr>
                <w:rFonts w:cs="Times New Roman"/>
                <w:sz w:val="21"/>
                <w:szCs w:val="21"/>
              </w:rPr>
              <w:t>15</w:t>
            </w:r>
          </w:p>
        </w:tc>
        <w:tc>
          <w:tcPr>
            <w:tcW w:w="1660" w:type="dxa"/>
            <w:vMerge w:val="continue"/>
            <w:vAlign w:val="center"/>
          </w:tcPr>
          <w:p w14:paraId="1C974C10">
            <w:pPr>
              <w:widowControl/>
              <w:adjustRightInd w:val="0"/>
              <w:spacing w:line="240" w:lineRule="auto"/>
              <w:ind w:firstLine="0" w:firstLineChars="0"/>
              <w:contextualSpacing/>
              <w:jc w:val="center"/>
              <w:rPr>
                <w:rFonts w:cs="Times New Roman"/>
                <w:kern w:val="0"/>
                <w:sz w:val="21"/>
                <w:szCs w:val="21"/>
              </w:rPr>
            </w:pPr>
          </w:p>
        </w:tc>
        <w:tc>
          <w:tcPr>
            <w:tcW w:w="1660" w:type="dxa"/>
          </w:tcPr>
          <w:p w14:paraId="734DB450">
            <w:pPr>
              <w:widowControl/>
              <w:adjustRightInd w:val="0"/>
              <w:spacing w:line="240" w:lineRule="auto"/>
              <w:ind w:firstLine="0" w:firstLineChars="0"/>
              <w:contextualSpacing/>
              <w:jc w:val="center"/>
              <w:rPr>
                <w:rFonts w:cs="Times New Roman"/>
                <w:sz w:val="21"/>
                <w:szCs w:val="21"/>
              </w:rPr>
            </w:pPr>
            <w:r>
              <w:rPr>
                <w:rFonts w:cs="Times New Roman"/>
                <w:sz w:val="21"/>
                <w:szCs w:val="21"/>
              </w:rPr>
              <w:t>砬门里</w:t>
            </w:r>
          </w:p>
        </w:tc>
        <w:tc>
          <w:tcPr>
            <w:tcW w:w="1661" w:type="dxa"/>
          </w:tcPr>
          <w:p w14:paraId="070B4B3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57522578">
            <w:pPr>
              <w:widowControl/>
              <w:adjustRightInd w:val="0"/>
              <w:spacing w:line="240" w:lineRule="auto"/>
              <w:ind w:firstLine="0" w:firstLineChars="0"/>
              <w:contextualSpacing/>
              <w:jc w:val="center"/>
              <w:rPr>
                <w:rFonts w:cs="Times New Roman"/>
                <w:sz w:val="21"/>
                <w:szCs w:val="21"/>
              </w:rPr>
            </w:pPr>
          </w:p>
        </w:tc>
      </w:tr>
      <w:tr w14:paraId="5348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D119034">
            <w:pPr>
              <w:widowControl/>
              <w:adjustRightInd w:val="0"/>
              <w:spacing w:line="240" w:lineRule="auto"/>
              <w:ind w:firstLine="0" w:firstLineChars="0"/>
              <w:contextualSpacing/>
              <w:jc w:val="center"/>
              <w:rPr>
                <w:rFonts w:cs="Times New Roman"/>
                <w:sz w:val="21"/>
                <w:szCs w:val="21"/>
              </w:rPr>
            </w:pPr>
            <w:r>
              <w:rPr>
                <w:rFonts w:cs="Times New Roman"/>
                <w:sz w:val="21"/>
                <w:szCs w:val="21"/>
              </w:rPr>
              <w:t>16</w:t>
            </w:r>
          </w:p>
        </w:tc>
        <w:tc>
          <w:tcPr>
            <w:tcW w:w="1660" w:type="dxa"/>
            <w:vMerge w:val="continue"/>
            <w:vAlign w:val="center"/>
          </w:tcPr>
          <w:p w14:paraId="05D60CEF">
            <w:pPr>
              <w:widowControl/>
              <w:adjustRightInd w:val="0"/>
              <w:spacing w:line="240" w:lineRule="auto"/>
              <w:ind w:firstLine="0" w:firstLineChars="0"/>
              <w:contextualSpacing/>
              <w:jc w:val="center"/>
              <w:rPr>
                <w:rFonts w:cs="Times New Roman"/>
                <w:kern w:val="0"/>
                <w:sz w:val="21"/>
                <w:szCs w:val="21"/>
              </w:rPr>
            </w:pPr>
          </w:p>
        </w:tc>
        <w:tc>
          <w:tcPr>
            <w:tcW w:w="1660" w:type="dxa"/>
          </w:tcPr>
          <w:p w14:paraId="7FBAF1D4">
            <w:pPr>
              <w:widowControl/>
              <w:adjustRightInd w:val="0"/>
              <w:spacing w:line="240" w:lineRule="auto"/>
              <w:ind w:firstLine="0" w:firstLineChars="0"/>
              <w:contextualSpacing/>
              <w:jc w:val="center"/>
              <w:rPr>
                <w:rFonts w:cs="Times New Roman"/>
                <w:sz w:val="21"/>
                <w:szCs w:val="21"/>
              </w:rPr>
            </w:pPr>
            <w:r>
              <w:rPr>
                <w:rFonts w:cs="Times New Roman"/>
                <w:sz w:val="21"/>
                <w:szCs w:val="21"/>
              </w:rPr>
              <w:t>大荒沟</w:t>
            </w:r>
          </w:p>
        </w:tc>
        <w:tc>
          <w:tcPr>
            <w:tcW w:w="1661" w:type="dxa"/>
          </w:tcPr>
          <w:p w14:paraId="41DC5D6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tcPr>
          <w:p w14:paraId="3DF74CBF">
            <w:pPr>
              <w:widowControl/>
              <w:adjustRightInd w:val="0"/>
              <w:spacing w:line="240" w:lineRule="auto"/>
              <w:ind w:firstLine="0" w:firstLineChars="0"/>
              <w:contextualSpacing/>
              <w:jc w:val="center"/>
              <w:rPr>
                <w:rFonts w:cs="Times New Roman"/>
                <w:sz w:val="21"/>
                <w:szCs w:val="21"/>
              </w:rPr>
            </w:pPr>
          </w:p>
        </w:tc>
      </w:tr>
      <w:tr w14:paraId="4A8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F4944E9">
            <w:pPr>
              <w:widowControl/>
              <w:adjustRightInd w:val="0"/>
              <w:spacing w:line="240" w:lineRule="auto"/>
              <w:ind w:firstLine="0" w:firstLineChars="0"/>
              <w:contextualSpacing/>
              <w:jc w:val="center"/>
              <w:rPr>
                <w:rFonts w:cs="Times New Roman"/>
                <w:sz w:val="21"/>
                <w:szCs w:val="21"/>
              </w:rPr>
            </w:pPr>
            <w:r>
              <w:rPr>
                <w:rFonts w:cs="Times New Roman"/>
                <w:sz w:val="21"/>
                <w:szCs w:val="21"/>
              </w:rPr>
              <w:t>17</w:t>
            </w:r>
          </w:p>
        </w:tc>
        <w:tc>
          <w:tcPr>
            <w:tcW w:w="1660" w:type="dxa"/>
            <w:vMerge w:val="restart"/>
            <w:vAlign w:val="center"/>
          </w:tcPr>
          <w:p w14:paraId="08E55067">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回龙村</w:t>
            </w:r>
          </w:p>
        </w:tc>
        <w:tc>
          <w:tcPr>
            <w:tcW w:w="1660" w:type="dxa"/>
          </w:tcPr>
          <w:p w14:paraId="604A23E8">
            <w:pPr>
              <w:widowControl/>
              <w:adjustRightInd w:val="0"/>
              <w:spacing w:line="240" w:lineRule="auto"/>
              <w:ind w:firstLine="0" w:firstLineChars="0"/>
              <w:contextualSpacing/>
              <w:jc w:val="center"/>
              <w:rPr>
                <w:rFonts w:cs="Times New Roman"/>
                <w:sz w:val="21"/>
                <w:szCs w:val="21"/>
              </w:rPr>
            </w:pPr>
            <w:r>
              <w:rPr>
                <w:rFonts w:cs="Times New Roman"/>
                <w:sz w:val="21"/>
                <w:szCs w:val="21"/>
              </w:rPr>
              <w:t>回龙山村</w:t>
            </w:r>
          </w:p>
        </w:tc>
        <w:tc>
          <w:tcPr>
            <w:tcW w:w="1661" w:type="dxa"/>
          </w:tcPr>
          <w:p w14:paraId="175066BB">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0281D98C">
            <w:pPr>
              <w:widowControl/>
              <w:adjustRightInd w:val="0"/>
              <w:spacing w:line="240" w:lineRule="auto"/>
              <w:ind w:firstLine="0" w:firstLineChars="0"/>
              <w:contextualSpacing/>
              <w:jc w:val="center"/>
              <w:rPr>
                <w:rFonts w:cs="Times New Roman"/>
                <w:sz w:val="21"/>
                <w:szCs w:val="21"/>
              </w:rPr>
            </w:pPr>
          </w:p>
        </w:tc>
      </w:tr>
      <w:tr w14:paraId="0852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0D9BCDC">
            <w:pPr>
              <w:widowControl/>
              <w:adjustRightInd w:val="0"/>
              <w:spacing w:line="240" w:lineRule="auto"/>
              <w:ind w:firstLine="0" w:firstLineChars="0"/>
              <w:contextualSpacing/>
              <w:jc w:val="center"/>
              <w:rPr>
                <w:rFonts w:cs="Times New Roman"/>
                <w:sz w:val="21"/>
                <w:szCs w:val="21"/>
              </w:rPr>
            </w:pPr>
            <w:r>
              <w:rPr>
                <w:rFonts w:cs="Times New Roman"/>
                <w:sz w:val="21"/>
                <w:szCs w:val="21"/>
              </w:rPr>
              <w:t>18</w:t>
            </w:r>
          </w:p>
        </w:tc>
        <w:tc>
          <w:tcPr>
            <w:tcW w:w="1660" w:type="dxa"/>
            <w:vMerge w:val="continue"/>
            <w:vAlign w:val="center"/>
          </w:tcPr>
          <w:p w14:paraId="2C2F10BA">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24A16A04">
            <w:pPr>
              <w:widowControl/>
              <w:adjustRightInd w:val="0"/>
              <w:spacing w:line="240" w:lineRule="auto"/>
              <w:ind w:firstLine="0" w:firstLineChars="0"/>
              <w:contextualSpacing/>
              <w:jc w:val="center"/>
              <w:rPr>
                <w:rFonts w:cs="Times New Roman"/>
                <w:sz w:val="21"/>
                <w:szCs w:val="21"/>
              </w:rPr>
            </w:pPr>
            <w:r>
              <w:rPr>
                <w:rFonts w:cs="Times New Roman"/>
                <w:sz w:val="21"/>
                <w:szCs w:val="21"/>
              </w:rPr>
              <w:t>西头</w:t>
            </w:r>
          </w:p>
        </w:tc>
        <w:tc>
          <w:tcPr>
            <w:tcW w:w="1661" w:type="dxa"/>
          </w:tcPr>
          <w:p w14:paraId="5F6CE90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7033A520">
            <w:pPr>
              <w:widowControl/>
              <w:adjustRightInd w:val="0"/>
              <w:spacing w:line="240" w:lineRule="auto"/>
              <w:ind w:firstLine="0" w:firstLineChars="0"/>
              <w:contextualSpacing/>
              <w:jc w:val="center"/>
              <w:rPr>
                <w:rFonts w:cs="Times New Roman"/>
                <w:sz w:val="21"/>
                <w:szCs w:val="21"/>
              </w:rPr>
            </w:pPr>
          </w:p>
        </w:tc>
      </w:tr>
      <w:tr w14:paraId="57C4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6DE3CE2">
            <w:pPr>
              <w:widowControl/>
              <w:adjustRightInd w:val="0"/>
              <w:spacing w:line="240" w:lineRule="auto"/>
              <w:ind w:firstLine="0" w:firstLineChars="0"/>
              <w:contextualSpacing/>
              <w:jc w:val="center"/>
              <w:rPr>
                <w:rFonts w:cs="Times New Roman"/>
                <w:sz w:val="21"/>
                <w:szCs w:val="21"/>
              </w:rPr>
            </w:pPr>
            <w:r>
              <w:rPr>
                <w:rFonts w:cs="Times New Roman"/>
                <w:sz w:val="21"/>
                <w:szCs w:val="21"/>
              </w:rPr>
              <w:t>19</w:t>
            </w:r>
          </w:p>
        </w:tc>
        <w:tc>
          <w:tcPr>
            <w:tcW w:w="1660" w:type="dxa"/>
            <w:vMerge w:val="continue"/>
            <w:vAlign w:val="center"/>
          </w:tcPr>
          <w:p w14:paraId="76D2A548">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0A1BACAD">
            <w:pPr>
              <w:widowControl/>
              <w:adjustRightInd w:val="0"/>
              <w:spacing w:line="240" w:lineRule="auto"/>
              <w:ind w:firstLine="0" w:firstLineChars="0"/>
              <w:contextualSpacing/>
              <w:jc w:val="center"/>
              <w:rPr>
                <w:rFonts w:cs="Times New Roman"/>
                <w:sz w:val="21"/>
                <w:szCs w:val="21"/>
              </w:rPr>
            </w:pPr>
            <w:r>
              <w:rPr>
                <w:rFonts w:cs="Times New Roman"/>
                <w:sz w:val="21"/>
                <w:szCs w:val="21"/>
              </w:rPr>
              <w:t>山头</w:t>
            </w:r>
          </w:p>
        </w:tc>
        <w:tc>
          <w:tcPr>
            <w:tcW w:w="1661" w:type="dxa"/>
          </w:tcPr>
          <w:p w14:paraId="62BC2384">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66AB6168">
            <w:pPr>
              <w:widowControl/>
              <w:adjustRightInd w:val="0"/>
              <w:spacing w:line="240" w:lineRule="auto"/>
              <w:ind w:firstLine="0" w:firstLineChars="0"/>
              <w:contextualSpacing/>
              <w:jc w:val="center"/>
              <w:rPr>
                <w:rFonts w:cs="Times New Roman"/>
                <w:sz w:val="21"/>
                <w:szCs w:val="21"/>
              </w:rPr>
            </w:pPr>
          </w:p>
        </w:tc>
      </w:tr>
      <w:tr w14:paraId="46EF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301B4B0">
            <w:pPr>
              <w:widowControl/>
              <w:adjustRightInd w:val="0"/>
              <w:spacing w:line="240" w:lineRule="auto"/>
              <w:ind w:firstLine="0" w:firstLineChars="0"/>
              <w:contextualSpacing/>
              <w:jc w:val="center"/>
              <w:rPr>
                <w:rFonts w:cs="Times New Roman"/>
                <w:sz w:val="21"/>
                <w:szCs w:val="21"/>
              </w:rPr>
            </w:pPr>
            <w:r>
              <w:rPr>
                <w:rFonts w:cs="Times New Roman"/>
                <w:sz w:val="21"/>
                <w:szCs w:val="21"/>
              </w:rPr>
              <w:t>20</w:t>
            </w:r>
          </w:p>
        </w:tc>
        <w:tc>
          <w:tcPr>
            <w:tcW w:w="1660" w:type="dxa"/>
            <w:vMerge w:val="continue"/>
            <w:vAlign w:val="center"/>
          </w:tcPr>
          <w:p w14:paraId="637D96E2">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641238DC">
            <w:pPr>
              <w:widowControl/>
              <w:adjustRightInd w:val="0"/>
              <w:spacing w:line="240" w:lineRule="auto"/>
              <w:ind w:firstLine="0" w:firstLineChars="0"/>
              <w:contextualSpacing/>
              <w:jc w:val="center"/>
              <w:rPr>
                <w:rFonts w:cs="Times New Roman"/>
                <w:sz w:val="21"/>
                <w:szCs w:val="21"/>
              </w:rPr>
            </w:pPr>
            <w:r>
              <w:rPr>
                <w:rFonts w:cs="Times New Roman"/>
                <w:sz w:val="21"/>
                <w:szCs w:val="21"/>
              </w:rPr>
              <w:t>山后</w:t>
            </w:r>
          </w:p>
        </w:tc>
        <w:tc>
          <w:tcPr>
            <w:tcW w:w="1661" w:type="dxa"/>
          </w:tcPr>
          <w:p w14:paraId="2A1C4B2E">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1A7CF5D6">
            <w:pPr>
              <w:widowControl/>
              <w:adjustRightInd w:val="0"/>
              <w:spacing w:line="240" w:lineRule="auto"/>
              <w:ind w:firstLine="0" w:firstLineChars="0"/>
              <w:contextualSpacing/>
              <w:jc w:val="center"/>
              <w:rPr>
                <w:rFonts w:cs="Times New Roman"/>
                <w:sz w:val="21"/>
                <w:szCs w:val="21"/>
              </w:rPr>
            </w:pPr>
          </w:p>
        </w:tc>
      </w:tr>
      <w:tr w14:paraId="43ED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8071ED7">
            <w:pPr>
              <w:widowControl/>
              <w:adjustRightInd w:val="0"/>
              <w:spacing w:line="240" w:lineRule="auto"/>
              <w:ind w:firstLine="0" w:firstLineChars="0"/>
              <w:contextualSpacing/>
              <w:jc w:val="center"/>
              <w:rPr>
                <w:rFonts w:cs="Times New Roman"/>
                <w:sz w:val="21"/>
                <w:szCs w:val="21"/>
              </w:rPr>
            </w:pPr>
            <w:r>
              <w:rPr>
                <w:rFonts w:cs="Times New Roman"/>
                <w:sz w:val="21"/>
                <w:szCs w:val="21"/>
              </w:rPr>
              <w:t>21</w:t>
            </w:r>
          </w:p>
        </w:tc>
        <w:tc>
          <w:tcPr>
            <w:tcW w:w="1660" w:type="dxa"/>
            <w:vMerge w:val="continue"/>
            <w:vAlign w:val="center"/>
          </w:tcPr>
          <w:p w14:paraId="44371278">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0FCC62E2">
            <w:pPr>
              <w:widowControl/>
              <w:adjustRightInd w:val="0"/>
              <w:spacing w:line="240" w:lineRule="auto"/>
              <w:ind w:firstLine="0" w:firstLineChars="0"/>
              <w:contextualSpacing/>
              <w:jc w:val="center"/>
              <w:rPr>
                <w:rFonts w:cs="Times New Roman"/>
                <w:sz w:val="21"/>
                <w:szCs w:val="21"/>
              </w:rPr>
            </w:pPr>
            <w:r>
              <w:rPr>
                <w:rFonts w:cs="Times New Roman"/>
                <w:sz w:val="21"/>
                <w:szCs w:val="21"/>
              </w:rPr>
              <w:t>龙头</w:t>
            </w:r>
          </w:p>
        </w:tc>
        <w:tc>
          <w:tcPr>
            <w:tcW w:w="1661" w:type="dxa"/>
          </w:tcPr>
          <w:p w14:paraId="2EFA310C">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4F3874FF">
            <w:pPr>
              <w:widowControl/>
              <w:adjustRightInd w:val="0"/>
              <w:spacing w:line="240" w:lineRule="auto"/>
              <w:ind w:firstLine="0" w:firstLineChars="0"/>
              <w:contextualSpacing/>
              <w:jc w:val="center"/>
              <w:rPr>
                <w:rFonts w:cs="Times New Roman"/>
                <w:sz w:val="21"/>
                <w:szCs w:val="21"/>
              </w:rPr>
            </w:pPr>
          </w:p>
        </w:tc>
      </w:tr>
      <w:tr w14:paraId="1316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EDA944A">
            <w:pPr>
              <w:widowControl/>
              <w:adjustRightInd w:val="0"/>
              <w:spacing w:line="240" w:lineRule="auto"/>
              <w:ind w:firstLine="0" w:firstLineChars="0"/>
              <w:contextualSpacing/>
              <w:jc w:val="center"/>
              <w:rPr>
                <w:rFonts w:cs="Times New Roman"/>
                <w:sz w:val="21"/>
                <w:szCs w:val="21"/>
              </w:rPr>
            </w:pPr>
            <w:r>
              <w:rPr>
                <w:rFonts w:cs="Times New Roman"/>
                <w:sz w:val="21"/>
                <w:szCs w:val="21"/>
              </w:rPr>
              <w:t>22</w:t>
            </w:r>
          </w:p>
        </w:tc>
        <w:tc>
          <w:tcPr>
            <w:tcW w:w="1660" w:type="dxa"/>
            <w:vMerge w:val="continue"/>
            <w:vAlign w:val="center"/>
          </w:tcPr>
          <w:p w14:paraId="2277D877">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6AB81130">
            <w:pPr>
              <w:widowControl/>
              <w:adjustRightInd w:val="0"/>
              <w:spacing w:line="240" w:lineRule="auto"/>
              <w:ind w:firstLine="0" w:firstLineChars="0"/>
              <w:contextualSpacing/>
              <w:jc w:val="center"/>
              <w:rPr>
                <w:rFonts w:cs="Times New Roman"/>
                <w:sz w:val="21"/>
                <w:szCs w:val="21"/>
              </w:rPr>
            </w:pPr>
            <w:r>
              <w:rPr>
                <w:rFonts w:cs="Times New Roman"/>
                <w:sz w:val="21"/>
                <w:szCs w:val="21"/>
              </w:rPr>
              <w:t>小白牛沟</w:t>
            </w:r>
          </w:p>
        </w:tc>
        <w:tc>
          <w:tcPr>
            <w:tcW w:w="1661" w:type="dxa"/>
          </w:tcPr>
          <w:p w14:paraId="327854FA">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4D60BBEF">
            <w:pPr>
              <w:widowControl/>
              <w:adjustRightInd w:val="0"/>
              <w:spacing w:line="240" w:lineRule="auto"/>
              <w:ind w:firstLine="0" w:firstLineChars="0"/>
              <w:contextualSpacing/>
              <w:jc w:val="center"/>
              <w:rPr>
                <w:rFonts w:cs="Times New Roman"/>
                <w:sz w:val="21"/>
                <w:szCs w:val="21"/>
              </w:rPr>
            </w:pPr>
          </w:p>
        </w:tc>
      </w:tr>
      <w:tr w14:paraId="2616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42ECAA5">
            <w:pPr>
              <w:widowControl/>
              <w:adjustRightInd w:val="0"/>
              <w:spacing w:line="240" w:lineRule="auto"/>
              <w:ind w:firstLine="0" w:firstLineChars="0"/>
              <w:contextualSpacing/>
              <w:jc w:val="center"/>
              <w:rPr>
                <w:rFonts w:cs="Times New Roman"/>
                <w:sz w:val="21"/>
                <w:szCs w:val="21"/>
              </w:rPr>
            </w:pPr>
            <w:r>
              <w:rPr>
                <w:rFonts w:cs="Times New Roman"/>
                <w:sz w:val="21"/>
                <w:szCs w:val="21"/>
              </w:rPr>
              <w:t>23</w:t>
            </w:r>
          </w:p>
        </w:tc>
        <w:tc>
          <w:tcPr>
            <w:tcW w:w="1660" w:type="dxa"/>
            <w:vMerge w:val="continue"/>
            <w:vAlign w:val="center"/>
          </w:tcPr>
          <w:p w14:paraId="722107FC">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783C4BE6">
            <w:pPr>
              <w:widowControl/>
              <w:adjustRightInd w:val="0"/>
              <w:spacing w:line="240" w:lineRule="auto"/>
              <w:ind w:firstLine="0" w:firstLineChars="0"/>
              <w:contextualSpacing/>
              <w:jc w:val="center"/>
              <w:rPr>
                <w:rFonts w:cs="Times New Roman"/>
                <w:sz w:val="21"/>
                <w:szCs w:val="21"/>
              </w:rPr>
            </w:pPr>
            <w:r>
              <w:rPr>
                <w:rFonts w:cs="Times New Roman"/>
                <w:sz w:val="21"/>
                <w:szCs w:val="21"/>
              </w:rPr>
              <w:t>大白牛沟</w:t>
            </w:r>
          </w:p>
        </w:tc>
        <w:tc>
          <w:tcPr>
            <w:tcW w:w="1661" w:type="dxa"/>
          </w:tcPr>
          <w:p w14:paraId="3C38B26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662149B9">
            <w:pPr>
              <w:widowControl/>
              <w:adjustRightInd w:val="0"/>
              <w:spacing w:line="240" w:lineRule="auto"/>
              <w:ind w:firstLine="0" w:firstLineChars="0"/>
              <w:contextualSpacing/>
              <w:jc w:val="center"/>
              <w:rPr>
                <w:rFonts w:cs="Times New Roman"/>
                <w:sz w:val="21"/>
                <w:szCs w:val="21"/>
              </w:rPr>
            </w:pPr>
          </w:p>
        </w:tc>
      </w:tr>
      <w:tr w14:paraId="755F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AF29B85">
            <w:pPr>
              <w:widowControl/>
              <w:adjustRightInd w:val="0"/>
              <w:spacing w:line="240" w:lineRule="auto"/>
              <w:ind w:firstLine="0" w:firstLineChars="0"/>
              <w:contextualSpacing/>
              <w:jc w:val="center"/>
              <w:rPr>
                <w:rFonts w:cs="Times New Roman"/>
                <w:sz w:val="21"/>
                <w:szCs w:val="21"/>
              </w:rPr>
            </w:pPr>
            <w:r>
              <w:rPr>
                <w:rFonts w:cs="Times New Roman"/>
                <w:sz w:val="21"/>
                <w:szCs w:val="21"/>
              </w:rPr>
              <w:t>24</w:t>
            </w:r>
          </w:p>
        </w:tc>
        <w:tc>
          <w:tcPr>
            <w:tcW w:w="1660" w:type="dxa"/>
            <w:vMerge w:val="restart"/>
            <w:vAlign w:val="center"/>
          </w:tcPr>
          <w:p w14:paraId="084515E3">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爬宝村</w:t>
            </w:r>
          </w:p>
        </w:tc>
        <w:tc>
          <w:tcPr>
            <w:tcW w:w="1660" w:type="dxa"/>
          </w:tcPr>
          <w:p w14:paraId="5D654D66">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爬宝山村</w:t>
            </w:r>
          </w:p>
        </w:tc>
        <w:tc>
          <w:tcPr>
            <w:tcW w:w="1661" w:type="dxa"/>
          </w:tcPr>
          <w:p w14:paraId="12573B24">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37849BEF">
            <w:pPr>
              <w:widowControl/>
              <w:adjustRightInd w:val="0"/>
              <w:spacing w:line="240" w:lineRule="auto"/>
              <w:ind w:firstLine="0" w:firstLineChars="0"/>
              <w:contextualSpacing/>
              <w:jc w:val="center"/>
              <w:rPr>
                <w:rFonts w:cs="Times New Roman"/>
                <w:sz w:val="21"/>
                <w:szCs w:val="21"/>
              </w:rPr>
            </w:pPr>
          </w:p>
        </w:tc>
      </w:tr>
      <w:tr w14:paraId="19EC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8B953A0">
            <w:pPr>
              <w:widowControl/>
              <w:adjustRightInd w:val="0"/>
              <w:spacing w:line="240" w:lineRule="auto"/>
              <w:ind w:firstLine="0" w:firstLineChars="0"/>
              <w:contextualSpacing/>
              <w:jc w:val="center"/>
              <w:rPr>
                <w:rFonts w:cs="Times New Roman"/>
                <w:sz w:val="21"/>
                <w:szCs w:val="21"/>
              </w:rPr>
            </w:pPr>
            <w:r>
              <w:rPr>
                <w:rFonts w:cs="Times New Roman"/>
                <w:sz w:val="21"/>
                <w:szCs w:val="21"/>
              </w:rPr>
              <w:t>25</w:t>
            </w:r>
          </w:p>
        </w:tc>
        <w:tc>
          <w:tcPr>
            <w:tcW w:w="1660" w:type="dxa"/>
            <w:vMerge w:val="continue"/>
            <w:vAlign w:val="center"/>
          </w:tcPr>
          <w:p w14:paraId="58CA089A">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59B8CFDD">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外爬宝山</w:t>
            </w:r>
          </w:p>
        </w:tc>
        <w:tc>
          <w:tcPr>
            <w:tcW w:w="1661" w:type="dxa"/>
          </w:tcPr>
          <w:p w14:paraId="220B3BE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24061F54">
            <w:pPr>
              <w:widowControl/>
              <w:adjustRightInd w:val="0"/>
              <w:spacing w:line="240" w:lineRule="auto"/>
              <w:ind w:firstLine="0" w:firstLineChars="0"/>
              <w:contextualSpacing/>
              <w:jc w:val="center"/>
              <w:rPr>
                <w:rFonts w:cs="Times New Roman"/>
                <w:sz w:val="21"/>
                <w:szCs w:val="21"/>
              </w:rPr>
            </w:pPr>
          </w:p>
        </w:tc>
      </w:tr>
      <w:tr w14:paraId="72DC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83C40A6">
            <w:pPr>
              <w:widowControl/>
              <w:adjustRightInd w:val="0"/>
              <w:spacing w:line="240" w:lineRule="auto"/>
              <w:ind w:firstLine="0" w:firstLineChars="0"/>
              <w:contextualSpacing/>
              <w:jc w:val="center"/>
              <w:rPr>
                <w:rFonts w:cs="Times New Roman"/>
                <w:sz w:val="21"/>
                <w:szCs w:val="21"/>
              </w:rPr>
            </w:pPr>
            <w:r>
              <w:rPr>
                <w:rFonts w:cs="Times New Roman"/>
                <w:sz w:val="21"/>
                <w:szCs w:val="21"/>
              </w:rPr>
              <w:t>26</w:t>
            </w:r>
          </w:p>
        </w:tc>
        <w:tc>
          <w:tcPr>
            <w:tcW w:w="1660" w:type="dxa"/>
            <w:vMerge w:val="continue"/>
            <w:vAlign w:val="center"/>
          </w:tcPr>
          <w:p w14:paraId="2A88D67B">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5E98ECAC">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外爬宝五队</w:t>
            </w:r>
          </w:p>
        </w:tc>
        <w:tc>
          <w:tcPr>
            <w:tcW w:w="1661" w:type="dxa"/>
          </w:tcPr>
          <w:p w14:paraId="2BBC60F8">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74E0E5CE">
            <w:pPr>
              <w:widowControl/>
              <w:adjustRightInd w:val="0"/>
              <w:spacing w:line="240" w:lineRule="auto"/>
              <w:ind w:firstLine="0" w:firstLineChars="0"/>
              <w:contextualSpacing/>
              <w:jc w:val="center"/>
              <w:rPr>
                <w:rFonts w:cs="Times New Roman"/>
                <w:sz w:val="21"/>
                <w:szCs w:val="21"/>
              </w:rPr>
            </w:pPr>
          </w:p>
        </w:tc>
      </w:tr>
      <w:tr w14:paraId="38CB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1E04DDF">
            <w:pPr>
              <w:widowControl/>
              <w:adjustRightInd w:val="0"/>
              <w:spacing w:line="240" w:lineRule="auto"/>
              <w:ind w:firstLine="0" w:firstLineChars="0"/>
              <w:contextualSpacing/>
              <w:jc w:val="center"/>
              <w:rPr>
                <w:rFonts w:cs="Times New Roman"/>
                <w:sz w:val="21"/>
                <w:szCs w:val="21"/>
              </w:rPr>
            </w:pPr>
            <w:r>
              <w:rPr>
                <w:rFonts w:cs="Times New Roman"/>
                <w:sz w:val="21"/>
                <w:szCs w:val="21"/>
              </w:rPr>
              <w:t>27</w:t>
            </w:r>
          </w:p>
        </w:tc>
        <w:tc>
          <w:tcPr>
            <w:tcW w:w="1660" w:type="dxa"/>
            <w:vMerge w:val="continue"/>
            <w:vAlign w:val="center"/>
          </w:tcPr>
          <w:p w14:paraId="35181C49">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7901DFCD">
            <w:pPr>
              <w:widowControl/>
              <w:adjustRightInd w:val="0"/>
              <w:spacing w:line="240" w:lineRule="auto"/>
              <w:ind w:firstLine="0" w:firstLineChars="0"/>
              <w:contextualSpacing/>
              <w:jc w:val="center"/>
              <w:rPr>
                <w:rFonts w:cs="Times New Roman"/>
                <w:color w:val="000000"/>
                <w:sz w:val="21"/>
                <w:szCs w:val="21"/>
              </w:rPr>
            </w:pPr>
            <w:r>
              <w:rPr>
                <w:rFonts w:cs="Times New Roman"/>
                <w:color w:val="000000"/>
                <w:sz w:val="21"/>
                <w:szCs w:val="21"/>
              </w:rPr>
              <w:t>围里</w:t>
            </w:r>
          </w:p>
        </w:tc>
        <w:tc>
          <w:tcPr>
            <w:tcW w:w="1661" w:type="dxa"/>
          </w:tcPr>
          <w:p w14:paraId="57F3C005">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3D1A6618">
            <w:pPr>
              <w:widowControl/>
              <w:adjustRightInd w:val="0"/>
              <w:spacing w:line="240" w:lineRule="auto"/>
              <w:ind w:firstLine="0" w:firstLineChars="0"/>
              <w:contextualSpacing/>
              <w:jc w:val="center"/>
              <w:rPr>
                <w:rFonts w:cs="Times New Roman"/>
                <w:sz w:val="21"/>
                <w:szCs w:val="21"/>
              </w:rPr>
            </w:pPr>
          </w:p>
        </w:tc>
      </w:tr>
      <w:tr w14:paraId="6D87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1B6A3A1">
            <w:pPr>
              <w:widowControl/>
              <w:adjustRightInd w:val="0"/>
              <w:spacing w:line="240" w:lineRule="auto"/>
              <w:ind w:firstLine="0" w:firstLineChars="0"/>
              <w:contextualSpacing/>
              <w:jc w:val="center"/>
              <w:rPr>
                <w:rFonts w:cs="Times New Roman"/>
                <w:sz w:val="21"/>
                <w:szCs w:val="21"/>
              </w:rPr>
            </w:pPr>
            <w:r>
              <w:rPr>
                <w:rFonts w:cs="Times New Roman"/>
                <w:sz w:val="21"/>
                <w:szCs w:val="21"/>
              </w:rPr>
              <w:t>28</w:t>
            </w:r>
          </w:p>
        </w:tc>
        <w:tc>
          <w:tcPr>
            <w:tcW w:w="1660" w:type="dxa"/>
            <w:vMerge w:val="continue"/>
            <w:vAlign w:val="center"/>
          </w:tcPr>
          <w:p w14:paraId="06B03D8B">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3235C042">
            <w:pPr>
              <w:widowControl/>
              <w:adjustRightInd w:val="0"/>
              <w:spacing w:line="240" w:lineRule="auto"/>
              <w:ind w:firstLine="0" w:firstLineChars="0"/>
              <w:contextualSpacing/>
              <w:jc w:val="center"/>
              <w:rPr>
                <w:rFonts w:cs="Times New Roman"/>
                <w:color w:val="000000"/>
                <w:sz w:val="21"/>
                <w:szCs w:val="21"/>
              </w:rPr>
            </w:pPr>
            <w:r>
              <w:rPr>
                <w:rFonts w:cs="Times New Roman"/>
                <w:color w:val="000000"/>
                <w:sz w:val="21"/>
                <w:szCs w:val="21"/>
              </w:rPr>
              <w:t>爬宝沟</w:t>
            </w:r>
          </w:p>
        </w:tc>
        <w:tc>
          <w:tcPr>
            <w:tcW w:w="1661" w:type="dxa"/>
          </w:tcPr>
          <w:p w14:paraId="531D77BF">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2C87B713">
            <w:pPr>
              <w:widowControl/>
              <w:adjustRightInd w:val="0"/>
              <w:spacing w:line="240" w:lineRule="auto"/>
              <w:ind w:firstLine="0" w:firstLineChars="0"/>
              <w:contextualSpacing/>
              <w:jc w:val="center"/>
              <w:rPr>
                <w:rFonts w:cs="Times New Roman"/>
                <w:sz w:val="21"/>
                <w:szCs w:val="21"/>
              </w:rPr>
            </w:pPr>
          </w:p>
        </w:tc>
      </w:tr>
      <w:tr w14:paraId="6537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4299841">
            <w:pPr>
              <w:widowControl/>
              <w:adjustRightInd w:val="0"/>
              <w:spacing w:line="240" w:lineRule="auto"/>
              <w:ind w:firstLine="0" w:firstLineChars="0"/>
              <w:contextualSpacing/>
              <w:jc w:val="center"/>
              <w:rPr>
                <w:rFonts w:cs="Times New Roman"/>
                <w:sz w:val="21"/>
                <w:szCs w:val="21"/>
              </w:rPr>
            </w:pPr>
            <w:r>
              <w:rPr>
                <w:rFonts w:cs="Times New Roman"/>
                <w:sz w:val="21"/>
                <w:szCs w:val="21"/>
              </w:rPr>
              <w:t>29</w:t>
            </w:r>
          </w:p>
        </w:tc>
        <w:tc>
          <w:tcPr>
            <w:tcW w:w="1660" w:type="dxa"/>
            <w:vMerge w:val="continue"/>
            <w:vAlign w:val="center"/>
          </w:tcPr>
          <w:p w14:paraId="7AC2F882">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24C4A005">
            <w:pPr>
              <w:widowControl/>
              <w:adjustRightInd w:val="0"/>
              <w:spacing w:line="240" w:lineRule="auto"/>
              <w:ind w:firstLine="0" w:firstLineChars="0"/>
              <w:contextualSpacing/>
              <w:jc w:val="center"/>
              <w:rPr>
                <w:rFonts w:cs="Times New Roman"/>
                <w:sz w:val="21"/>
                <w:szCs w:val="21"/>
              </w:rPr>
            </w:pPr>
            <w:r>
              <w:rPr>
                <w:rFonts w:cs="Times New Roman"/>
                <w:sz w:val="21"/>
                <w:szCs w:val="21"/>
              </w:rPr>
              <w:t>山后</w:t>
            </w:r>
          </w:p>
        </w:tc>
        <w:tc>
          <w:tcPr>
            <w:tcW w:w="1661" w:type="dxa"/>
          </w:tcPr>
          <w:p w14:paraId="263B9EFC">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584EE1BE">
            <w:pPr>
              <w:widowControl/>
              <w:adjustRightInd w:val="0"/>
              <w:spacing w:line="240" w:lineRule="auto"/>
              <w:ind w:firstLine="0" w:firstLineChars="0"/>
              <w:contextualSpacing/>
              <w:jc w:val="center"/>
              <w:rPr>
                <w:rFonts w:cs="Times New Roman"/>
                <w:sz w:val="21"/>
                <w:szCs w:val="21"/>
              </w:rPr>
            </w:pPr>
          </w:p>
        </w:tc>
      </w:tr>
      <w:tr w14:paraId="3D05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DBB93B3">
            <w:pPr>
              <w:widowControl/>
              <w:adjustRightInd w:val="0"/>
              <w:spacing w:line="240" w:lineRule="auto"/>
              <w:ind w:firstLine="0" w:firstLineChars="0"/>
              <w:contextualSpacing/>
              <w:jc w:val="center"/>
              <w:rPr>
                <w:rFonts w:cs="Times New Roman"/>
                <w:sz w:val="21"/>
                <w:szCs w:val="21"/>
              </w:rPr>
            </w:pPr>
            <w:r>
              <w:rPr>
                <w:rFonts w:cs="Times New Roman"/>
                <w:sz w:val="21"/>
                <w:szCs w:val="21"/>
              </w:rPr>
              <w:t>30</w:t>
            </w:r>
          </w:p>
        </w:tc>
        <w:tc>
          <w:tcPr>
            <w:tcW w:w="1660" w:type="dxa"/>
            <w:vMerge w:val="restart"/>
            <w:vAlign w:val="center"/>
          </w:tcPr>
          <w:p w14:paraId="701DF97D">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北岔村</w:t>
            </w:r>
          </w:p>
        </w:tc>
        <w:tc>
          <w:tcPr>
            <w:tcW w:w="1660" w:type="dxa"/>
          </w:tcPr>
          <w:p w14:paraId="48F92AD8">
            <w:pPr>
              <w:widowControl/>
              <w:adjustRightInd w:val="0"/>
              <w:spacing w:line="240" w:lineRule="auto"/>
              <w:ind w:firstLine="0" w:firstLineChars="0"/>
              <w:contextualSpacing/>
              <w:jc w:val="center"/>
              <w:rPr>
                <w:rFonts w:cs="Times New Roman"/>
                <w:sz w:val="21"/>
                <w:szCs w:val="21"/>
              </w:rPr>
            </w:pPr>
            <w:r>
              <w:rPr>
                <w:rFonts w:cs="Times New Roman"/>
                <w:sz w:val="21"/>
                <w:szCs w:val="21"/>
              </w:rPr>
              <w:t>北岔村</w:t>
            </w:r>
          </w:p>
        </w:tc>
        <w:tc>
          <w:tcPr>
            <w:tcW w:w="1661" w:type="dxa"/>
          </w:tcPr>
          <w:p w14:paraId="19ED72D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455A874E">
            <w:pPr>
              <w:widowControl/>
              <w:adjustRightInd w:val="0"/>
              <w:spacing w:line="240" w:lineRule="auto"/>
              <w:ind w:firstLine="0" w:firstLineChars="0"/>
              <w:contextualSpacing/>
              <w:jc w:val="center"/>
              <w:rPr>
                <w:rFonts w:cs="Times New Roman"/>
                <w:sz w:val="21"/>
                <w:szCs w:val="21"/>
              </w:rPr>
            </w:pPr>
          </w:p>
        </w:tc>
      </w:tr>
      <w:tr w14:paraId="2DC4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18AC02DF">
            <w:pPr>
              <w:widowControl/>
              <w:adjustRightInd w:val="0"/>
              <w:spacing w:line="240" w:lineRule="auto"/>
              <w:ind w:firstLine="0" w:firstLineChars="0"/>
              <w:contextualSpacing/>
              <w:jc w:val="center"/>
              <w:rPr>
                <w:rFonts w:cs="Times New Roman"/>
                <w:sz w:val="21"/>
                <w:szCs w:val="21"/>
              </w:rPr>
            </w:pPr>
            <w:r>
              <w:rPr>
                <w:rFonts w:cs="Times New Roman"/>
                <w:sz w:val="21"/>
                <w:szCs w:val="21"/>
              </w:rPr>
              <w:t>31</w:t>
            </w:r>
          </w:p>
        </w:tc>
        <w:tc>
          <w:tcPr>
            <w:tcW w:w="1660" w:type="dxa"/>
            <w:vMerge w:val="continue"/>
            <w:vAlign w:val="center"/>
          </w:tcPr>
          <w:p w14:paraId="19F6D14C">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2CC81180">
            <w:pPr>
              <w:widowControl/>
              <w:adjustRightInd w:val="0"/>
              <w:spacing w:line="240" w:lineRule="auto"/>
              <w:ind w:firstLine="0" w:firstLineChars="0"/>
              <w:contextualSpacing/>
              <w:jc w:val="center"/>
              <w:rPr>
                <w:rFonts w:cs="Times New Roman"/>
                <w:sz w:val="21"/>
                <w:szCs w:val="21"/>
              </w:rPr>
            </w:pPr>
            <w:r>
              <w:rPr>
                <w:rFonts w:cs="Times New Roman"/>
                <w:sz w:val="21"/>
                <w:szCs w:val="21"/>
              </w:rPr>
              <w:t>大北岔</w:t>
            </w:r>
          </w:p>
        </w:tc>
        <w:tc>
          <w:tcPr>
            <w:tcW w:w="1661" w:type="dxa"/>
          </w:tcPr>
          <w:p w14:paraId="12541A85">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3F8A0A94">
            <w:pPr>
              <w:widowControl/>
              <w:adjustRightInd w:val="0"/>
              <w:spacing w:line="240" w:lineRule="auto"/>
              <w:ind w:firstLine="0" w:firstLineChars="0"/>
              <w:contextualSpacing/>
              <w:jc w:val="center"/>
              <w:rPr>
                <w:rFonts w:cs="Times New Roman"/>
                <w:sz w:val="21"/>
                <w:szCs w:val="21"/>
              </w:rPr>
            </w:pPr>
          </w:p>
        </w:tc>
      </w:tr>
      <w:tr w14:paraId="0457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97B15B5">
            <w:pPr>
              <w:widowControl/>
              <w:adjustRightInd w:val="0"/>
              <w:spacing w:line="240" w:lineRule="auto"/>
              <w:ind w:firstLine="0" w:firstLineChars="0"/>
              <w:contextualSpacing/>
              <w:jc w:val="center"/>
              <w:rPr>
                <w:rFonts w:cs="Times New Roman"/>
                <w:sz w:val="21"/>
                <w:szCs w:val="21"/>
              </w:rPr>
            </w:pPr>
            <w:r>
              <w:rPr>
                <w:rFonts w:cs="Times New Roman"/>
                <w:sz w:val="21"/>
                <w:szCs w:val="21"/>
              </w:rPr>
              <w:t>32</w:t>
            </w:r>
          </w:p>
        </w:tc>
        <w:tc>
          <w:tcPr>
            <w:tcW w:w="1660" w:type="dxa"/>
            <w:vMerge w:val="continue"/>
            <w:vAlign w:val="center"/>
          </w:tcPr>
          <w:p w14:paraId="31FCADA0">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459DAA0B">
            <w:pPr>
              <w:widowControl/>
              <w:adjustRightInd w:val="0"/>
              <w:spacing w:line="240" w:lineRule="auto"/>
              <w:ind w:firstLine="0" w:firstLineChars="0"/>
              <w:contextualSpacing/>
              <w:jc w:val="center"/>
              <w:rPr>
                <w:rFonts w:cs="Times New Roman"/>
                <w:sz w:val="21"/>
                <w:szCs w:val="21"/>
              </w:rPr>
            </w:pPr>
            <w:r>
              <w:rPr>
                <w:rFonts w:cs="Times New Roman"/>
                <w:sz w:val="21"/>
                <w:szCs w:val="21"/>
              </w:rPr>
              <w:t>上北岔</w:t>
            </w:r>
          </w:p>
        </w:tc>
        <w:tc>
          <w:tcPr>
            <w:tcW w:w="1661" w:type="dxa"/>
          </w:tcPr>
          <w:p w14:paraId="4C913672">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79E29411">
            <w:pPr>
              <w:widowControl/>
              <w:adjustRightInd w:val="0"/>
              <w:spacing w:line="240" w:lineRule="auto"/>
              <w:ind w:firstLine="0" w:firstLineChars="0"/>
              <w:contextualSpacing/>
              <w:jc w:val="center"/>
              <w:rPr>
                <w:rFonts w:cs="Times New Roman"/>
                <w:sz w:val="21"/>
                <w:szCs w:val="21"/>
              </w:rPr>
            </w:pPr>
          </w:p>
        </w:tc>
      </w:tr>
      <w:tr w14:paraId="439B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6851609">
            <w:pPr>
              <w:widowControl/>
              <w:adjustRightInd w:val="0"/>
              <w:spacing w:line="240" w:lineRule="auto"/>
              <w:ind w:firstLine="0" w:firstLineChars="0"/>
              <w:contextualSpacing/>
              <w:jc w:val="center"/>
              <w:rPr>
                <w:rFonts w:cs="Times New Roman"/>
                <w:sz w:val="21"/>
                <w:szCs w:val="21"/>
              </w:rPr>
            </w:pPr>
            <w:r>
              <w:rPr>
                <w:rFonts w:cs="Times New Roman"/>
                <w:sz w:val="21"/>
                <w:szCs w:val="21"/>
              </w:rPr>
              <w:t>33</w:t>
            </w:r>
          </w:p>
        </w:tc>
        <w:tc>
          <w:tcPr>
            <w:tcW w:w="1660" w:type="dxa"/>
            <w:vMerge w:val="continue"/>
            <w:vAlign w:val="center"/>
          </w:tcPr>
          <w:p w14:paraId="5AAB2831">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7331C03B">
            <w:pPr>
              <w:widowControl/>
              <w:adjustRightInd w:val="0"/>
              <w:spacing w:line="240" w:lineRule="auto"/>
              <w:ind w:firstLine="0" w:firstLineChars="0"/>
              <w:contextualSpacing/>
              <w:jc w:val="center"/>
              <w:rPr>
                <w:rFonts w:cs="Times New Roman"/>
                <w:sz w:val="21"/>
                <w:szCs w:val="21"/>
              </w:rPr>
            </w:pPr>
            <w:r>
              <w:rPr>
                <w:rFonts w:cs="Times New Roman"/>
                <w:sz w:val="21"/>
                <w:szCs w:val="21"/>
              </w:rPr>
              <w:t>西沟</w:t>
            </w:r>
          </w:p>
        </w:tc>
        <w:tc>
          <w:tcPr>
            <w:tcW w:w="1661" w:type="dxa"/>
          </w:tcPr>
          <w:p w14:paraId="56A88EDE">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1661" w:type="dxa"/>
          </w:tcPr>
          <w:p w14:paraId="1B7DC92C">
            <w:pPr>
              <w:widowControl/>
              <w:adjustRightInd w:val="0"/>
              <w:spacing w:line="240" w:lineRule="auto"/>
              <w:ind w:firstLine="0" w:firstLineChars="0"/>
              <w:contextualSpacing/>
              <w:jc w:val="center"/>
              <w:rPr>
                <w:rFonts w:cs="Times New Roman"/>
                <w:sz w:val="21"/>
                <w:szCs w:val="21"/>
              </w:rPr>
            </w:pPr>
          </w:p>
        </w:tc>
      </w:tr>
      <w:tr w14:paraId="1658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7F4B5D8">
            <w:pPr>
              <w:widowControl/>
              <w:adjustRightInd w:val="0"/>
              <w:spacing w:line="240" w:lineRule="auto"/>
              <w:ind w:firstLine="0" w:firstLineChars="0"/>
              <w:contextualSpacing/>
              <w:jc w:val="center"/>
              <w:rPr>
                <w:rFonts w:cs="Times New Roman"/>
                <w:sz w:val="21"/>
                <w:szCs w:val="21"/>
              </w:rPr>
            </w:pPr>
            <w:r>
              <w:rPr>
                <w:rFonts w:cs="Times New Roman"/>
                <w:sz w:val="21"/>
                <w:szCs w:val="21"/>
              </w:rPr>
              <w:t>34</w:t>
            </w:r>
          </w:p>
        </w:tc>
        <w:tc>
          <w:tcPr>
            <w:tcW w:w="1660" w:type="dxa"/>
            <w:vMerge w:val="continue"/>
            <w:vAlign w:val="center"/>
          </w:tcPr>
          <w:p w14:paraId="41F0E201">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511B2597">
            <w:pPr>
              <w:widowControl/>
              <w:adjustRightInd w:val="0"/>
              <w:spacing w:line="240" w:lineRule="auto"/>
              <w:ind w:firstLine="0" w:firstLineChars="0"/>
              <w:contextualSpacing/>
              <w:jc w:val="center"/>
              <w:rPr>
                <w:rFonts w:cs="Times New Roman"/>
                <w:sz w:val="21"/>
                <w:szCs w:val="21"/>
              </w:rPr>
            </w:pPr>
            <w:r>
              <w:rPr>
                <w:rFonts w:cs="Times New Roman"/>
                <w:sz w:val="21"/>
                <w:szCs w:val="21"/>
              </w:rPr>
              <w:t>连二段岭沟</w:t>
            </w:r>
          </w:p>
        </w:tc>
        <w:tc>
          <w:tcPr>
            <w:tcW w:w="1661" w:type="dxa"/>
          </w:tcPr>
          <w:p w14:paraId="197DFAE8">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1661" w:type="dxa"/>
          </w:tcPr>
          <w:p w14:paraId="110F6316">
            <w:pPr>
              <w:widowControl/>
              <w:adjustRightInd w:val="0"/>
              <w:spacing w:line="240" w:lineRule="auto"/>
              <w:ind w:firstLine="0" w:firstLineChars="0"/>
              <w:contextualSpacing/>
              <w:jc w:val="center"/>
              <w:rPr>
                <w:rFonts w:cs="Times New Roman"/>
                <w:sz w:val="21"/>
                <w:szCs w:val="21"/>
              </w:rPr>
            </w:pPr>
          </w:p>
        </w:tc>
      </w:tr>
      <w:tr w14:paraId="0C3F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EFF7F3C">
            <w:pPr>
              <w:widowControl/>
              <w:adjustRightInd w:val="0"/>
              <w:spacing w:line="240" w:lineRule="auto"/>
              <w:ind w:firstLine="0" w:firstLineChars="0"/>
              <w:contextualSpacing/>
              <w:jc w:val="center"/>
              <w:rPr>
                <w:rFonts w:cs="Times New Roman"/>
                <w:sz w:val="21"/>
                <w:szCs w:val="21"/>
              </w:rPr>
            </w:pPr>
            <w:r>
              <w:rPr>
                <w:rFonts w:cs="Times New Roman"/>
                <w:sz w:val="21"/>
                <w:szCs w:val="21"/>
              </w:rPr>
              <w:t>35</w:t>
            </w:r>
          </w:p>
        </w:tc>
        <w:tc>
          <w:tcPr>
            <w:tcW w:w="1660" w:type="dxa"/>
            <w:vMerge w:val="restart"/>
            <w:vAlign w:val="center"/>
          </w:tcPr>
          <w:p w14:paraId="5AC120EC">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双合村</w:t>
            </w:r>
          </w:p>
        </w:tc>
        <w:tc>
          <w:tcPr>
            <w:tcW w:w="1660" w:type="dxa"/>
          </w:tcPr>
          <w:p w14:paraId="3E18EEF4">
            <w:pPr>
              <w:widowControl/>
              <w:adjustRightInd w:val="0"/>
              <w:spacing w:line="240" w:lineRule="auto"/>
              <w:ind w:firstLine="0" w:firstLineChars="0"/>
              <w:contextualSpacing/>
              <w:jc w:val="center"/>
              <w:rPr>
                <w:rFonts w:cs="Times New Roman"/>
                <w:sz w:val="21"/>
                <w:szCs w:val="21"/>
              </w:rPr>
            </w:pPr>
            <w:r>
              <w:rPr>
                <w:rFonts w:cs="Times New Roman"/>
                <w:sz w:val="21"/>
                <w:szCs w:val="21"/>
              </w:rPr>
              <w:t>双合村</w:t>
            </w:r>
          </w:p>
        </w:tc>
        <w:tc>
          <w:tcPr>
            <w:tcW w:w="1661" w:type="dxa"/>
          </w:tcPr>
          <w:p w14:paraId="5D93CBB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tcPr>
          <w:p w14:paraId="09FB642F">
            <w:pPr>
              <w:widowControl/>
              <w:adjustRightInd w:val="0"/>
              <w:spacing w:line="240" w:lineRule="auto"/>
              <w:ind w:firstLine="0" w:firstLineChars="0"/>
              <w:contextualSpacing/>
              <w:jc w:val="center"/>
              <w:rPr>
                <w:rFonts w:cs="Times New Roman"/>
                <w:sz w:val="21"/>
                <w:szCs w:val="21"/>
              </w:rPr>
            </w:pPr>
          </w:p>
        </w:tc>
      </w:tr>
      <w:tr w14:paraId="20B1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93EEDD6">
            <w:pPr>
              <w:widowControl/>
              <w:adjustRightInd w:val="0"/>
              <w:spacing w:line="240" w:lineRule="auto"/>
              <w:ind w:firstLine="0" w:firstLineChars="0"/>
              <w:contextualSpacing/>
              <w:jc w:val="center"/>
              <w:rPr>
                <w:rFonts w:cs="Times New Roman"/>
                <w:sz w:val="21"/>
                <w:szCs w:val="21"/>
              </w:rPr>
            </w:pPr>
            <w:r>
              <w:rPr>
                <w:rFonts w:cs="Times New Roman"/>
                <w:sz w:val="21"/>
                <w:szCs w:val="21"/>
              </w:rPr>
              <w:t>36</w:t>
            </w:r>
          </w:p>
        </w:tc>
        <w:tc>
          <w:tcPr>
            <w:tcW w:w="1660" w:type="dxa"/>
            <w:vMerge w:val="continue"/>
            <w:vAlign w:val="center"/>
          </w:tcPr>
          <w:p w14:paraId="2E3706E8">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1010B5CB">
            <w:pPr>
              <w:widowControl/>
              <w:adjustRightInd w:val="0"/>
              <w:spacing w:line="240" w:lineRule="auto"/>
              <w:ind w:firstLine="0" w:firstLineChars="0"/>
              <w:contextualSpacing/>
              <w:jc w:val="center"/>
              <w:rPr>
                <w:rFonts w:cs="Times New Roman"/>
                <w:sz w:val="21"/>
                <w:szCs w:val="21"/>
              </w:rPr>
            </w:pPr>
            <w:r>
              <w:rPr>
                <w:rFonts w:cs="Times New Roman"/>
                <w:sz w:val="21"/>
                <w:szCs w:val="21"/>
              </w:rPr>
              <w:t>唐房沟</w:t>
            </w:r>
          </w:p>
        </w:tc>
        <w:tc>
          <w:tcPr>
            <w:tcW w:w="1661" w:type="dxa"/>
          </w:tcPr>
          <w:p w14:paraId="6C1AF978">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61E170CB">
            <w:pPr>
              <w:widowControl/>
              <w:adjustRightInd w:val="0"/>
              <w:spacing w:line="240" w:lineRule="auto"/>
              <w:ind w:firstLine="0" w:firstLineChars="0"/>
              <w:contextualSpacing/>
              <w:jc w:val="center"/>
              <w:rPr>
                <w:rFonts w:cs="Times New Roman"/>
                <w:sz w:val="21"/>
                <w:szCs w:val="21"/>
              </w:rPr>
            </w:pPr>
          </w:p>
        </w:tc>
      </w:tr>
      <w:tr w14:paraId="0052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445398EB">
            <w:pPr>
              <w:widowControl/>
              <w:adjustRightInd w:val="0"/>
              <w:spacing w:line="240" w:lineRule="auto"/>
              <w:ind w:firstLine="0" w:firstLineChars="0"/>
              <w:contextualSpacing/>
              <w:jc w:val="center"/>
              <w:rPr>
                <w:rFonts w:cs="Times New Roman"/>
                <w:sz w:val="21"/>
                <w:szCs w:val="21"/>
              </w:rPr>
            </w:pPr>
            <w:r>
              <w:rPr>
                <w:rFonts w:cs="Times New Roman"/>
                <w:sz w:val="21"/>
                <w:szCs w:val="21"/>
              </w:rPr>
              <w:t>37</w:t>
            </w:r>
          </w:p>
        </w:tc>
        <w:tc>
          <w:tcPr>
            <w:tcW w:w="1660" w:type="dxa"/>
            <w:vMerge w:val="continue"/>
            <w:vAlign w:val="center"/>
          </w:tcPr>
          <w:p w14:paraId="561E3979">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608FC972">
            <w:pPr>
              <w:widowControl/>
              <w:adjustRightInd w:val="0"/>
              <w:spacing w:line="240" w:lineRule="auto"/>
              <w:ind w:firstLine="0" w:firstLineChars="0"/>
              <w:contextualSpacing/>
              <w:jc w:val="center"/>
              <w:rPr>
                <w:rFonts w:cs="Times New Roman"/>
                <w:sz w:val="21"/>
                <w:szCs w:val="21"/>
              </w:rPr>
            </w:pPr>
            <w:r>
              <w:rPr>
                <w:rFonts w:cs="Times New Roman"/>
                <w:sz w:val="21"/>
                <w:szCs w:val="21"/>
              </w:rPr>
              <w:t>大东岔</w:t>
            </w:r>
          </w:p>
        </w:tc>
        <w:tc>
          <w:tcPr>
            <w:tcW w:w="1661" w:type="dxa"/>
          </w:tcPr>
          <w:p w14:paraId="0730093D">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58DF0F13">
            <w:pPr>
              <w:widowControl/>
              <w:adjustRightInd w:val="0"/>
              <w:spacing w:line="240" w:lineRule="auto"/>
              <w:ind w:firstLine="0" w:firstLineChars="0"/>
              <w:contextualSpacing/>
              <w:jc w:val="center"/>
              <w:rPr>
                <w:rFonts w:cs="Times New Roman"/>
                <w:sz w:val="21"/>
                <w:szCs w:val="21"/>
              </w:rPr>
            </w:pPr>
          </w:p>
        </w:tc>
      </w:tr>
      <w:tr w14:paraId="51BD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9FA81A4">
            <w:pPr>
              <w:widowControl/>
              <w:adjustRightInd w:val="0"/>
              <w:spacing w:line="240" w:lineRule="auto"/>
              <w:ind w:firstLine="0" w:firstLineChars="0"/>
              <w:contextualSpacing/>
              <w:jc w:val="center"/>
              <w:rPr>
                <w:rFonts w:cs="Times New Roman"/>
                <w:sz w:val="21"/>
                <w:szCs w:val="21"/>
              </w:rPr>
            </w:pPr>
            <w:r>
              <w:rPr>
                <w:rFonts w:cs="Times New Roman"/>
                <w:sz w:val="21"/>
                <w:szCs w:val="21"/>
              </w:rPr>
              <w:t>38</w:t>
            </w:r>
          </w:p>
        </w:tc>
        <w:tc>
          <w:tcPr>
            <w:tcW w:w="1660" w:type="dxa"/>
            <w:vMerge w:val="continue"/>
            <w:vAlign w:val="center"/>
          </w:tcPr>
          <w:p w14:paraId="4A4C6E16">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71280D5E">
            <w:pPr>
              <w:widowControl/>
              <w:adjustRightInd w:val="0"/>
              <w:spacing w:line="240" w:lineRule="auto"/>
              <w:ind w:firstLine="0" w:firstLineChars="0"/>
              <w:contextualSpacing/>
              <w:jc w:val="center"/>
              <w:rPr>
                <w:rFonts w:cs="Times New Roman"/>
                <w:sz w:val="21"/>
                <w:szCs w:val="21"/>
              </w:rPr>
            </w:pPr>
            <w:r>
              <w:rPr>
                <w:rFonts w:cs="Times New Roman"/>
                <w:sz w:val="21"/>
                <w:szCs w:val="21"/>
              </w:rPr>
              <w:t>东岔</w:t>
            </w:r>
          </w:p>
        </w:tc>
        <w:tc>
          <w:tcPr>
            <w:tcW w:w="1661" w:type="dxa"/>
          </w:tcPr>
          <w:p w14:paraId="2895C503">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14B3D34B">
            <w:pPr>
              <w:widowControl/>
              <w:adjustRightInd w:val="0"/>
              <w:spacing w:line="240" w:lineRule="auto"/>
              <w:ind w:firstLine="0" w:firstLineChars="0"/>
              <w:contextualSpacing/>
              <w:jc w:val="center"/>
              <w:rPr>
                <w:rFonts w:cs="Times New Roman"/>
                <w:sz w:val="21"/>
                <w:szCs w:val="21"/>
              </w:rPr>
            </w:pPr>
          </w:p>
        </w:tc>
      </w:tr>
      <w:tr w14:paraId="0A87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169C644">
            <w:pPr>
              <w:widowControl/>
              <w:adjustRightInd w:val="0"/>
              <w:spacing w:line="240" w:lineRule="auto"/>
              <w:ind w:firstLine="0" w:firstLineChars="0"/>
              <w:contextualSpacing/>
              <w:jc w:val="center"/>
              <w:rPr>
                <w:rFonts w:cs="Times New Roman"/>
                <w:sz w:val="21"/>
                <w:szCs w:val="21"/>
              </w:rPr>
            </w:pPr>
            <w:r>
              <w:rPr>
                <w:rFonts w:cs="Times New Roman"/>
                <w:sz w:val="21"/>
                <w:szCs w:val="21"/>
              </w:rPr>
              <w:t>39</w:t>
            </w:r>
          </w:p>
        </w:tc>
        <w:tc>
          <w:tcPr>
            <w:tcW w:w="1660" w:type="dxa"/>
            <w:vMerge w:val="continue"/>
            <w:vAlign w:val="center"/>
          </w:tcPr>
          <w:p w14:paraId="01E80476">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3CFFC9C1">
            <w:pPr>
              <w:widowControl/>
              <w:adjustRightInd w:val="0"/>
              <w:spacing w:line="240" w:lineRule="auto"/>
              <w:ind w:firstLine="0" w:firstLineChars="0"/>
              <w:contextualSpacing/>
              <w:jc w:val="center"/>
              <w:rPr>
                <w:rFonts w:cs="Times New Roman"/>
                <w:sz w:val="21"/>
                <w:szCs w:val="21"/>
              </w:rPr>
            </w:pPr>
            <w:r>
              <w:rPr>
                <w:rFonts w:cs="Times New Roman"/>
                <w:sz w:val="21"/>
                <w:szCs w:val="21"/>
              </w:rPr>
              <w:t>魏家沟</w:t>
            </w:r>
          </w:p>
        </w:tc>
        <w:tc>
          <w:tcPr>
            <w:tcW w:w="1661" w:type="dxa"/>
          </w:tcPr>
          <w:p w14:paraId="3BEBD55F">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61656956">
            <w:pPr>
              <w:widowControl/>
              <w:adjustRightInd w:val="0"/>
              <w:spacing w:line="240" w:lineRule="auto"/>
              <w:ind w:firstLine="0" w:firstLineChars="0"/>
              <w:contextualSpacing/>
              <w:jc w:val="center"/>
              <w:rPr>
                <w:rFonts w:cs="Times New Roman"/>
                <w:sz w:val="21"/>
                <w:szCs w:val="21"/>
              </w:rPr>
            </w:pPr>
          </w:p>
        </w:tc>
      </w:tr>
      <w:tr w14:paraId="6CF0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8535AFB">
            <w:pPr>
              <w:widowControl/>
              <w:adjustRightInd w:val="0"/>
              <w:spacing w:line="240" w:lineRule="auto"/>
              <w:ind w:firstLine="0" w:firstLineChars="0"/>
              <w:contextualSpacing/>
              <w:jc w:val="center"/>
              <w:rPr>
                <w:rFonts w:cs="Times New Roman"/>
                <w:sz w:val="21"/>
                <w:szCs w:val="21"/>
              </w:rPr>
            </w:pPr>
            <w:r>
              <w:rPr>
                <w:rFonts w:cs="Times New Roman"/>
                <w:sz w:val="21"/>
                <w:szCs w:val="21"/>
              </w:rPr>
              <w:t>40</w:t>
            </w:r>
          </w:p>
        </w:tc>
        <w:tc>
          <w:tcPr>
            <w:tcW w:w="1660" w:type="dxa"/>
            <w:vMerge w:val="continue"/>
            <w:vAlign w:val="center"/>
          </w:tcPr>
          <w:p w14:paraId="30D64A71">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27F2A340">
            <w:pPr>
              <w:widowControl/>
              <w:adjustRightInd w:val="0"/>
              <w:spacing w:line="240" w:lineRule="auto"/>
              <w:ind w:firstLine="0" w:firstLineChars="0"/>
              <w:contextualSpacing/>
              <w:jc w:val="center"/>
              <w:rPr>
                <w:rFonts w:cs="Times New Roman"/>
                <w:sz w:val="21"/>
                <w:szCs w:val="21"/>
              </w:rPr>
            </w:pPr>
            <w:r>
              <w:rPr>
                <w:rFonts w:cs="Times New Roman"/>
                <w:sz w:val="21"/>
                <w:szCs w:val="21"/>
              </w:rPr>
              <w:t>西沟</w:t>
            </w:r>
          </w:p>
        </w:tc>
        <w:tc>
          <w:tcPr>
            <w:tcW w:w="1661" w:type="dxa"/>
          </w:tcPr>
          <w:p w14:paraId="226D8BB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5F94DD0A">
            <w:pPr>
              <w:widowControl/>
              <w:adjustRightInd w:val="0"/>
              <w:spacing w:line="240" w:lineRule="auto"/>
              <w:ind w:firstLine="0" w:firstLineChars="0"/>
              <w:contextualSpacing/>
              <w:jc w:val="center"/>
              <w:rPr>
                <w:rFonts w:cs="Times New Roman"/>
                <w:sz w:val="21"/>
                <w:szCs w:val="21"/>
              </w:rPr>
            </w:pPr>
          </w:p>
        </w:tc>
      </w:tr>
      <w:tr w14:paraId="48EC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A9DBF33">
            <w:pPr>
              <w:widowControl/>
              <w:adjustRightInd w:val="0"/>
              <w:spacing w:line="240" w:lineRule="auto"/>
              <w:ind w:firstLine="0" w:firstLineChars="0"/>
              <w:contextualSpacing/>
              <w:jc w:val="center"/>
              <w:rPr>
                <w:rFonts w:cs="Times New Roman"/>
                <w:sz w:val="21"/>
                <w:szCs w:val="21"/>
              </w:rPr>
            </w:pPr>
            <w:r>
              <w:rPr>
                <w:rFonts w:cs="Times New Roman"/>
                <w:sz w:val="21"/>
                <w:szCs w:val="21"/>
              </w:rPr>
              <w:t>41</w:t>
            </w:r>
          </w:p>
        </w:tc>
        <w:tc>
          <w:tcPr>
            <w:tcW w:w="1660" w:type="dxa"/>
            <w:vMerge w:val="continue"/>
            <w:vAlign w:val="center"/>
          </w:tcPr>
          <w:p w14:paraId="40BCF1B3">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2B9148A1">
            <w:pPr>
              <w:widowControl/>
              <w:adjustRightInd w:val="0"/>
              <w:spacing w:line="240" w:lineRule="auto"/>
              <w:ind w:firstLine="0" w:firstLineChars="0"/>
              <w:contextualSpacing/>
              <w:jc w:val="center"/>
              <w:rPr>
                <w:rFonts w:cs="Times New Roman"/>
                <w:sz w:val="21"/>
                <w:szCs w:val="21"/>
              </w:rPr>
            </w:pPr>
            <w:r>
              <w:rPr>
                <w:rFonts w:cs="Times New Roman"/>
                <w:sz w:val="21"/>
                <w:szCs w:val="21"/>
              </w:rPr>
              <w:t>前沟</w:t>
            </w:r>
          </w:p>
        </w:tc>
        <w:tc>
          <w:tcPr>
            <w:tcW w:w="1661" w:type="dxa"/>
          </w:tcPr>
          <w:p w14:paraId="7F9C11D7">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21655EA4">
            <w:pPr>
              <w:widowControl/>
              <w:adjustRightInd w:val="0"/>
              <w:spacing w:line="240" w:lineRule="auto"/>
              <w:ind w:firstLine="0" w:firstLineChars="0"/>
              <w:contextualSpacing/>
              <w:jc w:val="center"/>
              <w:rPr>
                <w:rFonts w:cs="Times New Roman"/>
                <w:sz w:val="21"/>
                <w:szCs w:val="21"/>
              </w:rPr>
            </w:pPr>
          </w:p>
        </w:tc>
      </w:tr>
      <w:tr w14:paraId="0DBB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4B85A60">
            <w:pPr>
              <w:widowControl/>
              <w:adjustRightInd w:val="0"/>
              <w:spacing w:line="240" w:lineRule="auto"/>
              <w:ind w:firstLine="0" w:firstLineChars="0"/>
              <w:contextualSpacing/>
              <w:jc w:val="center"/>
              <w:rPr>
                <w:rFonts w:cs="Times New Roman"/>
                <w:sz w:val="21"/>
                <w:szCs w:val="21"/>
              </w:rPr>
            </w:pPr>
            <w:r>
              <w:rPr>
                <w:rFonts w:cs="Times New Roman"/>
                <w:sz w:val="21"/>
                <w:szCs w:val="21"/>
              </w:rPr>
              <w:t>42</w:t>
            </w:r>
          </w:p>
        </w:tc>
        <w:tc>
          <w:tcPr>
            <w:tcW w:w="1660" w:type="dxa"/>
            <w:vMerge w:val="continue"/>
            <w:vAlign w:val="center"/>
          </w:tcPr>
          <w:p w14:paraId="1F6FDFE1">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21EC8DC3">
            <w:pPr>
              <w:widowControl/>
              <w:adjustRightInd w:val="0"/>
              <w:spacing w:line="240" w:lineRule="auto"/>
              <w:ind w:firstLine="0" w:firstLineChars="0"/>
              <w:contextualSpacing/>
              <w:jc w:val="center"/>
              <w:rPr>
                <w:rFonts w:cs="Times New Roman"/>
                <w:sz w:val="21"/>
                <w:szCs w:val="21"/>
              </w:rPr>
            </w:pPr>
            <w:r>
              <w:rPr>
                <w:rFonts w:cs="Times New Roman"/>
                <w:sz w:val="21"/>
                <w:szCs w:val="21"/>
              </w:rPr>
              <w:t>任家铺子</w:t>
            </w:r>
          </w:p>
        </w:tc>
        <w:tc>
          <w:tcPr>
            <w:tcW w:w="1661" w:type="dxa"/>
          </w:tcPr>
          <w:p w14:paraId="0B072F3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2DAAD507">
            <w:pPr>
              <w:widowControl/>
              <w:adjustRightInd w:val="0"/>
              <w:spacing w:line="240" w:lineRule="auto"/>
              <w:ind w:firstLine="0" w:firstLineChars="0"/>
              <w:contextualSpacing/>
              <w:jc w:val="center"/>
              <w:rPr>
                <w:rFonts w:cs="Times New Roman"/>
                <w:sz w:val="21"/>
                <w:szCs w:val="21"/>
              </w:rPr>
            </w:pPr>
          </w:p>
        </w:tc>
      </w:tr>
      <w:tr w14:paraId="3D15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39498F2">
            <w:pPr>
              <w:widowControl/>
              <w:adjustRightInd w:val="0"/>
              <w:spacing w:line="240" w:lineRule="auto"/>
              <w:ind w:firstLine="0" w:firstLineChars="0"/>
              <w:contextualSpacing/>
              <w:jc w:val="center"/>
              <w:rPr>
                <w:rFonts w:cs="Times New Roman"/>
                <w:sz w:val="21"/>
                <w:szCs w:val="21"/>
              </w:rPr>
            </w:pPr>
            <w:r>
              <w:rPr>
                <w:rFonts w:cs="Times New Roman"/>
                <w:sz w:val="21"/>
                <w:szCs w:val="21"/>
              </w:rPr>
              <w:t>43</w:t>
            </w:r>
          </w:p>
        </w:tc>
        <w:tc>
          <w:tcPr>
            <w:tcW w:w="1660" w:type="dxa"/>
            <w:vMerge w:val="continue"/>
            <w:vAlign w:val="center"/>
          </w:tcPr>
          <w:p w14:paraId="56BC6988">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15297CA5">
            <w:pPr>
              <w:widowControl/>
              <w:adjustRightInd w:val="0"/>
              <w:spacing w:line="240" w:lineRule="auto"/>
              <w:ind w:firstLine="0" w:firstLineChars="0"/>
              <w:contextualSpacing/>
              <w:jc w:val="center"/>
              <w:rPr>
                <w:rFonts w:cs="Times New Roman"/>
                <w:sz w:val="21"/>
                <w:szCs w:val="21"/>
              </w:rPr>
            </w:pPr>
            <w:r>
              <w:rPr>
                <w:rFonts w:cs="Times New Roman"/>
                <w:sz w:val="21"/>
                <w:szCs w:val="21"/>
              </w:rPr>
              <w:t>后沟</w:t>
            </w:r>
          </w:p>
        </w:tc>
        <w:tc>
          <w:tcPr>
            <w:tcW w:w="1661" w:type="dxa"/>
          </w:tcPr>
          <w:p w14:paraId="739F918B">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4B9F65E6">
            <w:pPr>
              <w:widowControl/>
              <w:adjustRightInd w:val="0"/>
              <w:spacing w:line="240" w:lineRule="auto"/>
              <w:ind w:firstLine="0" w:firstLineChars="0"/>
              <w:contextualSpacing/>
              <w:jc w:val="center"/>
              <w:rPr>
                <w:rFonts w:cs="Times New Roman"/>
                <w:sz w:val="21"/>
                <w:szCs w:val="21"/>
              </w:rPr>
            </w:pPr>
          </w:p>
        </w:tc>
      </w:tr>
      <w:tr w14:paraId="7567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C5413FA">
            <w:pPr>
              <w:widowControl/>
              <w:adjustRightInd w:val="0"/>
              <w:spacing w:line="240" w:lineRule="auto"/>
              <w:ind w:firstLine="0" w:firstLineChars="0"/>
              <w:contextualSpacing/>
              <w:jc w:val="center"/>
              <w:rPr>
                <w:rFonts w:cs="Times New Roman"/>
                <w:sz w:val="21"/>
                <w:szCs w:val="21"/>
              </w:rPr>
            </w:pPr>
            <w:r>
              <w:rPr>
                <w:rFonts w:cs="Times New Roman"/>
                <w:sz w:val="21"/>
                <w:szCs w:val="21"/>
              </w:rPr>
              <w:t>44</w:t>
            </w:r>
          </w:p>
        </w:tc>
        <w:tc>
          <w:tcPr>
            <w:tcW w:w="1660" w:type="dxa"/>
            <w:vMerge w:val="continue"/>
            <w:vAlign w:val="center"/>
          </w:tcPr>
          <w:p w14:paraId="708F60DE">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47841903">
            <w:pPr>
              <w:widowControl/>
              <w:adjustRightInd w:val="0"/>
              <w:spacing w:line="240" w:lineRule="auto"/>
              <w:ind w:firstLine="0" w:firstLineChars="0"/>
              <w:contextualSpacing/>
              <w:jc w:val="center"/>
              <w:rPr>
                <w:rFonts w:cs="Times New Roman"/>
                <w:sz w:val="21"/>
                <w:szCs w:val="21"/>
              </w:rPr>
            </w:pPr>
            <w:r>
              <w:rPr>
                <w:rFonts w:cs="Times New Roman"/>
                <w:sz w:val="21"/>
                <w:szCs w:val="21"/>
              </w:rPr>
              <w:t>老房子沟</w:t>
            </w:r>
          </w:p>
        </w:tc>
        <w:tc>
          <w:tcPr>
            <w:tcW w:w="1661" w:type="dxa"/>
          </w:tcPr>
          <w:p w14:paraId="31C06560">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3CFDF32F">
            <w:pPr>
              <w:widowControl/>
              <w:adjustRightInd w:val="0"/>
              <w:spacing w:line="240" w:lineRule="auto"/>
              <w:ind w:firstLine="0" w:firstLineChars="0"/>
              <w:contextualSpacing/>
              <w:jc w:val="center"/>
              <w:rPr>
                <w:rFonts w:cs="Times New Roman"/>
                <w:sz w:val="21"/>
                <w:szCs w:val="21"/>
              </w:rPr>
            </w:pPr>
          </w:p>
        </w:tc>
      </w:tr>
      <w:tr w14:paraId="565A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12517E94">
            <w:pPr>
              <w:widowControl/>
              <w:adjustRightInd w:val="0"/>
              <w:spacing w:line="240" w:lineRule="auto"/>
              <w:ind w:firstLine="0" w:firstLineChars="0"/>
              <w:contextualSpacing/>
              <w:jc w:val="center"/>
              <w:rPr>
                <w:rFonts w:cs="Times New Roman"/>
                <w:sz w:val="21"/>
                <w:szCs w:val="21"/>
              </w:rPr>
            </w:pPr>
            <w:r>
              <w:rPr>
                <w:rFonts w:cs="Times New Roman"/>
                <w:sz w:val="21"/>
                <w:szCs w:val="21"/>
              </w:rPr>
              <w:t>45</w:t>
            </w:r>
          </w:p>
        </w:tc>
        <w:tc>
          <w:tcPr>
            <w:tcW w:w="1660" w:type="dxa"/>
            <w:vMerge w:val="continue"/>
            <w:vAlign w:val="center"/>
          </w:tcPr>
          <w:p w14:paraId="5B71B720">
            <w:pPr>
              <w:widowControl/>
              <w:adjustRightInd w:val="0"/>
              <w:spacing w:line="240" w:lineRule="auto"/>
              <w:ind w:firstLine="0" w:firstLineChars="0"/>
              <w:contextualSpacing/>
              <w:jc w:val="center"/>
              <w:rPr>
                <w:rFonts w:cs="Times New Roman"/>
                <w:color w:val="000000"/>
                <w:sz w:val="21"/>
                <w:szCs w:val="21"/>
              </w:rPr>
            </w:pPr>
          </w:p>
        </w:tc>
        <w:tc>
          <w:tcPr>
            <w:tcW w:w="1660" w:type="dxa"/>
          </w:tcPr>
          <w:p w14:paraId="348B2BC7">
            <w:pPr>
              <w:widowControl/>
              <w:adjustRightInd w:val="0"/>
              <w:spacing w:line="240" w:lineRule="auto"/>
              <w:ind w:firstLine="0" w:firstLineChars="0"/>
              <w:contextualSpacing/>
              <w:jc w:val="center"/>
              <w:rPr>
                <w:rFonts w:cs="Times New Roman"/>
                <w:sz w:val="21"/>
                <w:szCs w:val="21"/>
              </w:rPr>
            </w:pPr>
            <w:r>
              <w:rPr>
                <w:rFonts w:cs="Times New Roman"/>
                <w:sz w:val="21"/>
                <w:szCs w:val="21"/>
              </w:rPr>
              <w:t>大南岔</w:t>
            </w:r>
          </w:p>
        </w:tc>
        <w:tc>
          <w:tcPr>
            <w:tcW w:w="1661" w:type="dxa"/>
          </w:tcPr>
          <w:p w14:paraId="5A1B535F">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tcPr>
          <w:p w14:paraId="655A5ACC">
            <w:pPr>
              <w:widowControl/>
              <w:adjustRightInd w:val="0"/>
              <w:spacing w:line="240" w:lineRule="auto"/>
              <w:ind w:firstLine="0" w:firstLineChars="0"/>
              <w:contextualSpacing/>
              <w:jc w:val="center"/>
              <w:rPr>
                <w:rFonts w:cs="Times New Roman"/>
                <w:sz w:val="21"/>
                <w:szCs w:val="21"/>
              </w:rPr>
            </w:pPr>
          </w:p>
        </w:tc>
      </w:tr>
    </w:tbl>
    <w:p w14:paraId="5B38B991">
      <w:pPr>
        <w:widowControl/>
        <w:adjustRightInd w:val="0"/>
        <w:snapToGrid w:val="0"/>
        <w:ind w:firstLine="640"/>
        <w:rPr>
          <w:rFonts w:cs="Times New Roman"/>
        </w:rPr>
      </w:pPr>
    </w:p>
    <w:p w14:paraId="2A33DE0C">
      <w:pPr>
        <w:pStyle w:val="4"/>
        <w:numPr>
          <w:ilvl w:val="0"/>
          <w:numId w:val="1"/>
        </w:numPr>
        <w:ind w:left="860" w:firstLine="361" w:firstLineChars="113"/>
      </w:pPr>
      <w:r>
        <w:t>村庄建设用地规模控制</w:t>
      </w:r>
    </w:p>
    <w:p w14:paraId="22DA3B31">
      <w:pPr>
        <w:widowControl/>
        <w:adjustRightInd w:val="0"/>
        <w:snapToGrid w:val="0"/>
        <w:ind w:firstLine="640"/>
        <w:rPr>
          <w:rFonts w:cs="Times New Roman"/>
        </w:rPr>
      </w:pPr>
      <w:r>
        <w:rPr>
          <w:rFonts w:cs="Times New Roman"/>
        </w:rPr>
        <w:t>控制村庄建设用地总量，重点保障农民建房、村庄内部基础设施和农村公益事业、农村二三产业发展用地，积极复垦、盘活存量集体建设用地，稳妥推进农村集体经营性建设用地入市。统筹安排宅基地用地规模和布局，满足合理的宅基地需求。农村村民建造住宅应严格落实“一户一宅”规定，严格控制占用耕地建造住宅。农村村民应严格按照批准面积和建房标准建设住宅。</w:t>
      </w:r>
    </w:p>
    <w:p w14:paraId="291D8F8F">
      <w:pPr>
        <w:pStyle w:val="3"/>
        <w:rPr>
          <w:rFonts w:ascii="Times New Roman" w:hAnsi="Times New Roman" w:cs="Times New Roman"/>
        </w:rPr>
      </w:pPr>
      <w:bookmarkStart w:id="60" w:name="_Toc185844296"/>
      <w:bookmarkStart w:id="61" w:name="_Toc2757"/>
      <w:bookmarkStart w:id="62" w:name="_Toc184720568"/>
      <w:r>
        <w:rPr>
          <w:rFonts w:ascii="Times New Roman" w:hAnsi="Times New Roman" w:cs="Times New Roman"/>
        </w:rPr>
        <w:t>第三节 “通则式”村庄规划管控</w:t>
      </w:r>
      <w:bookmarkEnd w:id="60"/>
      <w:bookmarkEnd w:id="61"/>
      <w:bookmarkEnd w:id="62"/>
    </w:p>
    <w:p w14:paraId="6E1922BC">
      <w:pPr>
        <w:pStyle w:val="4"/>
        <w:numPr>
          <w:ilvl w:val="0"/>
          <w:numId w:val="17"/>
        </w:numPr>
        <w:ind w:left="420" w:firstLine="361" w:firstLineChars="113"/>
      </w:pPr>
      <w:r>
        <w:t>编制“通则式”村庄规划</w:t>
      </w:r>
    </w:p>
    <w:p w14:paraId="55567291">
      <w:pPr>
        <w:widowControl/>
        <w:adjustRightInd w:val="0"/>
        <w:snapToGrid w:val="0"/>
        <w:ind w:firstLine="641" w:firstLineChars="0"/>
        <w:rPr>
          <w:rFonts w:cs="Times New Roman"/>
          <w:color w:val="000000"/>
        </w:rPr>
      </w:pPr>
      <w:r>
        <w:rPr>
          <w:rFonts w:cs="Times New Roman"/>
          <w:color w:val="000000"/>
        </w:rPr>
        <w:t>和平村为中心村，旅游产业发展基础好，未来重点建设项目较多，需单独编制村庄规划。向阳村、爬宝村、回龙村、北岔村、双合村暂无开发建设需求或建设需求较少，需编制“通则式”村庄规划。</w:t>
      </w:r>
    </w:p>
    <w:p w14:paraId="707610A5">
      <w:pPr>
        <w:widowControl/>
        <w:adjustRightInd w:val="0"/>
        <w:snapToGrid w:val="0"/>
        <w:ind w:firstLine="641" w:firstLineChars="0"/>
        <w:rPr>
          <w:rFonts w:cs="Times New Roman"/>
          <w:color w:val="000000"/>
        </w:rPr>
      </w:pPr>
      <w:r>
        <w:rPr>
          <w:rFonts w:cs="Times New Roman"/>
          <w:color w:val="000000"/>
        </w:rPr>
        <w:t>“通则式”村庄规划通过“两表、三图、一则”的形式明确村庄国土空间用途管制规则和建设管控要求，作为实施国土空间用途管制、核发乡村建设项目规划许可的依据。</w:t>
      </w:r>
    </w:p>
    <w:p w14:paraId="7C698053">
      <w:pPr>
        <w:widowControl/>
        <w:adjustRightInd w:val="0"/>
        <w:snapToGrid w:val="0"/>
        <w:ind w:firstLine="641" w:firstLineChars="0"/>
        <w:rPr>
          <w:rFonts w:cs="Times New Roman"/>
          <w:color w:val="000000"/>
        </w:rPr>
      </w:pPr>
      <w:r>
        <w:rPr>
          <w:rFonts w:cs="Times New Roman"/>
          <w:color w:val="000000"/>
        </w:rPr>
        <w:t>“两表”为规划指标表和国土空间结构调整表。</w:t>
      </w:r>
    </w:p>
    <w:p w14:paraId="766CF00D">
      <w:pPr>
        <w:widowControl/>
        <w:adjustRightInd w:val="0"/>
        <w:snapToGrid w:val="0"/>
        <w:ind w:firstLine="641" w:firstLineChars="0"/>
        <w:rPr>
          <w:rFonts w:cs="Times New Roman"/>
          <w:color w:val="000000"/>
        </w:rPr>
      </w:pPr>
      <w:r>
        <w:rPr>
          <w:rFonts w:cs="Times New Roman"/>
          <w:color w:val="000000"/>
        </w:rPr>
        <w:t>“三图”为村域国土空间现状图、村域国土空间控制线规划图和村域国土空间规划图。村域国土空间现状和规划图原则上应按照一级地类确定用地布局，村域国土空间控制线规划图应表现耕地和永久基本农田、生态保护红线、城镇开发边界及村庄建设边界等重要控制线。</w:t>
      </w:r>
    </w:p>
    <w:p w14:paraId="4C422552">
      <w:pPr>
        <w:widowControl/>
        <w:adjustRightInd w:val="0"/>
        <w:snapToGrid w:val="0"/>
        <w:ind w:firstLine="641" w:firstLineChars="0"/>
        <w:rPr>
          <w:rFonts w:cs="Times New Roman"/>
          <w:color w:val="000000"/>
        </w:rPr>
      </w:pPr>
      <w:r>
        <w:rPr>
          <w:rFonts w:cs="Times New Roman"/>
          <w:color w:val="000000"/>
        </w:rPr>
        <w:t>“一则”为村庄规划管制规则，包括耕地和永久基本农田保护、生态保护、建设管控、防灾减灾等管控要求。</w:t>
      </w:r>
    </w:p>
    <w:p w14:paraId="209EABB5">
      <w:pPr>
        <w:pStyle w:val="4"/>
        <w:numPr>
          <w:ilvl w:val="0"/>
          <w:numId w:val="1"/>
        </w:numPr>
        <w:ind w:left="860" w:firstLine="361" w:firstLineChars="113"/>
      </w:pPr>
      <w:r>
        <w:t>管制规则样式</w:t>
      </w:r>
    </w:p>
    <w:p w14:paraId="022E0E55">
      <w:pPr>
        <w:widowControl/>
        <w:adjustRightInd w:val="0"/>
        <w:snapToGrid w:val="0"/>
        <w:ind w:firstLine="643" w:firstLineChars="0"/>
        <w:outlineLvl w:val="3"/>
        <w:rPr>
          <w:rFonts w:cs="Times New Roman"/>
          <w:b/>
          <w:color w:val="000000"/>
        </w:rPr>
      </w:pPr>
      <w:r>
        <w:rPr>
          <w:rFonts w:cs="Times New Roman"/>
          <w:b/>
          <w:color w:val="000000"/>
        </w:rPr>
        <w:t xml:space="preserve">——耕地和永久基本农田保护 </w:t>
      </w:r>
    </w:p>
    <w:p w14:paraId="3BE8829C">
      <w:pPr>
        <w:widowControl/>
        <w:adjustRightInd w:val="0"/>
        <w:snapToGrid w:val="0"/>
        <w:ind w:firstLine="641" w:firstLineChars="0"/>
        <w:rPr>
          <w:rFonts w:cs="Times New Roman"/>
          <w:color w:val="000000"/>
        </w:rPr>
      </w:pPr>
      <w:r>
        <w:rPr>
          <w:rFonts w:cs="Times New Roman"/>
          <w:color w:val="000000"/>
        </w:rPr>
        <w:t xml:space="preserve">明确村庄耕地的面积、管控要求。 </w:t>
      </w:r>
    </w:p>
    <w:p w14:paraId="61E76933">
      <w:pPr>
        <w:widowControl/>
        <w:adjustRightInd w:val="0"/>
        <w:snapToGrid w:val="0"/>
        <w:ind w:firstLine="641" w:firstLineChars="0"/>
        <w:rPr>
          <w:rFonts w:cs="Times New Roman"/>
          <w:color w:val="000000"/>
        </w:rPr>
      </w:pPr>
      <w:r>
        <w:rPr>
          <w:rFonts w:cs="Times New Roman"/>
          <w:color w:val="000000"/>
        </w:rPr>
        <w:t xml:space="preserve">明确村庄永久基本农田的面积、管控要求。 </w:t>
      </w:r>
    </w:p>
    <w:p w14:paraId="05BBA1CC">
      <w:pPr>
        <w:widowControl/>
        <w:adjustRightInd w:val="0"/>
        <w:snapToGrid w:val="0"/>
        <w:ind w:firstLine="641" w:firstLineChars="0"/>
        <w:rPr>
          <w:rFonts w:cs="Times New Roman"/>
          <w:color w:val="000000"/>
        </w:rPr>
      </w:pPr>
      <w:r>
        <w:rPr>
          <w:rFonts w:cs="Times New Roman"/>
          <w:color w:val="000000"/>
        </w:rPr>
        <w:t xml:space="preserve">明确村庄可用于农业设施建设用地的面积、用途管制规定。 </w:t>
      </w:r>
    </w:p>
    <w:p w14:paraId="0A3AC18A">
      <w:pPr>
        <w:widowControl/>
        <w:adjustRightInd w:val="0"/>
        <w:snapToGrid w:val="0"/>
        <w:ind w:firstLine="643" w:firstLineChars="0"/>
        <w:outlineLvl w:val="3"/>
        <w:rPr>
          <w:rFonts w:cs="Times New Roman"/>
          <w:b/>
          <w:color w:val="000000"/>
        </w:rPr>
      </w:pPr>
      <w:r>
        <w:rPr>
          <w:rFonts w:cs="Times New Roman"/>
          <w:b/>
          <w:color w:val="000000"/>
        </w:rPr>
        <w:t xml:space="preserve">——生态保护 </w:t>
      </w:r>
    </w:p>
    <w:p w14:paraId="0B1F87FA">
      <w:pPr>
        <w:widowControl/>
        <w:adjustRightInd w:val="0"/>
        <w:snapToGrid w:val="0"/>
        <w:ind w:firstLine="641" w:firstLineChars="0"/>
        <w:rPr>
          <w:rFonts w:cs="Times New Roman"/>
          <w:color w:val="000000"/>
        </w:rPr>
      </w:pPr>
      <w:r>
        <w:rPr>
          <w:rFonts w:cs="Times New Roman"/>
          <w:color w:val="000000"/>
        </w:rPr>
        <w:t xml:space="preserve">明确村庄生态保护红线具体名称、面积、管控要求。 </w:t>
      </w:r>
    </w:p>
    <w:p w14:paraId="53B0482D">
      <w:pPr>
        <w:widowControl/>
        <w:adjustRightInd w:val="0"/>
        <w:snapToGrid w:val="0"/>
        <w:ind w:firstLine="641" w:firstLineChars="0"/>
        <w:rPr>
          <w:rFonts w:cs="Times New Roman"/>
          <w:color w:val="000000"/>
        </w:rPr>
      </w:pPr>
      <w:r>
        <w:rPr>
          <w:rFonts w:cs="Times New Roman"/>
          <w:color w:val="000000"/>
        </w:rPr>
        <w:t>提出未划入生态保护红线的生态空间管控要求，严格控制开发性、生产性建设活动。交通、水利等重大基础设施确需占用的，按程序办理相关用地手续。</w:t>
      </w:r>
    </w:p>
    <w:p w14:paraId="2CCDD5B1">
      <w:pPr>
        <w:widowControl/>
        <w:adjustRightInd w:val="0"/>
        <w:snapToGrid w:val="0"/>
        <w:ind w:firstLine="641" w:firstLineChars="0"/>
        <w:rPr>
          <w:rFonts w:cs="Times New Roman"/>
          <w:color w:val="000000"/>
        </w:rPr>
      </w:pPr>
      <w:r>
        <w:rPr>
          <w:rFonts w:cs="Times New Roman"/>
          <w:color w:val="000000"/>
        </w:rPr>
        <w:t>落实上位规划明确的生态修复项目等内容，提出相应措施。</w:t>
      </w:r>
    </w:p>
    <w:p w14:paraId="6F8BBDFE">
      <w:pPr>
        <w:widowControl/>
        <w:adjustRightInd w:val="0"/>
        <w:snapToGrid w:val="0"/>
        <w:ind w:firstLine="643" w:firstLineChars="0"/>
        <w:outlineLvl w:val="3"/>
        <w:rPr>
          <w:rFonts w:cs="Times New Roman"/>
          <w:b/>
          <w:color w:val="000000"/>
        </w:rPr>
      </w:pPr>
      <w:r>
        <w:rPr>
          <w:rFonts w:cs="Times New Roman"/>
          <w:b/>
          <w:color w:val="000000"/>
        </w:rPr>
        <w:t xml:space="preserve">——建设管控 </w:t>
      </w:r>
    </w:p>
    <w:p w14:paraId="5F04992E">
      <w:pPr>
        <w:widowControl/>
        <w:adjustRightInd w:val="0"/>
        <w:snapToGrid w:val="0"/>
        <w:ind w:firstLine="641" w:firstLineChars="0"/>
        <w:rPr>
          <w:rFonts w:cs="Times New Roman"/>
          <w:color w:val="000000"/>
        </w:rPr>
      </w:pPr>
      <w:r>
        <w:rPr>
          <w:rFonts w:cs="Times New Roman"/>
          <w:color w:val="000000"/>
        </w:rPr>
        <w:t>总体要求：明确村庄建设边界，各类乡村建设行为原则上应在村庄建设边界内开展，优先使用存量建设用地。村庄建设边界外原则上不安排乡村建设用地。涉及农转用的应先办理农转用手续。</w:t>
      </w:r>
    </w:p>
    <w:p w14:paraId="4E7566BB">
      <w:pPr>
        <w:widowControl/>
        <w:adjustRightInd w:val="0"/>
        <w:snapToGrid w:val="0"/>
        <w:ind w:firstLine="641" w:firstLineChars="0"/>
        <w:rPr>
          <w:rFonts w:cs="Times New Roman"/>
          <w:color w:val="000000"/>
        </w:rPr>
      </w:pPr>
      <w:r>
        <w:rPr>
          <w:rFonts w:hint="eastAsia" w:cs="Times New Roman"/>
          <w:color w:val="000000"/>
        </w:rPr>
        <w:t>各项目涉及在现状保留区范围内的，允许在原址用地范围内进行改扩建等建设行为，优先使用存量建设用地。涉及新增规划项目用地的，应在村庄建设边界内的规划新增区进行。</w:t>
      </w:r>
    </w:p>
    <w:p w14:paraId="08F2F8CA">
      <w:pPr>
        <w:widowControl/>
        <w:adjustRightInd w:val="0"/>
        <w:snapToGrid w:val="0"/>
        <w:ind w:firstLine="641" w:firstLineChars="0"/>
        <w:rPr>
          <w:rFonts w:cs="Times New Roman"/>
          <w:color w:val="000000"/>
        </w:rPr>
      </w:pPr>
      <w:r>
        <w:rPr>
          <w:rFonts w:cs="Times New Roman"/>
          <w:color w:val="000000"/>
        </w:rPr>
        <w:t>用地选址：需提出体现节约用地原则，鼓励村民结合旧村改造、土地整理，充分利用原有宅基地，村内空闲地和未利用地建设，少占或不占耕地的相关要求；提出不得在地质灾害易发区、洪涝灾害危险地段和文物保护区等地点或地段进行选址；需提出在高铁、国道、省道等交通干线两侧新建农村建筑的退线要求；需在自然保护区、风景名胜区、文物保护单位、历史文化名村、传统村落的建设项目，应符合相关保护规划等要求。提出村民宅基地自建房、各类公共服务设施建设、各类市政公用设施、产业用地选址需满足的具体条件。</w:t>
      </w:r>
    </w:p>
    <w:p w14:paraId="6C3F2397">
      <w:pPr>
        <w:widowControl/>
        <w:adjustRightInd w:val="0"/>
        <w:snapToGrid w:val="0"/>
        <w:ind w:firstLine="641" w:firstLineChars="0"/>
        <w:rPr>
          <w:rFonts w:cs="Times New Roman"/>
          <w:color w:val="000000"/>
        </w:rPr>
      </w:pPr>
      <w:r>
        <w:rPr>
          <w:rFonts w:cs="Times New Roman"/>
          <w:color w:val="000000"/>
        </w:rPr>
        <w:t>建设标准：村民宅基地自建房，需根据地方要求，明确宅基地建设标准，包括提出翻建或改扩建的户均标准，新增农村住房建筑面积上限等；公共设施建设，需依据公共服务设施等级，提出各类公共服务设施建设规模等；村镇企业建筑建设，需提出产业项目准入类型、建设标准等。</w:t>
      </w:r>
    </w:p>
    <w:p w14:paraId="4D453943">
      <w:pPr>
        <w:widowControl/>
        <w:adjustRightInd w:val="0"/>
        <w:snapToGrid w:val="0"/>
        <w:ind w:firstLine="641" w:firstLineChars="0"/>
        <w:rPr>
          <w:rFonts w:cs="Times New Roman"/>
          <w:color w:val="000000"/>
        </w:rPr>
      </w:pPr>
      <w:r>
        <w:rPr>
          <w:rFonts w:cs="Times New Roman"/>
          <w:color w:val="000000"/>
        </w:rPr>
        <w:t>建筑控制：明确村民宅基地自建房、村镇企业建筑、公共服务设施等各类建筑间距控制、高度控制、风貌控制要求；提出各类市政公用设施邻避、建设技术标准等要求。</w:t>
      </w:r>
    </w:p>
    <w:p w14:paraId="73B29E45">
      <w:pPr>
        <w:widowControl/>
        <w:adjustRightInd w:val="0"/>
        <w:snapToGrid w:val="0"/>
        <w:ind w:firstLine="641" w:firstLineChars="0"/>
        <w:rPr>
          <w:rFonts w:cs="Times New Roman"/>
          <w:color w:val="000000"/>
        </w:rPr>
      </w:pPr>
      <w:r>
        <w:rPr>
          <w:rFonts w:cs="Times New Roman"/>
          <w:color w:val="000000"/>
        </w:rPr>
        <w:t>历史文化保护：明确文物保护单位、历史建筑、古井、古桥、古树等保护内容和管控要求，历史文化保护线范围内禁止开展影响历史风貌的各类建设行为。</w:t>
      </w:r>
    </w:p>
    <w:p w14:paraId="266EC297">
      <w:pPr>
        <w:widowControl/>
        <w:adjustRightInd w:val="0"/>
        <w:snapToGrid w:val="0"/>
        <w:ind w:firstLine="641" w:firstLineChars="0"/>
        <w:rPr>
          <w:rFonts w:cs="Times New Roman"/>
          <w:color w:val="000000"/>
        </w:rPr>
      </w:pPr>
      <w:r>
        <w:rPr>
          <w:rFonts w:cs="Times New Roman"/>
          <w:color w:val="000000"/>
        </w:rPr>
        <w:t>防灾与减灾：明确地质灾害高易发区、蓄滞洪区等危险区域范围，提出防灾减灾要求和措施。对于确需在危险区域范围内开展建设行为的，应提供相关部门的支持性意见。</w:t>
      </w:r>
    </w:p>
    <w:p w14:paraId="022BE8B6">
      <w:pPr>
        <w:widowControl/>
        <w:adjustRightInd w:val="0"/>
        <w:snapToGrid w:val="0"/>
        <w:ind w:firstLine="641" w:firstLineChars="0"/>
        <w:rPr>
          <w:rFonts w:cs="Times New Roman"/>
          <w:color w:val="000000"/>
        </w:rPr>
      </w:pPr>
      <w:r>
        <w:rPr>
          <w:rFonts w:cs="Times New Roman"/>
          <w:color w:val="000000"/>
        </w:rPr>
        <w:t>其他管制规则：根据各村实际情况制定。</w:t>
      </w:r>
    </w:p>
    <w:p w14:paraId="698B3707">
      <w:pPr>
        <w:pStyle w:val="3"/>
        <w:rPr>
          <w:rFonts w:ascii="Times New Roman" w:hAnsi="Times New Roman" w:cs="Times New Roman"/>
        </w:rPr>
      </w:pPr>
      <w:bookmarkStart w:id="63" w:name="_Toc24338"/>
      <w:bookmarkStart w:id="64" w:name="_Toc185844297"/>
      <w:r>
        <w:rPr>
          <w:rFonts w:ascii="Times New Roman" w:hAnsi="Times New Roman" w:cs="Times New Roman"/>
        </w:rPr>
        <w:t>第四节 产业布局</w:t>
      </w:r>
      <w:bookmarkEnd w:id="63"/>
      <w:bookmarkEnd w:id="64"/>
    </w:p>
    <w:p w14:paraId="1CCAE821">
      <w:pPr>
        <w:pStyle w:val="4"/>
        <w:numPr>
          <w:ilvl w:val="0"/>
          <w:numId w:val="18"/>
        </w:numPr>
        <w:ind w:left="420" w:firstLine="361" w:firstLineChars="113"/>
      </w:pPr>
      <w:r>
        <w:t>产业发展策略</w:t>
      </w:r>
    </w:p>
    <w:p w14:paraId="2F3809A3">
      <w:pPr>
        <w:ind w:firstLine="640"/>
        <w:rPr>
          <w:rFonts w:cs="Times New Roman"/>
        </w:rPr>
      </w:pPr>
      <w:r>
        <w:rPr>
          <w:rFonts w:cs="Times New Roman"/>
        </w:rPr>
        <w:t>把握乡村振兴的契机，以</w:t>
      </w:r>
      <w:bookmarkStart w:id="65" w:name="_Hlk187237096"/>
      <w:r>
        <w:rPr>
          <w:rFonts w:cs="Times New Roman"/>
        </w:rPr>
        <w:t>生态旅游和特色农业为根基，以三产融合为目标，充分利用农业资源，发展壮大特色农业产业；在保护好山水资源的基础上，大力发展乡村旅游业，挖掘生态资源、农耕文化、红色文化资源，发展全域旅游。</w:t>
      </w:r>
      <w:bookmarkEnd w:id="65"/>
    </w:p>
    <w:p w14:paraId="13D68F47">
      <w:pPr>
        <w:pStyle w:val="4"/>
        <w:numPr>
          <w:ilvl w:val="0"/>
          <w:numId w:val="1"/>
        </w:numPr>
        <w:ind w:left="860" w:firstLine="361" w:firstLineChars="113"/>
      </w:pPr>
      <w:r>
        <w:t>持续壮大特色农业</w:t>
      </w:r>
    </w:p>
    <w:p w14:paraId="29436133">
      <w:pPr>
        <w:ind w:firstLine="640"/>
        <w:rPr>
          <w:rFonts w:cs="Times New Roman"/>
        </w:rPr>
      </w:pPr>
      <w:r>
        <w:rPr>
          <w:rFonts w:cs="Times New Roman"/>
        </w:rPr>
        <w:t>依托山林资源优势，大力发展板栗、红松、平欧大榛子、林下参、五味子、木耳、香菇、滑子蘑等现代特色农业，着力在选准特色产业、延伸产业链条、做响农业品牌、加强技术创新、激发产业活力上下功夫，将区域内独特的农业资源转化为名优产品和特色商品。引导特色农业从生产环节向前后链条延伸，顺应“互联网+”趋势，深入挖掘农业的经济价值、生态价值、文化价值、社会价值，加快发展休闲旅游、文化体检、养生养老、农村电商等新产业新业态，促进农村一二三产业融合发展，以特色农业发展促进乡村产业振兴。</w:t>
      </w:r>
    </w:p>
    <w:p w14:paraId="18F4A32B">
      <w:pPr>
        <w:pStyle w:val="4"/>
        <w:numPr>
          <w:ilvl w:val="0"/>
          <w:numId w:val="1"/>
        </w:numPr>
        <w:ind w:left="860" w:firstLine="361" w:firstLineChars="113"/>
      </w:pPr>
      <w:r>
        <w:t>提升现代服务业</w:t>
      </w:r>
    </w:p>
    <w:p w14:paraId="7C246097">
      <w:pPr>
        <w:widowControl/>
        <w:adjustRightInd w:val="0"/>
        <w:snapToGrid w:val="0"/>
        <w:ind w:firstLine="640"/>
        <w:rPr>
          <w:rFonts w:cs="Times New Roman"/>
          <w:color w:val="000000"/>
        </w:rPr>
      </w:pPr>
      <w:r>
        <w:rPr>
          <w:rFonts w:cs="Times New Roman"/>
          <w:color w:val="000000"/>
        </w:rPr>
        <w:t>促进向阳乡传统服务业向现代服务业转型升级。重点发展特色旅游业，加快发展商贸流通业、信息服务业，充分发挥自然资源优势和区位优势，形成以专业市场为龙头的市场体系，为商业贸易提供发展平台，逐步形成“高增值、强辐射、广就业”的现代第三产业新体系，进而增强城镇的综合服务功能。</w:t>
      </w:r>
    </w:p>
    <w:p w14:paraId="1A9A74FF">
      <w:pPr>
        <w:pStyle w:val="4"/>
        <w:numPr>
          <w:ilvl w:val="0"/>
          <w:numId w:val="1"/>
        </w:numPr>
        <w:ind w:left="860" w:firstLine="361" w:firstLineChars="113"/>
      </w:pPr>
      <w:r>
        <w:t>大力发展乡村旅游业</w:t>
      </w:r>
    </w:p>
    <w:p w14:paraId="32872318">
      <w:pPr>
        <w:ind w:firstLine="640"/>
        <w:rPr>
          <w:rFonts w:cs="Times New Roman"/>
        </w:rPr>
      </w:pPr>
      <w:r>
        <w:rPr>
          <w:rFonts w:cs="Times New Roman"/>
        </w:rPr>
        <w:t>以“诗境山水•画意回龙”为主题，坚持“尊重自然、绿色发展、和谐共生”的发展理念，充分发挥“一谷一峡一园一带两岛”的旅游资源优势，大力发展生态旅游业。围绕向阳核心资源形成精品景区，围绕精品景区做足产业配套，不断延伸旅游产业链和壮大旅游产业集群，带动向阳乡旅游相关产业发展，不断提高旅游业在国民生产总值中的比重，逐步将旅游业打造成向阳乡国民经济的支柱产业。</w:t>
      </w:r>
    </w:p>
    <w:p w14:paraId="055A1C00">
      <w:pPr>
        <w:ind w:firstLine="640"/>
        <w:rPr>
          <w:rFonts w:cs="Times New Roman"/>
        </w:rPr>
      </w:pPr>
      <w:r>
        <w:rPr>
          <w:rFonts w:cs="Times New Roman"/>
        </w:rPr>
        <w:t>——围绕回龙湖沿岸，大力发展休闲农业</w:t>
      </w:r>
    </w:p>
    <w:p w14:paraId="6CF0DC07">
      <w:pPr>
        <w:ind w:firstLine="640"/>
        <w:rPr>
          <w:rFonts w:cs="Times New Roman"/>
        </w:rPr>
      </w:pPr>
      <w:r>
        <w:rPr>
          <w:rFonts w:cs="Times New Roman"/>
        </w:rPr>
        <w:t>重点围绕回龙湖沿岸，建设东北亚特色农业观光带。大力发展有机水果、有机棚菜、食用菌，发展适应性水果种植。建设旅游专业村，发展农家乐旅游，开发农业多种功能，延长产业链、提升价值链、完善利益链。</w:t>
      </w:r>
    </w:p>
    <w:p w14:paraId="6F35E2F0">
      <w:pPr>
        <w:ind w:firstLine="640"/>
        <w:rPr>
          <w:rFonts w:cs="Times New Roman"/>
        </w:rPr>
      </w:pPr>
      <w:r>
        <w:rPr>
          <w:rFonts w:cs="Times New Roman"/>
        </w:rPr>
        <w:t>——发挥生态资源优势，开发休闲度假旅游产品</w:t>
      </w:r>
    </w:p>
    <w:p w14:paraId="01500EB2">
      <w:pPr>
        <w:ind w:firstLine="640"/>
        <w:rPr>
          <w:rFonts w:cs="Times New Roman"/>
        </w:rPr>
      </w:pPr>
      <w:r>
        <w:rPr>
          <w:rFonts w:cs="Times New Roman"/>
        </w:rPr>
        <w:t>依托山体、森林、河湖水系等自然资源，针对不同的旅游群体，开发生态观光、休闲度假、康体养生、摄影写生、商务休闲、休闲娱乐等旅游产品。充分发挥域内山清水秀、空气清新、气候宜人的生态环境优势，让游客极大体验大自然的无限魅力，带动全域旅游业发展。</w:t>
      </w:r>
    </w:p>
    <w:p w14:paraId="77507FBA">
      <w:pPr>
        <w:ind w:firstLine="640"/>
        <w:rPr>
          <w:rFonts w:cs="Times New Roman"/>
        </w:rPr>
      </w:pPr>
      <w:r>
        <w:rPr>
          <w:rFonts w:cs="Times New Roman"/>
        </w:rPr>
        <w:t>——依托重点项目建设，加快旅游产业发展</w:t>
      </w:r>
    </w:p>
    <w:p w14:paraId="66410432">
      <w:pPr>
        <w:ind w:firstLine="640"/>
        <w:rPr>
          <w:rFonts w:cs="Times New Roman"/>
        </w:rPr>
      </w:pPr>
      <w:r>
        <w:rPr>
          <w:rFonts w:cs="Times New Roman"/>
        </w:rPr>
        <w:t>持续推动“一谷一峡一园两岛两镇”以及房车宿营地、枫韵溪境山水民宿等重点项目开发建设，以此推动全乡旅游业发展步入新时代。</w:t>
      </w:r>
    </w:p>
    <w:p w14:paraId="674AE0AE">
      <w:pPr>
        <w:pStyle w:val="4"/>
        <w:numPr>
          <w:ilvl w:val="0"/>
          <w:numId w:val="1"/>
        </w:numPr>
        <w:ind w:left="860" w:firstLine="361" w:firstLineChars="113"/>
      </w:pPr>
      <w:r>
        <w:t>产业空间布局</w:t>
      </w:r>
    </w:p>
    <w:p w14:paraId="3E9A7057">
      <w:pPr>
        <w:widowControl/>
        <w:adjustRightInd w:val="0"/>
        <w:snapToGrid w:val="0"/>
        <w:ind w:firstLine="640"/>
        <w:rPr>
          <w:rFonts w:cs="Times New Roman"/>
        </w:rPr>
      </w:pPr>
      <w:r>
        <w:rPr>
          <w:rFonts w:cs="Times New Roman"/>
        </w:rPr>
        <w:t>根据产业基础、资源条件、交通区位以及未来的发展趋势，规划向阳乡逐步形成“一心、两带、三区”的产业空间布局，推动全域经济社会发展。</w:t>
      </w:r>
    </w:p>
    <w:p w14:paraId="45D4A07B">
      <w:pPr>
        <w:widowControl/>
        <w:adjustRightInd w:val="0"/>
        <w:snapToGrid w:val="0"/>
        <w:ind w:firstLine="640"/>
        <w:rPr>
          <w:rFonts w:cs="Times New Roman"/>
        </w:rPr>
      </w:pPr>
      <w:bookmarkStart w:id="66" w:name="_Hlk131008380"/>
      <w:r>
        <w:rPr>
          <w:rFonts w:cs="Times New Roman"/>
        </w:rPr>
        <w:t>“一心”：即以和平村为核心的旅游服务中心。规划依托自然风光、森林、溪流、谷地、树木、花草、岛屿等自然资源，将和平村建成以资源独特性为基调的集休闲、体验、展示、购物、养生、度假等多功能于一体的生态旅游度假区。优化社会资源，完善基础设施，做好旅游配套服务，作为乡域旅游集散的核心枢纽，为游客提供一站式的综合旅游服务。</w:t>
      </w:r>
    </w:p>
    <w:p w14:paraId="091D7796">
      <w:pPr>
        <w:widowControl/>
        <w:adjustRightInd w:val="0"/>
        <w:snapToGrid w:val="0"/>
        <w:ind w:firstLine="640"/>
        <w:rPr>
          <w:rFonts w:cs="Times New Roman"/>
        </w:rPr>
      </w:pPr>
      <w:r>
        <w:rPr>
          <w:rFonts w:cs="Times New Roman"/>
        </w:rPr>
        <w:t>“两带”：重点建设枫叶景观带和回龙湖东北亚特色农业观光带。</w:t>
      </w:r>
    </w:p>
    <w:p w14:paraId="4A81745B">
      <w:pPr>
        <w:widowControl/>
        <w:adjustRightInd w:val="0"/>
        <w:snapToGrid w:val="0"/>
        <w:ind w:firstLine="640"/>
        <w:rPr>
          <w:rFonts w:cs="Times New Roman"/>
        </w:rPr>
      </w:pPr>
      <w:r>
        <w:rPr>
          <w:rFonts w:cs="Times New Roman"/>
        </w:rPr>
        <w:t>——枫叶景观带。以枫叶观光为主题，体现自然、生态、艺术气息，串联一系列创意性游憩节点，应用多种游览方式打造集枫叶观光、休闲度假、森林养生等于一体的观光休闲走廊。</w:t>
      </w:r>
    </w:p>
    <w:p w14:paraId="6359B01B">
      <w:pPr>
        <w:widowControl/>
        <w:adjustRightInd w:val="0"/>
        <w:snapToGrid w:val="0"/>
        <w:ind w:firstLine="640"/>
        <w:rPr>
          <w:rFonts w:cs="Times New Roman"/>
        </w:rPr>
      </w:pPr>
      <w:r>
        <w:rPr>
          <w:rFonts w:cs="Times New Roman"/>
        </w:rPr>
        <w:t>——回龙湖东北亚特色农业观光带。依托回龙湖沿线丰富的农业资源，充分利用回龙湖稀缺的水资源，打造以滨湖农业为主体的休闲度假产品，建设集农业生产、观光、农事活动体验、高科农业展示、新品种研发、农产品交易等为一体的特色农业观光带。</w:t>
      </w:r>
    </w:p>
    <w:p w14:paraId="02C5EEFA">
      <w:pPr>
        <w:widowControl/>
        <w:adjustRightInd w:val="0"/>
        <w:snapToGrid w:val="0"/>
        <w:ind w:firstLine="640"/>
        <w:rPr>
          <w:rFonts w:cs="Times New Roman"/>
        </w:rPr>
      </w:pPr>
      <w:r>
        <w:rPr>
          <w:rFonts w:cs="Times New Roman"/>
        </w:rPr>
        <w:t>“三区”：枫林谷森林养生度假区、生态农业体验区、村休闲旅游度假区。</w:t>
      </w:r>
    </w:p>
    <w:p w14:paraId="7E6DA743">
      <w:pPr>
        <w:widowControl/>
        <w:adjustRightInd w:val="0"/>
        <w:snapToGrid w:val="0"/>
        <w:ind w:firstLine="640"/>
        <w:rPr>
          <w:rFonts w:cs="Times New Roman"/>
        </w:rPr>
      </w:pPr>
      <w:r>
        <w:rPr>
          <w:rFonts w:cs="Times New Roman"/>
        </w:rPr>
        <w:t>——枫林谷森林养生度假区。依托枫林谷的原生态环境、优美的枫林景观，以绿色健康的森林环境为本底，高端的养生度假设施为支撑，独到的养生方式为特色，建设集森林度假、康体养生、运动、艺术休闲为一体的森林度假区。主动对接“中华枫叶之路“旅游产品，开发森林峡谷观光；依托森林资源和气候资源、林下产业资源，针对中高端客户开发森林休闲度假、养生康体旅游产品。</w:t>
      </w:r>
    </w:p>
    <w:p w14:paraId="4FB6A941">
      <w:pPr>
        <w:widowControl/>
        <w:adjustRightInd w:val="0"/>
        <w:snapToGrid w:val="0"/>
        <w:ind w:firstLine="640"/>
        <w:rPr>
          <w:rFonts w:cs="Times New Roman"/>
        </w:rPr>
      </w:pPr>
      <w:r>
        <w:rPr>
          <w:rFonts w:cs="Times New Roman"/>
        </w:rPr>
        <w:t>——生态农业体验区。以回龙村、爬宝山村食用菌产业以及东部乡村的干坚果、板栗、大榛子、林下参、五味子等产业为基础，进一步扩大食用菌和干坚果、板栗、中</w:t>
      </w:r>
      <w:del w:id="8" w:author="杨起" w:date="2026-03-24T15:53:37Z">
        <w:r>
          <w:rPr>
            <w:rFonts w:cs="Times New Roman"/>
          </w:rPr>
          <w:delText>小</w:delText>
        </w:r>
      </w:del>
      <w:r>
        <w:rPr>
          <w:rFonts w:cs="Times New Roman"/>
        </w:rPr>
        <w:t>药材种植面积，争取全乡“一村一品”品牌化。因地制宜广泛推广以高粱、谷子、糜子为主的无公害杂粮。以现代生态绿色农业集中示范、展示、休闲观光、农事体验、采摘为主要内容，结合当地的地域特征、风土人情、农耕文化，发展科技示范、高效生产、休闲度假、观光游览、农事体验等多重功能为一体具有浓郁辽东特色的生态农业体验区。</w:t>
      </w:r>
    </w:p>
    <w:p w14:paraId="2D881362">
      <w:pPr>
        <w:widowControl/>
        <w:adjustRightInd w:val="0"/>
        <w:snapToGrid w:val="0"/>
        <w:ind w:firstLine="640"/>
        <w:rPr>
          <w:rFonts w:cs="Times New Roman"/>
        </w:rPr>
      </w:pPr>
      <w:r>
        <w:rPr>
          <w:rFonts w:cs="Times New Roman"/>
        </w:rPr>
        <w:t>——</w:t>
      </w:r>
      <w:ins w:id="9" w:author="杨起" w:date="2026-03-24T15:55:29Z">
        <w:r>
          <w:rPr>
            <w:rFonts w:hint="eastAsia" w:cs="Times New Roman"/>
            <w:lang w:val="en-US" w:eastAsia="zh-CN"/>
          </w:rPr>
          <w:t>乡</w:t>
        </w:r>
      </w:ins>
      <w:r>
        <w:rPr>
          <w:rFonts w:cs="Times New Roman"/>
        </w:rPr>
        <w:t>村休闲旅游度假区。依托虎谷峡、龙祥岛、如意岛、温泉小镇和枫林小镇等重点项目建设，利用和改造乡村设施提供休闲度假接待，实现旅游产业与休闲农业的结合。提供生态观光、水果采摘、科普探险、农事体验、农产品加工体验、节庆文化、休闲度假等旅游产品。通过“一个乡村休闲基地+多个主题庄园”的发展模式，打造集农业观光、农事体验、休闲采摘、异国风情体验、特色度假、特色餐饮、特色购物等功能于一体的东北地区唯一的东北亚风情休闲农业与乡村旅游区。</w:t>
      </w:r>
    </w:p>
    <w:p w14:paraId="585C583D">
      <w:pPr>
        <w:pStyle w:val="4"/>
        <w:numPr>
          <w:ilvl w:val="0"/>
          <w:numId w:val="1"/>
        </w:numPr>
        <w:ind w:left="860" w:firstLine="361" w:firstLineChars="113"/>
      </w:pPr>
      <w:r>
        <w:t>产业用地保障</w:t>
      </w:r>
    </w:p>
    <w:p w14:paraId="69B1FA7E">
      <w:pPr>
        <w:widowControl/>
        <w:adjustRightInd w:val="0"/>
        <w:snapToGrid w:val="0"/>
        <w:ind w:firstLine="640"/>
        <w:rPr>
          <w:rFonts w:cs="Times New Roman"/>
        </w:rPr>
      </w:pPr>
      <w:r>
        <w:rPr>
          <w:rFonts w:cs="Times New Roman"/>
        </w:rPr>
        <w:t>持续推进农村一二三产业融合发展，以农业为依托延伸产业链。引导农产品初加工、产地直销等产业在村庄区位优势区域合理布局、适度集中。品牌发展板栗、林下参、中药材、食用菌等特色农产品及农产品深加工产业。合理保障农产品加工流通、电子商务、冷链物流、乡村旅游、休闲农业、民宿经济等新产业、新业态用地需求。根据年度新增用地指标计划情况，在县本级和乡镇级国土空间总体规划中安排至少10%的建设用地指标，用于支持乡村振兴发展。</w:t>
      </w:r>
    </w:p>
    <w:p w14:paraId="6BE3A7E9">
      <w:pPr>
        <w:widowControl/>
        <w:adjustRightInd w:val="0"/>
        <w:snapToGrid w:val="0"/>
        <w:ind w:firstLine="640"/>
        <w:rPr>
          <w:rFonts w:cs="Times New Roman"/>
        </w:rPr>
      </w:pPr>
      <w:r>
        <w:rPr>
          <w:rFonts w:cs="Times New Roman"/>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拓展特色养殖业空间，加快畜禽规模集约养殖场标准化建设，重点保障养殖空间，因地制宜发展特色养殖产业。</w:t>
      </w:r>
    </w:p>
    <w:bookmarkEnd w:id="66"/>
    <w:p w14:paraId="17AD8451">
      <w:pPr>
        <w:pStyle w:val="3"/>
        <w:rPr>
          <w:rFonts w:ascii="Times New Roman" w:hAnsi="Times New Roman" w:cs="Times New Roman"/>
        </w:rPr>
      </w:pPr>
      <w:bookmarkStart w:id="67" w:name="_Toc185844298"/>
      <w:bookmarkStart w:id="68" w:name="_Toc22913"/>
      <w:r>
        <w:rPr>
          <w:rFonts w:ascii="Times New Roman" w:hAnsi="Times New Roman" w:cs="Times New Roman"/>
        </w:rPr>
        <w:t>第五节 景观风貌</w:t>
      </w:r>
      <w:bookmarkEnd w:id="67"/>
      <w:bookmarkEnd w:id="68"/>
    </w:p>
    <w:p w14:paraId="76B9D5D7">
      <w:pPr>
        <w:pStyle w:val="4"/>
        <w:numPr>
          <w:ilvl w:val="0"/>
          <w:numId w:val="19"/>
        </w:numPr>
        <w:ind w:left="420" w:firstLine="361" w:firstLineChars="113"/>
      </w:pPr>
      <w:r>
        <w:t>凸显生态山水景观风貌</w:t>
      </w:r>
    </w:p>
    <w:p w14:paraId="524D7EB5">
      <w:pPr>
        <w:widowControl/>
        <w:adjustRightInd w:val="0"/>
        <w:snapToGrid w:val="0"/>
        <w:ind w:firstLine="640"/>
        <w:rPr>
          <w:rFonts w:cs="Times New Roman"/>
        </w:rPr>
      </w:pPr>
      <w:r>
        <w:rPr>
          <w:rFonts w:cs="Times New Roman"/>
        </w:rPr>
        <w:t>凸显向阳乡的自然山水、农林景观等资源特色，开发乡村生态旅游，大力发展滨湖休闲、森林旅游、康体养生、运动娱乐、休闲农业，体现“自然为基、山水为魂、休闲为肌、度假为体”，打造辽宁省休闲农业与乡村旅游示范乡镇。强化自然景观的保护与修复，通过植被恢复、步道建设等措施，实现山体景观与城镇空间的有机融合，提升山水景观的观赏性与体验性，为游客提供优质的旅游环境。开展水生态修复工程，打造生态宜居的滨水环境。合理规划绿地系统，推广绿色建筑，加强环境保护。向阳乡中心区与和平村作为风貌格局塑造和管控的重点地区，遵循“聚团化、多元化”的原则，推动组团式、链条式发展，各组团应注重保护空间特色，维护组团聚集性，融入民俗文化、红色文化，形成多元化的人文空间，严格控制新建超高层建筑。</w:t>
      </w:r>
    </w:p>
    <w:p w14:paraId="0202CB49">
      <w:pPr>
        <w:pStyle w:val="4"/>
        <w:numPr>
          <w:ilvl w:val="0"/>
          <w:numId w:val="1"/>
        </w:numPr>
        <w:ind w:left="860" w:firstLine="361" w:firstLineChars="113"/>
      </w:pPr>
      <w:r>
        <w:t>景观风貌引导</w:t>
      </w:r>
    </w:p>
    <w:p w14:paraId="403D67B7">
      <w:pPr>
        <w:widowControl/>
        <w:adjustRightInd w:val="0"/>
        <w:snapToGrid w:val="0"/>
        <w:ind w:firstLine="640"/>
        <w:rPr>
          <w:rFonts w:cs="Times New Roman"/>
        </w:rPr>
      </w:pPr>
      <w:r>
        <w:rPr>
          <w:rFonts w:cs="Times New Roman"/>
        </w:rPr>
        <w:t xml:space="preserve">景观风貌设计充分考虑外部景观利用、内部景观营造、景观节点之间的联系。 </w:t>
      </w:r>
    </w:p>
    <w:p w14:paraId="0EC0BA2B">
      <w:pPr>
        <w:widowControl/>
        <w:adjustRightInd w:val="0"/>
        <w:snapToGrid w:val="0"/>
        <w:ind w:firstLine="640"/>
        <w:rPr>
          <w:rFonts w:cs="Times New Roman"/>
        </w:rPr>
      </w:pPr>
      <w:r>
        <w:rPr>
          <w:rFonts w:cs="Times New Roman"/>
        </w:rPr>
        <w:t>——外部景观利用。向阳乡外部景观本底优秀，优秀的景观资源为乡村提供了优良的外部环境。</w:t>
      </w:r>
    </w:p>
    <w:p w14:paraId="12B2B035">
      <w:pPr>
        <w:widowControl/>
        <w:adjustRightInd w:val="0"/>
        <w:snapToGrid w:val="0"/>
        <w:ind w:firstLine="640"/>
        <w:rPr>
          <w:rFonts w:cs="Times New Roman"/>
        </w:rPr>
      </w:pPr>
      <w:r>
        <w:rPr>
          <w:rFonts w:cs="Times New Roman"/>
        </w:rPr>
        <w:t xml:space="preserve">——内部景观营造。内部景观分为建筑景观和环境景观两部分。建筑景观设计应注重建筑的产品搭配组成的空间感和建筑外观风格的协调；环境景观设计应秉承生态理念，注重主题塑造，配合不同的住宅产品，搭配不同的园林、广场、树木、灯光、水面及小品等环境要素，营造适宜的环境风格。 </w:t>
      </w:r>
    </w:p>
    <w:p w14:paraId="6C1E97A6">
      <w:pPr>
        <w:widowControl/>
        <w:adjustRightInd w:val="0"/>
        <w:snapToGrid w:val="0"/>
        <w:ind w:firstLine="640"/>
        <w:rPr>
          <w:rFonts w:cs="Times New Roman"/>
        </w:rPr>
      </w:pPr>
      <w:r>
        <w:rPr>
          <w:rFonts w:cs="Times New Roman"/>
        </w:rPr>
        <w:t>——景观节点之间的联系。除建筑风格的协调之外，更应注重公共空间的呼应和联系，景观节点之间的对景和呼应应具有引导性和指向性，通过空间轴线和视觉走廊等手法，使居住区不同区域之间实现视觉和空间上的联系。</w:t>
      </w:r>
    </w:p>
    <w:p w14:paraId="6CACB68F">
      <w:pPr>
        <w:pStyle w:val="4"/>
        <w:numPr>
          <w:ilvl w:val="0"/>
          <w:numId w:val="1"/>
        </w:numPr>
        <w:ind w:left="860" w:firstLine="361" w:firstLineChars="113"/>
      </w:pPr>
      <w:r>
        <w:t>景观风貌分区</w:t>
      </w:r>
    </w:p>
    <w:p w14:paraId="38E48482">
      <w:pPr>
        <w:widowControl/>
        <w:adjustRightInd w:val="0"/>
        <w:snapToGrid w:val="0"/>
        <w:ind w:firstLine="640"/>
        <w:rPr>
          <w:rFonts w:cs="Times New Roman"/>
        </w:rPr>
      </w:pPr>
      <w:r>
        <w:rPr>
          <w:rFonts w:cs="Times New Roman"/>
        </w:rPr>
        <w:t>结合全域景观资源分布，规划全域划分为五个特色景观风貌区，分别为：如意岛滨水风貌区、生态居住风貌区、生态休闲度假风貌区、康体养生风貌区。</w:t>
      </w:r>
    </w:p>
    <w:p w14:paraId="31BC531B">
      <w:pPr>
        <w:widowControl/>
        <w:adjustRightInd w:val="0"/>
        <w:snapToGrid w:val="0"/>
        <w:ind w:firstLine="640"/>
        <w:rPr>
          <w:rFonts w:cs="Times New Roman"/>
        </w:rPr>
      </w:pPr>
      <w:r>
        <w:rPr>
          <w:rFonts w:cs="Times New Roman"/>
        </w:rPr>
        <w:t>——如意岛滨水风貌区。该风貌区滨临回龙湖，自然景观优越，重点以回龙湖及周边的山体风貌为载体，融青山、绿水、密林和田园为一体，建设集科普教育、旅游度假、休闲观光于一体的滨水景观风貌区。考虑该区的生态和防洪要求，要严格控制该区的开发强度，建筑以低层为主，多层为辅。</w:t>
      </w:r>
    </w:p>
    <w:p w14:paraId="20CD1185">
      <w:pPr>
        <w:widowControl/>
        <w:adjustRightInd w:val="0"/>
        <w:snapToGrid w:val="0"/>
        <w:ind w:firstLine="640"/>
        <w:rPr>
          <w:rFonts w:cs="Times New Roman"/>
        </w:rPr>
      </w:pPr>
      <w:r>
        <w:rPr>
          <w:rFonts w:cs="Times New Roman"/>
        </w:rPr>
        <w:t>——生态居住风貌区。结合枫旅小镇建设，完善配套设施，延续传统乡村风貌和街巷格局，强化生态化建设，建设生态居住区。加强农房改造和村庄建筑色彩整治以及主要景观节点建设。主要街道建筑采用坡屋顶，建筑材料可多样化，灯具展现现代风貌，力求简洁、大气。注重运用现代的建筑材料和手法体现时代的特征，打造具有现代建筑风情的小镇。</w:t>
      </w:r>
    </w:p>
    <w:p w14:paraId="7625E591">
      <w:pPr>
        <w:widowControl/>
        <w:adjustRightInd w:val="0"/>
        <w:snapToGrid w:val="0"/>
        <w:ind w:firstLine="640"/>
        <w:rPr>
          <w:rFonts w:cs="Times New Roman"/>
        </w:rPr>
      </w:pPr>
      <w:r>
        <w:rPr>
          <w:rFonts w:cs="Times New Roman"/>
        </w:rPr>
        <w:t>——生态休闲度假风貌区。该区以旅游观光和休闲度假为主，融现代农业、现代旅游等功能于一体，是域内最具生态休闲特质的区域之一。该区重点是做好旅游项目的开发建设，包括枫韵溪境山水民宿和房车宿营地两个重点建设项目。建筑以多层、低层为主，将山水融入其中，体现出小镇独有的绿色、生态、休闲的特色风貌。</w:t>
      </w:r>
    </w:p>
    <w:p w14:paraId="26E4EC1B">
      <w:pPr>
        <w:widowControl/>
        <w:adjustRightInd w:val="0"/>
        <w:snapToGrid w:val="0"/>
        <w:ind w:firstLine="640"/>
        <w:rPr>
          <w:rFonts w:cs="Times New Roman"/>
        </w:rPr>
      </w:pPr>
      <w:r>
        <w:rPr>
          <w:rFonts w:cs="Times New Roman"/>
        </w:rPr>
        <w:t>——康体养生风貌区。结合枫林园、狩猎场等项目建设，打造山地型特色旅游度假胜地。该区生态保护较好，山水风光独特，重点做好基础设施建设和景观绿化。依托自然山林等天然景观资源，强调生态观光、康体运动主题，建筑密度低，开发强度小。</w:t>
      </w:r>
    </w:p>
    <w:p w14:paraId="3742882C">
      <w:pPr>
        <w:pStyle w:val="4"/>
        <w:numPr>
          <w:ilvl w:val="0"/>
          <w:numId w:val="1"/>
        </w:numPr>
        <w:ind w:left="860" w:firstLine="361" w:firstLineChars="113"/>
      </w:pPr>
      <w:r>
        <w:t>建筑色彩分区控制</w:t>
      </w:r>
    </w:p>
    <w:p w14:paraId="0E6EDAF3">
      <w:pPr>
        <w:widowControl/>
        <w:adjustRightInd w:val="0"/>
        <w:snapToGrid w:val="0"/>
        <w:ind w:firstLine="640"/>
        <w:rPr>
          <w:rFonts w:cs="Times New Roman"/>
        </w:rPr>
      </w:pPr>
      <w:r>
        <w:rPr>
          <w:rFonts w:cs="Times New Roman"/>
        </w:rPr>
        <w:t>以景观风貌分区为基础，分区分类实施色彩引导，并通过色彩的变化和引导，强化不同景观片区的风貌特征，增强片区的可识别性。</w:t>
      </w:r>
    </w:p>
    <w:p w14:paraId="4DD26362">
      <w:pPr>
        <w:widowControl/>
        <w:adjustRightInd w:val="0"/>
        <w:snapToGrid w:val="0"/>
        <w:ind w:firstLine="640"/>
        <w:rPr>
          <w:rFonts w:cs="Times New Roman"/>
        </w:rPr>
      </w:pPr>
      <w:r>
        <w:rPr>
          <w:rFonts w:cs="Times New Roman"/>
        </w:rPr>
        <w:t>——如意岛滨水风貌区。区域色彩应以水、林等自然要素色彩为主，淡雅清新，与湿地等水环境相协调。建筑色彩柔和，呼应现代风情，宜选用明度较高而彩度较低的材料。</w:t>
      </w:r>
    </w:p>
    <w:p w14:paraId="1B3B8EE8">
      <w:pPr>
        <w:widowControl/>
        <w:adjustRightInd w:val="0"/>
        <w:snapToGrid w:val="0"/>
        <w:ind w:firstLine="640"/>
        <w:rPr>
          <w:rFonts w:cs="Times New Roman"/>
        </w:rPr>
      </w:pPr>
      <w:r>
        <w:rPr>
          <w:rFonts w:cs="Times New Roman"/>
        </w:rPr>
        <w:t>——生态居住风貌区。强调整体色彩协调统一，充分利用传统色彩，整体色彩应温和，可以黄、灰、白为主，辅色调取偏暖色调如米白、浅黄等，以亲切宁静、环境优美宜人、建筑空间和色彩富于变化和充满文化内涵的居住环境为主题，打造宜居宜业宜游的生产生活环境。局部可利用红、黄等明快色彩强调片区中心和标志物。</w:t>
      </w:r>
    </w:p>
    <w:p w14:paraId="56E607C3">
      <w:pPr>
        <w:widowControl/>
        <w:adjustRightInd w:val="0"/>
        <w:snapToGrid w:val="0"/>
        <w:ind w:firstLine="640"/>
        <w:rPr>
          <w:rFonts w:cs="Times New Roman"/>
        </w:rPr>
      </w:pPr>
      <w:r>
        <w:rPr>
          <w:rFonts w:cs="Times New Roman"/>
        </w:rPr>
        <w:t>——生态休闲度假风貌区。可使用明度较高的色彩，与其他的建筑色彩成对比，形成由较为中性的暖灰、暖黄色调向砖红色、浅红色过渡，并在不同的节点色彩布局上，通过蓝、绿、黄等冷色系进行点缀。</w:t>
      </w:r>
    </w:p>
    <w:p w14:paraId="51C4A77E">
      <w:pPr>
        <w:widowControl/>
        <w:adjustRightInd w:val="0"/>
        <w:snapToGrid w:val="0"/>
        <w:ind w:firstLine="640"/>
        <w:rPr>
          <w:rFonts w:cs="Times New Roman"/>
        </w:rPr>
      </w:pPr>
      <w:r>
        <w:rPr>
          <w:rFonts w:cs="Times New Roman"/>
        </w:rPr>
        <w:t>——康体运动风貌区。从强调植物景观的观赏性、生态性、文化性、多样性、安全舒适性出发，形成多彩田园的生态田园风貌色彩。建筑色彩浅红、中黄、中褐色相互配合，整个片区给人以活跃动感。</w:t>
      </w:r>
    </w:p>
    <w:p w14:paraId="005A7CF2">
      <w:pPr>
        <w:pStyle w:val="4"/>
        <w:numPr>
          <w:ilvl w:val="0"/>
          <w:numId w:val="1"/>
        </w:numPr>
        <w:ind w:left="860" w:firstLine="361" w:firstLineChars="113"/>
      </w:pPr>
      <w:r>
        <w:t>人居环境引导</w:t>
      </w:r>
    </w:p>
    <w:p w14:paraId="2A78002B">
      <w:pPr>
        <w:widowControl/>
        <w:adjustRightInd w:val="0"/>
        <w:snapToGrid w:val="0"/>
        <w:ind w:firstLine="640"/>
        <w:rPr>
          <w:rFonts w:cs="Times New Roman"/>
        </w:rPr>
      </w:pPr>
      <w:r>
        <w:rPr>
          <w:rFonts w:cs="Times New Roman"/>
        </w:rPr>
        <w:t>落实辽宁省推动美丽乡村建设相关要求，重点推进乡村振兴示范带、美丽宜居村、乡村旅游重点村的创建，推动宜居宜业和美乡村建设。促进城乡基础设施互联互通，推动农村基础设施提档升级。加快补齐农村基础设施短板，深入推进农村人居环境整治，重点对村内道路、农房改造、环境卫生、村容村貌等要素开展整治提升。完善农村公共服务配套，促进公共教育、医疗卫生、社会保障等资源向农村倾斜，逐步建立健全全民覆盖、普惠共享、城乡一体的基本公共服务体系，推进城乡基本公共服务均等化。</w:t>
      </w:r>
    </w:p>
    <w:p w14:paraId="58AB4A90">
      <w:pPr>
        <w:pStyle w:val="4"/>
        <w:numPr>
          <w:ilvl w:val="0"/>
          <w:numId w:val="1"/>
        </w:numPr>
        <w:ind w:left="860" w:firstLine="361" w:firstLineChars="113"/>
      </w:pPr>
      <w:r>
        <w:t>住宅设计指引</w:t>
      </w:r>
    </w:p>
    <w:p w14:paraId="3E584F7A">
      <w:pPr>
        <w:ind w:firstLine="640"/>
        <w:rPr>
          <w:rFonts w:cs="Times New Roman"/>
        </w:rPr>
      </w:pPr>
      <w:r>
        <w:rPr>
          <w:rFonts w:cs="Times New Roman"/>
        </w:rPr>
        <w:t>进行农房、院落等风貌整治，打造良好的景观界面。村民住宅建筑外观设计注重的统一性和整体感，整体建筑风貌以传统北方民居建筑特点为原形，继承和发扬各乡村自身特色 。新建村民住宅宜采用黄、暖白色墙体，青瓦的屋顶形式为主；建筑材料以砖石等传统类型为主；建筑结构以硬山形式，村民住宅大部分为坡屋顶。推荐增加具有北方色彩的瓦当、脊吻兽、福字等传统建筑符号，形成富有个性的宜居乡村建筑风格。</w:t>
      </w:r>
    </w:p>
    <w:p w14:paraId="5CEDDB01">
      <w:pPr>
        <w:ind w:firstLine="640"/>
        <w:rPr>
          <w:rFonts w:cs="Times New Roman"/>
        </w:rPr>
      </w:pPr>
    </w:p>
    <w:p w14:paraId="2BF78D7B">
      <w:pPr>
        <w:ind w:firstLine="640"/>
        <w:rPr>
          <w:rFonts w:cs="Times New Roman"/>
        </w:rPr>
      </w:pPr>
    </w:p>
    <w:p w14:paraId="52FB7289">
      <w:pPr>
        <w:pStyle w:val="2"/>
        <w:spacing w:before="312" w:after="312"/>
        <w:rPr>
          <w:rFonts w:ascii="Times New Roman" w:hAnsi="Times New Roman" w:cs="Times New Roman"/>
        </w:rPr>
      </w:pPr>
      <w:bookmarkStart w:id="69" w:name="_Toc185844299"/>
      <w:bookmarkStart w:id="70" w:name="_Toc22300"/>
      <w:r>
        <w:rPr>
          <w:rFonts w:ascii="Times New Roman" w:hAnsi="Times New Roman" w:cs="Times New Roman"/>
        </w:rPr>
        <w:t>第六章 生态修复和国土综合整治</w:t>
      </w:r>
      <w:bookmarkEnd w:id="69"/>
      <w:bookmarkEnd w:id="70"/>
    </w:p>
    <w:p w14:paraId="1365DD38">
      <w:pPr>
        <w:pStyle w:val="3"/>
        <w:rPr>
          <w:rFonts w:ascii="Times New Roman" w:hAnsi="Times New Roman" w:cs="Times New Roman"/>
        </w:rPr>
      </w:pPr>
      <w:bookmarkStart w:id="71" w:name="_Toc24260"/>
      <w:bookmarkStart w:id="72" w:name="_Toc185844300"/>
      <w:r>
        <w:rPr>
          <w:rFonts w:ascii="Times New Roman" w:hAnsi="Times New Roman" w:cs="Times New Roman"/>
        </w:rPr>
        <w:t>第一节 生态修复</w:t>
      </w:r>
      <w:bookmarkEnd w:id="71"/>
      <w:bookmarkEnd w:id="72"/>
    </w:p>
    <w:p w14:paraId="45E472F4">
      <w:pPr>
        <w:pStyle w:val="4"/>
        <w:numPr>
          <w:ilvl w:val="0"/>
          <w:numId w:val="20"/>
        </w:numPr>
        <w:ind w:left="420" w:firstLine="361" w:firstLineChars="113"/>
      </w:pPr>
      <w:r>
        <w:t>山水林田湖草一体化生态修复</w:t>
      </w:r>
    </w:p>
    <w:p w14:paraId="681ACAA9">
      <w:pPr>
        <w:widowControl/>
        <w:adjustRightInd w:val="0"/>
        <w:snapToGrid w:val="0"/>
        <w:ind w:firstLine="640"/>
        <w:rPr>
          <w:rFonts w:cs="Times New Roman"/>
        </w:rPr>
      </w:pPr>
      <w:r>
        <w:rPr>
          <w:rFonts w:cs="Times New Roman"/>
        </w:rPr>
        <w:t>为解决山水林田湖草各自然要素存在的问题，使生态环境质量得到有效改善，生态功能支撑和生态涵养明显增强，生态系统服务与保障功能、生态廊道系统功能得到提升，设置山水林田湖草一体化生态修复重点工程。</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6281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5000" w:type="pct"/>
          </w:tcPr>
          <w:p w14:paraId="66DDB54C">
            <w:pPr>
              <w:pStyle w:val="7"/>
              <w:numPr>
                <w:ilvl w:val="0"/>
                <w:numId w:val="0"/>
              </w:numPr>
              <w:rPr>
                <w:rFonts w:ascii="Times New Roman" w:hAnsi="Times New Roman" w:cs="Times New Roman"/>
                <w:kern w:val="0"/>
              </w:rPr>
            </w:pPr>
            <w:r>
              <w:rPr>
                <w:rFonts w:ascii="Times New Roman" w:hAnsi="Times New Roman" w:cs="Times New Roman"/>
                <w:kern w:val="0"/>
              </w:rPr>
              <w:t>专栏2 山水林田湖草沙一体化生态修复工程</w:t>
            </w:r>
          </w:p>
        </w:tc>
      </w:tr>
      <w:tr w14:paraId="15FD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00" w:type="pct"/>
          </w:tcPr>
          <w:p w14:paraId="0A076F72">
            <w:pPr>
              <w:pStyle w:val="33"/>
              <w:spacing w:line="440" w:lineRule="exact"/>
              <w:ind w:firstLine="560"/>
              <w:jc w:val="both"/>
              <w:rPr>
                <w:rFonts w:cs="Times New Roman"/>
                <w:kern w:val="0"/>
                <w:sz w:val="28"/>
                <w:szCs w:val="21"/>
              </w:rPr>
            </w:pPr>
            <w:r>
              <w:rPr>
                <w:rFonts w:cs="Times New Roman"/>
                <w:kern w:val="0"/>
                <w:sz w:val="28"/>
                <w:szCs w:val="21"/>
              </w:rPr>
              <w:t>1.森林生态修复工程</w:t>
            </w:r>
          </w:p>
          <w:p w14:paraId="5A4B0EC7">
            <w:pPr>
              <w:pStyle w:val="33"/>
              <w:spacing w:line="440" w:lineRule="exact"/>
              <w:ind w:firstLine="560"/>
              <w:jc w:val="both"/>
              <w:rPr>
                <w:rFonts w:cs="Times New Roman"/>
                <w:kern w:val="0"/>
                <w:sz w:val="28"/>
                <w:szCs w:val="21"/>
              </w:rPr>
            </w:pPr>
            <w:r>
              <w:rPr>
                <w:rFonts w:cs="Times New Roman"/>
                <w:kern w:val="0"/>
                <w:sz w:val="28"/>
                <w:szCs w:val="21"/>
              </w:rPr>
              <w:t>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0C82C223">
            <w:pPr>
              <w:pStyle w:val="33"/>
              <w:spacing w:line="440" w:lineRule="exact"/>
              <w:ind w:firstLine="560"/>
              <w:jc w:val="both"/>
              <w:rPr>
                <w:rFonts w:cs="Times New Roman"/>
                <w:kern w:val="0"/>
                <w:sz w:val="28"/>
                <w:szCs w:val="21"/>
              </w:rPr>
            </w:pPr>
            <w:r>
              <w:rPr>
                <w:rFonts w:cs="Times New Roman"/>
                <w:kern w:val="0"/>
                <w:sz w:val="28"/>
                <w:szCs w:val="21"/>
              </w:rPr>
              <w:t>2.水土流失生态修复工程</w:t>
            </w:r>
          </w:p>
          <w:p w14:paraId="0F5E6407">
            <w:pPr>
              <w:pStyle w:val="33"/>
              <w:spacing w:line="440" w:lineRule="exact"/>
              <w:ind w:firstLine="560"/>
              <w:jc w:val="both"/>
              <w:rPr>
                <w:rFonts w:cs="Times New Roman"/>
                <w:kern w:val="0"/>
                <w:sz w:val="28"/>
                <w:szCs w:val="21"/>
              </w:rPr>
            </w:pPr>
            <w:r>
              <w:rPr>
                <w:rFonts w:cs="Times New Roman"/>
                <w:kern w:val="0"/>
                <w:sz w:val="28"/>
                <w:szCs w:val="21"/>
              </w:rPr>
              <w:t>根据水土流失情况和特点，贯彻绿色发展理念，将工程措施、生物措施和农业措施相结合，实施水土保持重点工程，加强重点区域及山洪</w:t>
            </w:r>
            <w:r>
              <w:fldChar w:fldCharType="begin"/>
            </w:r>
            <w:r>
              <w:instrText xml:space="preserve"> HYPERLINK "https://baike.baidu.com/item/%E5%9C%B0%E8%B4%A8%E7%81%BE%E5%AE%B3%E6%98%93%E5%8F%91%E5%8C%BA" \t "https://baike.baidu.com/item/%E4%B8%AD%E5%85%B1%E4%B8%AD%E5%A4%AE%E3%80%81%E5%9B%BD%E5%8A%A1%E9%99%A2%E5%85%B3%E4%BA%8E%E5%8A%A0%E5%BF%AB%E6%B0%B4%E5%88%A9%E6%94%B9%E9%9D%A9%E5%8F%91%E5%B1%95%E7%9A%84%E5%86%B3%E5%AE%9A/_blank" </w:instrText>
            </w:r>
            <w:r>
              <w:fldChar w:fldCharType="separate"/>
            </w:r>
            <w:r>
              <w:rPr>
                <w:rFonts w:cs="Times New Roman"/>
                <w:kern w:val="0"/>
                <w:sz w:val="28"/>
                <w:szCs w:val="21"/>
              </w:rPr>
              <w:t>地质灾害易发区</w:t>
            </w:r>
            <w:r>
              <w:rPr>
                <w:rFonts w:cs="Times New Roman"/>
                <w:kern w:val="0"/>
                <w:sz w:val="28"/>
                <w:szCs w:val="21"/>
              </w:rPr>
              <w:fldChar w:fldCharType="end"/>
            </w:r>
            <w:r>
              <w:rPr>
                <w:rFonts w:cs="Times New Roman"/>
                <w:kern w:val="0"/>
                <w:sz w:val="28"/>
                <w:szCs w:val="21"/>
              </w:rPr>
              <w:t>的水土流失防治。</w:t>
            </w:r>
          </w:p>
          <w:p w14:paraId="33301392">
            <w:pPr>
              <w:pStyle w:val="33"/>
              <w:spacing w:line="440" w:lineRule="exact"/>
              <w:ind w:firstLine="560"/>
              <w:jc w:val="both"/>
              <w:rPr>
                <w:rFonts w:cs="Times New Roman"/>
                <w:kern w:val="0"/>
                <w:sz w:val="28"/>
                <w:szCs w:val="21"/>
              </w:rPr>
            </w:pPr>
            <w:r>
              <w:rPr>
                <w:rFonts w:cs="Times New Roman"/>
                <w:kern w:val="0"/>
                <w:sz w:val="28"/>
                <w:szCs w:val="21"/>
              </w:rPr>
              <w:t>3.水环境和水生态修复工程</w:t>
            </w:r>
          </w:p>
          <w:p w14:paraId="566B9643">
            <w:pPr>
              <w:pStyle w:val="33"/>
              <w:spacing w:line="440" w:lineRule="exact"/>
              <w:ind w:firstLine="560"/>
              <w:jc w:val="both"/>
              <w:rPr>
                <w:rFonts w:cs="Times New Roman"/>
                <w:kern w:val="0"/>
                <w:sz w:val="28"/>
                <w:szCs w:val="21"/>
              </w:rPr>
            </w:pPr>
            <w:r>
              <w:rPr>
                <w:rFonts w:cs="Times New Roman"/>
                <w:kern w:val="0"/>
                <w:sz w:val="28"/>
                <w:szCs w:val="21"/>
              </w:rPr>
              <w:t>积极推进水环境和水生态修复，严格控制污染源，加强浑江治理工程。做好防洪堤修建工作，建立河长制，负责组织领导相应河流的管理和保护工作。</w:t>
            </w:r>
          </w:p>
          <w:p w14:paraId="78707A74">
            <w:pPr>
              <w:pStyle w:val="33"/>
              <w:spacing w:line="440" w:lineRule="exact"/>
              <w:ind w:firstLine="560"/>
              <w:jc w:val="both"/>
              <w:rPr>
                <w:rFonts w:cs="Times New Roman"/>
                <w:kern w:val="0"/>
                <w:sz w:val="28"/>
                <w:szCs w:val="21"/>
              </w:rPr>
            </w:pPr>
            <w:r>
              <w:rPr>
                <w:rFonts w:cs="Times New Roman"/>
                <w:kern w:val="0"/>
                <w:sz w:val="28"/>
                <w:szCs w:val="21"/>
              </w:rPr>
              <w:t>4.湿地生态修复工程</w:t>
            </w:r>
          </w:p>
          <w:p w14:paraId="0E16A67C">
            <w:pPr>
              <w:pStyle w:val="33"/>
              <w:spacing w:line="440" w:lineRule="exact"/>
              <w:ind w:firstLine="560"/>
              <w:jc w:val="both"/>
              <w:rPr>
                <w:rFonts w:cs="Times New Roman"/>
                <w:kern w:val="0"/>
                <w:szCs w:val="28"/>
              </w:rPr>
            </w:pPr>
            <w:r>
              <w:rPr>
                <w:rFonts w:cs="Times New Roman"/>
                <w:kern w:val="0"/>
                <w:sz w:val="28"/>
                <w:szCs w:val="21"/>
              </w:rPr>
              <w:t>加强对湿地生态系统保护修复，通过实施湿地恢复与综合治理工程，改善湿地生态质量，提高湿地生态系统完整性和稳定性。推进小微湿地建设，开展湿地公园建设，打造生态景观水系，改善河流水质。</w:t>
            </w:r>
          </w:p>
        </w:tc>
      </w:tr>
    </w:tbl>
    <w:p w14:paraId="3D9857F0">
      <w:pPr>
        <w:pStyle w:val="4"/>
        <w:numPr>
          <w:ilvl w:val="0"/>
          <w:numId w:val="1"/>
        </w:numPr>
        <w:ind w:left="860" w:firstLine="361" w:firstLineChars="113"/>
      </w:pPr>
      <w:r>
        <w:t>土壤污染生态修复</w:t>
      </w:r>
    </w:p>
    <w:p w14:paraId="18725F97">
      <w:pPr>
        <w:widowControl/>
        <w:adjustRightInd w:val="0"/>
        <w:snapToGrid w:val="0"/>
        <w:ind w:firstLine="640"/>
        <w:rPr>
          <w:rFonts w:cs="Times New Roman"/>
          <w:color w:val="000000"/>
        </w:rPr>
      </w:pPr>
      <w:r>
        <w:rPr>
          <w:rFonts w:cs="Times New Roman"/>
          <w:color w:val="000000"/>
        </w:rPr>
        <w:t>加强土壤污染防治，积极推进污染土壤阻控修复，在土壤污染地区内实施土壤污染生态修复工程，建设农田生态沟渠、污水净化池等设施，净化地表径流及农田灌排水，优化种植结构，改善土壤环境，提升土壤质量。</w:t>
      </w:r>
    </w:p>
    <w:p w14:paraId="76C9EFAE">
      <w:pPr>
        <w:pStyle w:val="4"/>
        <w:numPr>
          <w:ilvl w:val="0"/>
          <w:numId w:val="1"/>
        </w:numPr>
        <w:ind w:left="860" w:firstLine="361" w:firstLineChars="113"/>
      </w:pPr>
      <w:r>
        <w:t>矿山生态修复</w:t>
      </w:r>
    </w:p>
    <w:p w14:paraId="3BFCDF85">
      <w:pPr>
        <w:widowControl/>
        <w:adjustRightInd w:val="0"/>
        <w:snapToGrid w:val="0"/>
        <w:ind w:firstLine="640"/>
        <w:rPr>
          <w:rFonts w:cs="Times New Roman"/>
        </w:rPr>
      </w:pPr>
      <w:r>
        <w:rPr>
          <w:rFonts w:cs="Times New Roman"/>
        </w:rPr>
        <w:t>积极推进矿山生态修复工程，</w:t>
      </w:r>
      <w:r>
        <w:rPr>
          <w:rFonts w:cs="Times New Roman"/>
          <w:color w:val="000000"/>
        </w:rPr>
        <w:t>重点解决地面塌陷和固体废弃物堆积等问题。以生态重塑加自然恢复相结合的模式进行综合治理，治理后基本消除地面塌陷、地裂缝、崩塌、泥石流等地质灾害隐患，矿山固体废弃物得到有效治理，植被复绿，解除塌陷区居民的生命财产安全隐患，恢复生态环境和土地使用功能。</w:t>
      </w:r>
      <w:r>
        <w:rPr>
          <w:rFonts w:cs="Times New Roman"/>
        </w:rPr>
        <w:t>引导生产矿山向绿色矿山转型，鼓励新建矿山按绿色矿山标准建设。</w:t>
      </w:r>
    </w:p>
    <w:p w14:paraId="6F17CE26">
      <w:pPr>
        <w:pStyle w:val="4"/>
        <w:numPr>
          <w:ilvl w:val="0"/>
          <w:numId w:val="1"/>
        </w:numPr>
        <w:ind w:left="860" w:firstLine="361" w:firstLineChars="113"/>
      </w:pPr>
      <w:r>
        <w:t>重大自然灾害生态修复</w:t>
      </w:r>
    </w:p>
    <w:p w14:paraId="7F4C8A07">
      <w:pPr>
        <w:widowControl/>
        <w:adjustRightInd w:val="0"/>
        <w:snapToGrid w:val="0"/>
        <w:ind w:firstLine="640"/>
        <w:rPr>
          <w:rFonts w:cs="Times New Roman"/>
        </w:rPr>
      </w:pPr>
      <w:r>
        <w:rPr>
          <w:rFonts w:cs="Times New Roman"/>
        </w:rPr>
        <w:t>对重大自然灾害损毁土地进行评价并分类，对可复垦利用的土地，实施复垦工程。加强耕地抗灾能力建设，减少耕地灾毁数量。采取工程措施对损毁土地内的田、水、路、林及受损的生态环境等进行整治和恢复，使损毁土地恢复生态功能。</w:t>
      </w:r>
    </w:p>
    <w:p w14:paraId="3658230F">
      <w:pPr>
        <w:pStyle w:val="3"/>
        <w:rPr>
          <w:rFonts w:ascii="Times New Roman" w:hAnsi="Times New Roman" w:cs="Times New Roman"/>
        </w:rPr>
      </w:pPr>
      <w:bookmarkStart w:id="73" w:name="_Toc12500"/>
      <w:bookmarkStart w:id="74" w:name="_Toc185844301"/>
      <w:r>
        <w:rPr>
          <w:rFonts w:ascii="Times New Roman" w:hAnsi="Times New Roman" w:cs="Times New Roman"/>
        </w:rPr>
        <w:t>第二节 国土综合整治</w:t>
      </w:r>
      <w:bookmarkEnd w:id="73"/>
      <w:bookmarkEnd w:id="74"/>
    </w:p>
    <w:p w14:paraId="6E45BB4E">
      <w:pPr>
        <w:pStyle w:val="4"/>
        <w:numPr>
          <w:ilvl w:val="0"/>
          <w:numId w:val="21"/>
        </w:numPr>
        <w:ind w:left="420" w:firstLine="361" w:firstLineChars="113"/>
        <w:rPr>
          <w:rFonts w:eastAsia="楷体"/>
        </w:rPr>
      </w:pPr>
      <w:r>
        <w:t>建设用地综合整治</w:t>
      </w:r>
    </w:p>
    <w:p w14:paraId="042F9CC5">
      <w:pPr>
        <w:widowControl/>
        <w:adjustRightInd w:val="0"/>
        <w:snapToGrid w:val="0"/>
        <w:ind w:firstLine="640"/>
        <w:rPr>
          <w:rFonts w:cs="Times New Roman"/>
        </w:rPr>
      </w:pPr>
      <w:r>
        <w:rPr>
          <w:rFonts w:cs="Times New Roman"/>
        </w:rPr>
        <w:t>实施“严控总量、盘活存量、精准调控、提质增效”的建设用地优化策略，推进更新治理进程，促进低效建设用地开发再利用，以旧居住用地、旧产业用地、旧村用地、其他用地等为重点对象，促进低效建设用地重新利用，推动分类整治、盘活低效、存量建设用地、违法建设综合治理机制，增加流量建设用地面积，提升土地节约集约利用率，提高建设用地地均产值。</w:t>
      </w:r>
    </w:p>
    <w:p w14:paraId="319DE7BE">
      <w:pPr>
        <w:widowControl/>
        <w:adjustRightInd w:val="0"/>
        <w:snapToGrid w:val="0"/>
        <w:ind w:firstLine="640"/>
        <w:rPr>
          <w:rFonts w:cs="Times New Roman"/>
        </w:rPr>
      </w:pPr>
      <w:r>
        <w:rPr>
          <w:rFonts w:cs="Times New Roman"/>
        </w:rPr>
        <w:t>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11D02404">
      <w:pPr>
        <w:pStyle w:val="4"/>
        <w:numPr>
          <w:ilvl w:val="0"/>
          <w:numId w:val="1"/>
        </w:numPr>
        <w:ind w:left="860" w:firstLine="361" w:firstLineChars="113"/>
      </w:pPr>
      <w:r>
        <w:t>农村土地综合整治</w:t>
      </w:r>
    </w:p>
    <w:p w14:paraId="79026592">
      <w:pPr>
        <w:widowControl/>
        <w:adjustRightInd w:val="0"/>
        <w:snapToGrid w:val="0"/>
        <w:ind w:firstLine="640"/>
        <w:rPr>
          <w:rFonts w:cs="Times New Roman"/>
          <w:szCs w:val="28"/>
        </w:rPr>
      </w:pPr>
      <w:bookmarkStart w:id="75" w:name="_Hlk151908821"/>
      <w:bookmarkStart w:id="76" w:name="_Hlk187236608"/>
      <w:r>
        <w:rPr>
          <w:rFonts w:cs="Times New Roman"/>
        </w:rPr>
        <w:t>统筹推进向阳乡全域全要素的国土综合整治及生态系统</w:t>
      </w:r>
      <w:del w:id="10" w:author="杨起" w:date="2026-03-24T15:53:49Z">
        <w:r>
          <w:rPr>
            <w:rFonts w:cs="Times New Roman"/>
          </w:rPr>
          <w:delText>性</w:delText>
        </w:r>
      </w:del>
      <w:r>
        <w:rPr>
          <w:rFonts w:cs="Times New Roman"/>
        </w:rPr>
        <w:t>保护和修复</w:t>
      </w:r>
      <w:bookmarkEnd w:id="75"/>
      <w:r>
        <w:rPr>
          <w:rFonts w:cs="Times New Roman"/>
        </w:rPr>
        <w:t>工作，布置农用地整理、乡村建设用地整理、乡村生态保护修复的重点建设工程</w:t>
      </w:r>
      <w:r>
        <w:rPr>
          <w:rFonts w:cs="Times New Roman"/>
          <w:szCs w:val="28"/>
        </w:rPr>
        <w:t>，整体推进乡村地区耕地质量提升、建设用地集约利用、山水林田湖草系统保护修复工作实施。</w:t>
      </w:r>
    </w:p>
    <w:bookmarkEnd w:id="76"/>
    <w:p w14:paraId="6BFF941D">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——农用地整理</w:t>
      </w:r>
    </w:p>
    <w:p w14:paraId="46E202F6">
      <w:pPr>
        <w:widowControl/>
        <w:adjustRightInd w:val="0"/>
        <w:snapToGrid w:val="0"/>
        <w:ind w:firstLine="640"/>
        <w:rPr>
          <w:rFonts w:cs="Times New Roman"/>
          <w:szCs w:val="28"/>
        </w:rPr>
      </w:pPr>
      <w:r>
        <w:rPr>
          <w:rFonts w:cs="Times New Roman"/>
          <w:szCs w:val="28"/>
        </w:rPr>
        <w:t>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w:t>
      </w:r>
    </w:p>
    <w:p w14:paraId="67987CE5">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——农村建设用地整理</w:t>
      </w:r>
    </w:p>
    <w:p w14:paraId="5FFC3BC0">
      <w:pPr>
        <w:widowControl/>
        <w:adjustRightInd w:val="0"/>
        <w:snapToGrid w:val="0"/>
        <w:ind w:firstLine="640"/>
        <w:rPr>
          <w:rFonts w:cs="Times New Roman"/>
        </w:rPr>
      </w:pPr>
      <w:r>
        <w:rPr>
          <w:rFonts w:cs="Times New Roman"/>
        </w:rPr>
        <w:t>充分尊重农民意愿，开展农村建设用地整理，推进城乡建设用地增减挂钩，优先配套和完善村庄的道路交通、给水排水、电力电讯、污水及垃圾处理等基础设施和教育、医疗卫生、文化等公共服务设施，保障人居环境建设。腾出的建设用地指标优先用于支持农村一二三产业融合发展，并因地制宜，适度增加耕地面积。规划期内在全域范围内重点挖潜村庄内部低效、闲置建设用地，提高建设用地节约集约利用程度，提升农村建设用地质量。</w:t>
      </w:r>
    </w:p>
    <w:p w14:paraId="6A8D176E">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——宜耕后备土地资源开发</w:t>
      </w:r>
    </w:p>
    <w:p w14:paraId="41C8B944">
      <w:pPr>
        <w:widowControl/>
        <w:adjustRightInd w:val="0"/>
        <w:snapToGrid w:val="0"/>
        <w:ind w:firstLine="640"/>
        <w:rPr>
          <w:rFonts w:cs="Times New Roman"/>
        </w:rPr>
      </w:pPr>
      <w:r>
        <w:rPr>
          <w:rFonts w:cs="Times New Roman"/>
        </w:rPr>
        <w:t>在保护和改善生态环境的前提下，依据土地适宜性条件，有序推进宜耕后备资源开发，通过工程措施，将项目区开垦成为高产田、稳产田，以增加有效耕地面积，适当增加园地、林地等农用地面积，提升粮食产量，保障粮食安全，控制土壤退化现象，涵养水源、防止水土流失，促进生态环境的可持续发展。</w:t>
      </w:r>
    </w:p>
    <w:p w14:paraId="4C784B88">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——农村生态环境修复</w:t>
      </w:r>
    </w:p>
    <w:p w14:paraId="3DF6747A">
      <w:pPr>
        <w:widowControl/>
        <w:adjustRightInd w:val="0"/>
        <w:snapToGrid w:val="0"/>
        <w:ind w:firstLine="640"/>
        <w:jc w:val="left"/>
        <w:rPr>
          <w:rFonts w:cs="Times New Roman"/>
        </w:rPr>
      </w:pPr>
      <w:r>
        <w:rPr>
          <w:rFonts w:cs="Times New Roman"/>
        </w:rPr>
        <w:t>尊重和保护村域内原有的地形地貌，全面推进农村环境整治，加强农村面源污染整治力度。完善交通两侧生态廊道体系，实施道路绿化工程，实施中小河流治理工程，推进安全饮水工程，优化农村水系、林网、绿道等生态空间，促进人与自然和谐共生。</w:t>
      </w:r>
    </w:p>
    <w:p w14:paraId="32DF3E85">
      <w:pPr>
        <w:widowControl/>
        <w:adjustRightInd w:val="0"/>
        <w:snapToGrid w:val="0"/>
        <w:ind w:firstLine="640"/>
        <w:rPr>
          <w:rFonts w:cs="Times New Roman"/>
        </w:rPr>
      </w:pPr>
    </w:p>
    <w:p w14:paraId="396E31C2">
      <w:pPr>
        <w:widowControl/>
        <w:adjustRightInd w:val="0"/>
        <w:snapToGrid w:val="0"/>
        <w:ind w:firstLine="640"/>
        <w:rPr>
          <w:rFonts w:cs="Times New Roman"/>
        </w:rPr>
      </w:pPr>
      <w:bookmarkStart w:id="77" w:name="_Hlk129184029"/>
    </w:p>
    <w:bookmarkEnd w:id="77"/>
    <w:p w14:paraId="5377B737">
      <w:pPr>
        <w:pStyle w:val="2"/>
        <w:spacing w:before="312" w:after="312"/>
        <w:rPr>
          <w:rFonts w:ascii="Times New Roman" w:hAnsi="Times New Roman" w:cs="Times New Roman"/>
        </w:rPr>
      </w:pPr>
      <w:bookmarkStart w:id="78" w:name="_Toc185844302"/>
      <w:bookmarkStart w:id="79" w:name="_Toc57"/>
      <w:r>
        <w:rPr>
          <w:rFonts w:ascii="Times New Roman" w:hAnsi="Times New Roman" w:cs="Times New Roman"/>
        </w:rPr>
        <w:t>第七章 乡中心区功能布局与规划管控</w:t>
      </w:r>
      <w:bookmarkEnd w:id="78"/>
      <w:bookmarkEnd w:id="79"/>
      <w:r>
        <w:rPr>
          <w:rFonts w:ascii="Times New Roman" w:hAnsi="Times New Roman" w:cs="Times New Roman"/>
        </w:rPr>
        <w:t xml:space="preserve"> </w:t>
      </w:r>
    </w:p>
    <w:p w14:paraId="32BCADB8">
      <w:pPr>
        <w:pStyle w:val="3"/>
        <w:rPr>
          <w:rFonts w:ascii="Times New Roman" w:hAnsi="Times New Roman" w:cs="Times New Roman"/>
        </w:rPr>
      </w:pPr>
      <w:bookmarkStart w:id="80" w:name="_Toc32567"/>
      <w:bookmarkStart w:id="81" w:name="_Toc185844303"/>
      <w:r>
        <w:rPr>
          <w:rFonts w:ascii="Times New Roman" w:hAnsi="Times New Roman" w:cs="Times New Roman"/>
        </w:rPr>
        <w:t>第一节 规划分区与用途管制</w:t>
      </w:r>
      <w:bookmarkEnd w:id="80"/>
      <w:bookmarkEnd w:id="81"/>
    </w:p>
    <w:p w14:paraId="0B614589">
      <w:pPr>
        <w:pStyle w:val="4"/>
        <w:numPr>
          <w:ilvl w:val="0"/>
          <w:numId w:val="22"/>
        </w:numPr>
        <w:ind w:left="420" w:firstLine="361" w:firstLineChars="113"/>
      </w:pPr>
      <w:r>
        <w:t>规划分区</w:t>
      </w:r>
    </w:p>
    <w:p w14:paraId="2DB55C82">
      <w:pPr>
        <w:ind w:firstLine="640"/>
        <w:rPr>
          <w:rFonts w:cs="Times New Roman"/>
        </w:rPr>
      </w:pPr>
      <w:r>
        <w:rPr>
          <w:rFonts w:cs="Times New Roman"/>
        </w:rPr>
        <w:t>结合乡中心区空间结构，优化功能布局，将乡中心区细化为居住生活区、综合服务区、商业商务区、绿地休闲区、工业发展区等5类分区。其中居住生活区8.24公顷，重点提升和完善配套设施，增加公共空间，提升居住环境质量；综合服务区1.71公顷，应完善公共服务设施体系，充分考虑服务半径，打造中心区特色和标志性空间；商业商务区</w:t>
      </w:r>
      <w:r>
        <w:rPr>
          <w:rFonts w:hint="eastAsia" w:cs="Times New Roman"/>
        </w:rPr>
        <w:t>16.43</w:t>
      </w:r>
      <w:r>
        <w:rPr>
          <w:rFonts w:cs="Times New Roman"/>
        </w:rPr>
        <w:t>公顷，以提供商业休闲、商务办公为主要功能导向；绿地休闲区0.38公顷，应加强品质建设，打造舒适宜人的城镇公共空间；工业发展区</w:t>
      </w:r>
      <w:r>
        <w:rPr>
          <w:rFonts w:hint="eastAsia" w:cs="Times New Roman"/>
        </w:rPr>
        <w:t>5.48</w:t>
      </w:r>
      <w:r>
        <w:rPr>
          <w:rFonts w:cs="Times New Roman"/>
        </w:rPr>
        <w:t>公顷，应引导新增工矿用地向产业区集中布局，加强产城融合与产业区服务配套建设。交通枢纽区</w:t>
      </w:r>
      <w:r>
        <w:rPr>
          <w:rFonts w:hint="eastAsia" w:cs="Times New Roman"/>
        </w:rPr>
        <w:t>3.13</w:t>
      </w:r>
      <w:r>
        <w:rPr>
          <w:rFonts w:cs="Times New Roman"/>
        </w:rPr>
        <w:t>公顷、物流仓储区0.72公顷。</w:t>
      </w:r>
    </w:p>
    <w:p w14:paraId="21AAA27F">
      <w:pPr>
        <w:ind w:firstLine="640"/>
        <w:rPr>
          <w:rFonts w:cs="Times New Roman"/>
        </w:rPr>
      </w:pPr>
    </w:p>
    <w:p w14:paraId="2A28AF9D">
      <w:pPr>
        <w:ind w:firstLine="640"/>
        <w:rPr>
          <w:rFonts w:cs="Times New Roman"/>
        </w:rPr>
      </w:pPr>
    </w:p>
    <w:p w14:paraId="75E5ECD4">
      <w:pPr>
        <w:ind w:firstLine="640"/>
        <w:rPr>
          <w:rFonts w:cs="Times New Roman"/>
        </w:rPr>
      </w:pPr>
    </w:p>
    <w:p w14:paraId="10BB7635">
      <w:pPr>
        <w:ind w:firstLine="640"/>
        <w:rPr>
          <w:rFonts w:cs="Times New Roman"/>
        </w:rPr>
      </w:pPr>
    </w:p>
    <w:p w14:paraId="02B28608">
      <w:pPr>
        <w:ind w:firstLine="640"/>
        <w:rPr>
          <w:rFonts w:cs="Times New Roman"/>
        </w:rPr>
      </w:pPr>
    </w:p>
    <w:p w14:paraId="15CC8BEB">
      <w:pPr>
        <w:ind w:firstLine="640"/>
        <w:rPr>
          <w:rFonts w:cs="Times New Roman"/>
        </w:rPr>
      </w:pPr>
    </w:p>
    <w:p w14:paraId="632073E3">
      <w:pPr>
        <w:ind w:firstLine="640"/>
        <w:rPr>
          <w:rFonts w:cs="Times New Roman"/>
        </w:rPr>
      </w:pPr>
    </w:p>
    <w:p w14:paraId="6F0AC12D">
      <w:pPr>
        <w:ind w:firstLine="640"/>
        <w:rPr>
          <w:rFonts w:cs="Times New Roman"/>
        </w:rPr>
      </w:pPr>
    </w:p>
    <w:tbl>
      <w:tblPr>
        <w:tblStyle w:val="15"/>
        <w:tblW w:w="8318" w:type="dxa"/>
        <w:tblInd w:w="93" w:type="dxa"/>
        <w:tblLayout w:type="autofit"/>
        <w:tblCellMar>
          <w:top w:w="0" w:type="dxa"/>
          <w:left w:w="108" w:type="dxa"/>
          <w:bottom w:w="0" w:type="dxa"/>
          <w:right w:w="108" w:type="dxa"/>
        </w:tblCellMar>
      </w:tblPr>
      <w:tblGrid>
        <w:gridCol w:w="748"/>
        <w:gridCol w:w="2835"/>
        <w:gridCol w:w="1276"/>
        <w:gridCol w:w="1134"/>
        <w:gridCol w:w="1134"/>
        <w:gridCol w:w="1191"/>
      </w:tblGrid>
      <w:tr w14:paraId="5FD7DF8F">
        <w:tblPrEx>
          <w:tblCellMar>
            <w:top w:w="0" w:type="dxa"/>
            <w:left w:w="108" w:type="dxa"/>
            <w:bottom w:w="0" w:type="dxa"/>
            <w:right w:w="108" w:type="dxa"/>
          </w:tblCellMar>
        </w:tblPrEx>
        <w:trPr>
          <w:trHeight w:val="20" w:hRule="atLeast"/>
        </w:trPr>
        <w:tc>
          <w:tcPr>
            <w:tcW w:w="748" w:type="dxa"/>
            <w:vMerge w:val="restart"/>
            <w:tcBorders>
              <w:top w:val="single" w:color="000000" w:sz="8" w:space="0"/>
              <w:left w:val="single" w:color="000000" w:sz="8" w:space="0"/>
              <w:bottom w:val="single" w:color="000000" w:sz="8" w:space="0"/>
              <w:right w:val="single" w:color="000000" w:sz="8" w:space="0"/>
            </w:tcBorders>
            <w:vAlign w:val="center"/>
          </w:tcPr>
          <w:p w14:paraId="0AA1C2E7">
            <w:pPr>
              <w:spacing w:line="240" w:lineRule="auto"/>
              <w:ind w:firstLine="0" w:firstLineChars="0"/>
              <w:jc w:val="center"/>
              <w:rPr>
                <w:rFonts w:eastAsia="仿宋" w:cs="Times New Roman"/>
                <w:b/>
                <w:bCs/>
                <w:sz w:val="21"/>
                <w:lang w:bidi="zh-CN"/>
              </w:rPr>
            </w:pPr>
            <w:r>
              <w:rPr>
                <w:rFonts w:eastAsia="仿宋" w:cs="Times New Roman"/>
                <w:b/>
                <w:bCs/>
                <w:sz w:val="21"/>
                <w:lang w:bidi="zh-CN"/>
              </w:rPr>
              <w:t>序号</w:t>
            </w:r>
          </w:p>
        </w:tc>
        <w:tc>
          <w:tcPr>
            <w:tcW w:w="2835" w:type="dxa"/>
            <w:vMerge w:val="restart"/>
            <w:tcBorders>
              <w:top w:val="single" w:color="000000" w:sz="8" w:space="0"/>
              <w:left w:val="single" w:color="000000" w:sz="8" w:space="0"/>
              <w:bottom w:val="single" w:color="000000" w:sz="8" w:space="0"/>
              <w:right w:val="single" w:color="000000" w:sz="8" w:space="0"/>
            </w:tcBorders>
            <w:vAlign w:val="center"/>
          </w:tcPr>
          <w:p w14:paraId="7ABECC97">
            <w:pPr>
              <w:spacing w:line="240" w:lineRule="auto"/>
              <w:ind w:firstLine="0" w:firstLineChars="0"/>
              <w:jc w:val="center"/>
              <w:rPr>
                <w:rFonts w:eastAsia="仿宋" w:cs="Times New Roman"/>
                <w:b/>
                <w:bCs/>
                <w:sz w:val="21"/>
                <w:lang w:bidi="zh-CN"/>
              </w:rPr>
            </w:pPr>
            <w:r>
              <w:rPr>
                <w:rFonts w:eastAsia="仿宋" w:cs="Times New Roman"/>
                <w:b/>
                <w:bCs/>
                <w:sz w:val="21"/>
                <w:lang w:bidi="zh-CN"/>
              </w:rPr>
              <w:t>用地类型</w:t>
            </w:r>
          </w:p>
        </w:tc>
        <w:tc>
          <w:tcPr>
            <w:tcW w:w="2410" w:type="dxa"/>
            <w:gridSpan w:val="2"/>
            <w:tcBorders>
              <w:top w:val="single" w:color="000000" w:sz="8" w:space="0"/>
              <w:left w:val="single" w:color="000000" w:sz="8" w:space="0"/>
              <w:bottom w:val="single" w:color="000000" w:sz="8" w:space="0"/>
              <w:right w:val="single" w:color="000000" w:sz="8" w:space="0"/>
            </w:tcBorders>
            <w:vAlign w:val="center"/>
          </w:tcPr>
          <w:p w14:paraId="04BBB14C">
            <w:pPr>
              <w:spacing w:line="240" w:lineRule="auto"/>
              <w:ind w:firstLine="0" w:firstLineChars="0"/>
              <w:jc w:val="center"/>
              <w:rPr>
                <w:rFonts w:eastAsia="仿宋" w:cs="Times New Roman"/>
                <w:b/>
                <w:bCs/>
                <w:sz w:val="21"/>
                <w:lang w:bidi="zh-CN"/>
              </w:rPr>
            </w:pPr>
            <w:r>
              <w:rPr>
                <w:rFonts w:eastAsia="仿宋" w:cs="Times New Roman"/>
                <w:b/>
                <w:bCs/>
                <w:sz w:val="21"/>
                <w:lang w:bidi="zh-CN"/>
              </w:rPr>
              <w:t>规划基期年</w:t>
            </w:r>
          </w:p>
        </w:tc>
        <w:tc>
          <w:tcPr>
            <w:tcW w:w="2325" w:type="dxa"/>
            <w:gridSpan w:val="2"/>
            <w:tcBorders>
              <w:top w:val="single" w:color="000000" w:sz="8" w:space="0"/>
              <w:left w:val="single" w:color="000000" w:sz="8" w:space="0"/>
              <w:bottom w:val="single" w:color="000000" w:sz="8" w:space="0"/>
              <w:right w:val="single" w:color="000000" w:sz="8" w:space="0"/>
            </w:tcBorders>
            <w:vAlign w:val="center"/>
          </w:tcPr>
          <w:p w14:paraId="2F8D6E94">
            <w:pPr>
              <w:spacing w:line="240" w:lineRule="auto"/>
              <w:ind w:firstLine="0" w:firstLineChars="0"/>
              <w:jc w:val="center"/>
              <w:rPr>
                <w:rFonts w:eastAsia="仿宋" w:cs="Times New Roman"/>
                <w:b/>
                <w:bCs/>
                <w:sz w:val="21"/>
                <w:lang w:bidi="zh-CN"/>
              </w:rPr>
            </w:pPr>
            <w:r>
              <w:rPr>
                <w:rFonts w:eastAsia="仿宋" w:cs="Times New Roman"/>
                <w:b/>
                <w:bCs/>
                <w:sz w:val="21"/>
                <w:lang w:bidi="zh-CN"/>
              </w:rPr>
              <w:t>规划目标年</w:t>
            </w:r>
          </w:p>
        </w:tc>
      </w:tr>
      <w:tr w14:paraId="6ADFD1D3">
        <w:tblPrEx>
          <w:tblCellMar>
            <w:top w:w="0" w:type="dxa"/>
            <w:left w:w="108" w:type="dxa"/>
            <w:bottom w:w="0" w:type="dxa"/>
            <w:right w:w="108" w:type="dxa"/>
          </w:tblCellMar>
        </w:tblPrEx>
        <w:trPr>
          <w:trHeight w:val="20" w:hRule="atLeast"/>
        </w:trPr>
        <w:tc>
          <w:tcPr>
            <w:tcW w:w="748" w:type="dxa"/>
            <w:vMerge w:val="continue"/>
            <w:tcBorders>
              <w:top w:val="single" w:color="000000" w:sz="8" w:space="0"/>
              <w:left w:val="single" w:color="000000" w:sz="8" w:space="0"/>
              <w:bottom w:val="single" w:color="000000" w:sz="8" w:space="0"/>
              <w:right w:val="single" w:color="000000" w:sz="8" w:space="0"/>
            </w:tcBorders>
            <w:vAlign w:val="center"/>
          </w:tcPr>
          <w:p w14:paraId="77A848D6">
            <w:pPr>
              <w:spacing w:line="240" w:lineRule="auto"/>
              <w:ind w:firstLine="0" w:firstLineChars="0"/>
              <w:jc w:val="center"/>
              <w:rPr>
                <w:rFonts w:eastAsia="仿宋" w:cs="Times New Roman"/>
                <w:b/>
                <w:bCs/>
                <w:sz w:val="21"/>
                <w:lang w:bidi="zh-CN"/>
              </w:rPr>
            </w:pPr>
          </w:p>
        </w:tc>
        <w:tc>
          <w:tcPr>
            <w:tcW w:w="2835" w:type="dxa"/>
            <w:vMerge w:val="continue"/>
            <w:tcBorders>
              <w:top w:val="single" w:color="000000" w:sz="8" w:space="0"/>
              <w:left w:val="single" w:color="000000" w:sz="8" w:space="0"/>
              <w:bottom w:val="single" w:color="000000" w:sz="8" w:space="0"/>
              <w:right w:val="single" w:color="000000" w:sz="8" w:space="0"/>
            </w:tcBorders>
            <w:vAlign w:val="center"/>
          </w:tcPr>
          <w:p w14:paraId="0DFF3C6C">
            <w:pPr>
              <w:spacing w:line="240" w:lineRule="auto"/>
              <w:ind w:firstLine="0" w:firstLineChars="0"/>
              <w:jc w:val="center"/>
              <w:rPr>
                <w:rFonts w:eastAsia="仿宋" w:cs="Times New Roman"/>
                <w:b/>
                <w:bCs/>
                <w:sz w:val="21"/>
                <w:lang w:bidi="zh-CN"/>
              </w:rPr>
            </w:pPr>
          </w:p>
        </w:tc>
        <w:tc>
          <w:tcPr>
            <w:tcW w:w="1276" w:type="dxa"/>
            <w:tcBorders>
              <w:top w:val="nil"/>
              <w:left w:val="single" w:color="000000" w:sz="8" w:space="0"/>
              <w:bottom w:val="single" w:color="000000" w:sz="8" w:space="0"/>
              <w:right w:val="single" w:color="000000" w:sz="8" w:space="0"/>
            </w:tcBorders>
            <w:vAlign w:val="center"/>
          </w:tcPr>
          <w:p w14:paraId="13BDA652">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c>
          <w:tcPr>
            <w:tcW w:w="1134" w:type="dxa"/>
            <w:tcBorders>
              <w:top w:val="nil"/>
              <w:left w:val="single" w:color="000000" w:sz="8" w:space="0"/>
              <w:bottom w:val="single" w:color="000000" w:sz="8" w:space="0"/>
              <w:right w:val="single" w:color="000000" w:sz="8" w:space="0"/>
            </w:tcBorders>
            <w:vAlign w:val="center"/>
          </w:tcPr>
          <w:p w14:paraId="6DA25C45">
            <w:pPr>
              <w:spacing w:line="240" w:lineRule="auto"/>
              <w:ind w:firstLine="0" w:firstLineChars="0"/>
              <w:jc w:val="center"/>
              <w:rPr>
                <w:rFonts w:eastAsia="仿宋" w:cs="Times New Roman"/>
                <w:b/>
                <w:bCs/>
                <w:sz w:val="21"/>
                <w:lang w:bidi="zh-CN"/>
              </w:rPr>
            </w:pPr>
            <w:r>
              <w:rPr>
                <w:rFonts w:eastAsia="仿宋" w:cs="Times New Roman"/>
                <w:b/>
                <w:bCs/>
                <w:sz w:val="21"/>
                <w:lang w:bidi="zh-CN"/>
              </w:rPr>
              <w:t>比例</w:t>
            </w:r>
          </w:p>
        </w:tc>
        <w:tc>
          <w:tcPr>
            <w:tcW w:w="1134" w:type="dxa"/>
            <w:tcBorders>
              <w:top w:val="single" w:color="000000" w:sz="8" w:space="0"/>
              <w:left w:val="single" w:color="000000" w:sz="8" w:space="0"/>
              <w:bottom w:val="single" w:color="000000" w:sz="8" w:space="0"/>
              <w:right w:val="single" w:color="000000" w:sz="8" w:space="0"/>
            </w:tcBorders>
            <w:vAlign w:val="center"/>
          </w:tcPr>
          <w:p w14:paraId="08BAC406">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c>
          <w:tcPr>
            <w:tcW w:w="1191" w:type="dxa"/>
            <w:tcBorders>
              <w:top w:val="single" w:color="000000" w:sz="8" w:space="0"/>
              <w:left w:val="single" w:color="000000" w:sz="8" w:space="0"/>
              <w:bottom w:val="single" w:color="000000" w:sz="8" w:space="0"/>
              <w:right w:val="single" w:color="000000" w:sz="8" w:space="0"/>
            </w:tcBorders>
            <w:vAlign w:val="center"/>
          </w:tcPr>
          <w:p w14:paraId="7FFEBE84">
            <w:pPr>
              <w:spacing w:line="240" w:lineRule="auto"/>
              <w:ind w:firstLine="0" w:firstLineChars="0"/>
              <w:jc w:val="center"/>
              <w:rPr>
                <w:rFonts w:eastAsia="仿宋" w:cs="Times New Roman"/>
                <w:b/>
                <w:bCs/>
                <w:sz w:val="21"/>
                <w:lang w:bidi="zh-CN"/>
              </w:rPr>
            </w:pPr>
            <w:r>
              <w:rPr>
                <w:rFonts w:eastAsia="仿宋" w:cs="Times New Roman"/>
                <w:b/>
                <w:bCs/>
                <w:sz w:val="21"/>
                <w:lang w:bidi="zh-CN"/>
              </w:rPr>
              <w:t>比例</w:t>
            </w:r>
          </w:p>
        </w:tc>
      </w:tr>
      <w:tr w14:paraId="5150CAD3">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27817FDE">
            <w:pPr>
              <w:spacing w:line="240" w:lineRule="auto"/>
              <w:ind w:firstLine="0" w:firstLineChars="0"/>
              <w:jc w:val="center"/>
              <w:rPr>
                <w:rFonts w:eastAsia="仿宋" w:cs="Times New Roman"/>
                <w:sz w:val="21"/>
                <w:lang w:bidi="zh-CN"/>
              </w:rPr>
            </w:pPr>
            <w:r>
              <w:rPr>
                <w:rFonts w:eastAsia="仿宋" w:cs="Times New Roman"/>
                <w:sz w:val="21"/>
                <w:lang w:bidi="zh-CN"/>
              </w:rPr>
              <w:t>1</w:t>
            </w:r>
          </w:p>
        </w:tc>
        <w:tc>
          <w:tcPr>
            <w:tcW w:w="2835" w:type="dxa"/>
            <w:tcBorders>
              <w:top w:val="nil"/>
              <w:left w:val="single" w:color="000000" w:sz="8" w:space="0"/>
              <w:bottom w:val="single" w:color="000000" w:sz="8" w:space="0"/>
              <w:right w:val="single" w:color="000000" w:sz="8" w:space="0"/>
            </w:tcBorders>
            <w:vAlign w:val="center"/>
          </w:tcPr>
          <w:p w14:paraId="2E133700">
            <w:pPr>
              <w:spacing w:line="240" w:lineRule="auto"/>
              <w:ind w:firstLine="0" w:firstLineChars="0"/>
              <w:jc w:val="center"/>
              <w:rPr>
                <w:rFonts w:eastAsia="仿宋" w:cs="Times New Roman"/>
                <w:sz w:val="21"/>
                <w:lang w:bidi="zh-CN"/>
              </w:rPr>
            </w:pPr>
            <w:r>
              <w:rPr>
                <w:rFonts w:eastAsia="仿宋" w:cs="Times New Roman"/>
                <w:sz w:val="21"/>
                <w:lang w:bidi="zh-CN"/>
              </w:rPr>
              <w:t>居住用地</w:t>
            </w:r>
          </w:p>
        </w:tc>
        <w:tc>
          <w:tcPr>
            <w:tcW w:w="1276" w:type="dxa"/>
            <w:tcBorders>
              <w:top w:val="nil"/>
              <w:left w:val="single" w:color="000000" w:sz="8" w:space="0"/>
              <w:bottom w:val="single" w:color="000000" w:sz="8" w:space="0"/>
              <w:right w:val="single" w:color="000000" w:sz="8" w:space="0"/>
            </w:tcBorders>
            <w:vAlign w:val="center"/>
          </w:tcPr>
          <w:p w14:paraId="3231BC30">
            <w:pPr>
              <w:spacing w:line="240" w:lineRule="auto"/>
              <w:ind w:firstLine="0" w:firstLineChars="0"/>
              <w:jc w:val="center"/>
              <w:rPr>
                <w:rFonts w:eastAsia="仿宋" w:cs="Times New Roman"/>
                <w:sz w:val="21"/>
                <w:lang w:bidi="zh-CN"/>
              </w:rPr>
            </w:pPr>
            <w:r>
              <w:rPr>
                <w:rFonts w:eastAsia="仿宋" w:cs="Times New Roman"/>
                <w:sz w:val="21"/>
                <w:lang w:bidi="zh-CN"/>
              </w:rPr>
              <w:t>11.38</w:t>
            </w:r>
          </w:p>
        </w:tc>
        <w:tc>
          <w:tcPr>
            <w:tcW w:w="1134" w:type="dxa"/>
            <w:tcBorders>
              <w:top w:val="nil"/>
              <w:left w:val="single" w:color="000000" w:sz="8" w:space="0"/>
              <w:bottom w:val="single" w:color="000000" w:sz="8" w:space="0"/>
              <w:right w:val="single" w:color="000000" w:sz="8" w:space="0"/>
            </w:tcBorders>
            <w:vAlign w:val="bottom"/>
          </w:tcPr>
          <w:p w14:paraId="390D5854">
            <w:pPr>
              <w:widowControl/>
              <w:spacing w:line="240" w:lineRule="auto"/>
              <w:ind w:firstLine="0" w:firstLineChars="0"/>
              <w:jc w:val="center"/>
              <w:rPr>
                <w:rFonts w:eastAsia="仿宋" w:cs="Times New Roman"/>
                <w:sz w:val="21"/>
                <w:lang w:bidi="zh-CN"/>
              </w:rPr>
            </w:pPr>
            <w:r>
              <w:rPr>
                <w:rFonts w:eastAsia="仿宋" w:cs="Times New Roman"/>
                <w:sz w:val="21"/>
                <w:lang w:bidi="zh-CN"/>
              </w:rPr>
              <w:t>79.30</w:t>
            </w:r>
          </w:p>
        </w:tc>
        <w:tc>
          <w:tcPr>
            <w:tcW w:w="1134" w:type="dxa"/>
            <w:tcBorders>
              <w:top w:val="nil"/>
              <w:left w:val="single" w:color="000000" w:sz="8" w:space="0"/>
              <w:bottom w:val="single" w:color="000000" w:sz="8" w:space="0"/>
              <w:right w:val="single" w:color="000000" w:sz="8" w:space="0"/>
            </w:tcBorders>
            <w:vAlign w:val="bottom"/>
          </w:tcPr>
          <w:p w14:paraId="50024EA7">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8.24 </w:t>
            </w:r>
          </w:p>
        </w:tc>
        <w:tc>
          <w:tcPr>
            <w:tcW w:w="1191" w:type="dxa"/>
            <w:tcBorders>
              <w:top w:val="nil"/>
              <w:left w:val="single" w:color="000000" w:sz="8" w:space="0"/>
              <w:bottom w:val="single" w:color="000000" w:sz="8" w:space="0"/>
              <w:right w:val="single" w:color="000000" w:sz="8" w:space="0"/>
            </w:tcBorders>
            <w:vAlign w:val="bottom"/>
          </w:tcPr>
          <w:p w14:paraId="03904918">
            <w:pPr>
              <w:widowControl/>
              <w:spacing w:line="240" w:lineRule="auto"/>
              <w:ind w:firstLine="0" w:firstLineChars="0"/>
              <w:jc w:val="center"/>
              <w:rPr>
                <w:rFonts w:eastAsia="仿宋" w:cs="Times New Roman"/>
                <w:sz w:val="21"/>
                <w:lang w:bidi="zh-CN"/>
              </w:rPr>
            </w:pPr>
            <w:r>
              <w:rPr>
                <w:rFonts w:eastAsia="仿宋" w:cs="Times New Roman"/>
                <w:sz w:val="21"/>
                <w:lang w:bidi="zh-CN"/>
              </w:rPr>
              <w:t>22.49%</w:t>
            </w:r>
          </w:p>
        </w:tc>
      </w:tr>
      <w:tr w14:paraId="24EB5A0C">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2381E7D5">
            <w:pPr>
              <w:spacing w:line="240" w:lineRule="auto"/>
              <w:ind w:firstLine="0" w:firstLineChars="0"/>
              <w:jc w:val="center"/>
              <w:rPr>
                <w:rFonts w:eastAsia="仿宋" w:cs="Times New Roman"/>
                <w:sz w:val="21"/>
                <w:lang w:bidi="zh-CN"/>
              </w:rPr>
            </w:pPr>
            <w:r>
              <w:rPr>
                <w:rFonts w:eastAsia="仿宋" w:cs="Times New Roman"/>
                <w:sz w:val="21"/>
                <w:lang w:bidi="zh-CN"/>
              </w:rPr>
              <w:t>2</w:t>
            </w:r>
          </w:p>
        </w:tc>
        <w:tc>
          <w:tcPr>
            <w:tcW w:w="2835" w:type="dxa"/>
            <w:tcBorders>
              <w:top w:val="nil"/>
              <w:left w:val="single" w:color="000000" w:sz="8" w:space="0"/>
              <w:bottom w:val="single" w:color="000000" w:sz="8" w:space="0"/>
              <w:right w:val="single" w:color="000000" w:sz="8" w:space="0"/>
            </w:tcBorders>
            <w:vAlign w:val="center"/>
          </w:tcPr>
          <w:p w14:paraId="49A78E6D">
            <w:pPr>
              <w:spacing w:line="240" w:lineRule="auto"/>
              <w:ind w:firstLine="0" w:firstLineChars="0"/>
              <w:jc w:val="center"/>
              <w:rPr>
                <w:rFonts w:eastAsia="仿宋" w:cs="Times New Roman"/>
                <w:sz w:val="21"/>
                <w:lang w:bidi="zh-CN"/>
              </w:rPr>
            </w:pPr>
            <w:r>
              <w:rPr>
                <w:rFonts w:eastAsia="仿宋" w:cs="Times New Roman"/>
                <w:sz w:val="21"/>
                <w:lang w:bidi="zh-CN"/>
              </w:rPr>
              <w:t>公共管理与公共服务用地</w:t>
            </w:r>
          </w:p>
        </w:tc>
        <w:tc>
          <w:tcPr>
            <w:tcW w:w="1276" w:type="dxa"/>
            <w:tcBorders>
              <w:top w:val="nil"/>
              <w:left w:val="single" w:color="000000" w:sz="8" w:space="0"/>
              <w:bottom w:val="single" w:color="000000" w:sz="8" w:space="0"/>
              <w:right w:val="single" w:color="000000" w:sz="8" w:space="0"/>
            </w:tcBorders>
            <w:vAlign w:val="center"/>
          </w:tcPr>
          <w:p w14:paraId="3C0FC058">
            <w:pPr>
              <w:spacing w:line="240" w:lineRule="auto"/>
              <w:ind w:firstLine="0" w:firstLineChars="0"/>
              <w:jc w:val="center"/>
              <w:rPr>
                <w:rFonts w:eastAsia="仿宋" w:cs="Times New Roman"/>
                <w:sz w:val="21"/>
                <w:lang w:bidi="zh-CN"/>
              </w:rPr>
            </w:pPr>
            <w:r>
              <w:rPr>
                <w:rFonts w:eastAsia="仿宋" w:cs="Times New Roman"/>
                <w:sz w:val="21"/>
                <w:lang w:bidi="zh-CN"/>
              </w:rPr>
              <w:t>1.02</w:t>
            </w:r>
          </w:p>
        </w:tc>
        <w:tc>
          <w:tcPr>
            <w:tcW w:w="1134" w:type="dxa"/>
            <w:tcBorders>
              <w:top w:val="nil"/>
              <w:left w:val="single" w:color="000000" w:sz="8" w:space="0"/>
              <w:bottom w:val="single" w:color="000000" w:sz="8" w:space="0"/>
              <w:right w:val="single" w:color="000000" w:sz="8" w:space="0"/>
            </w:tcBorders>
            <w:vAlign w:val="bottom"/>
          </w:tcPr>
          <w:p w14:paraId="4352B427">
            <w:pPr>
              <w:widowControl/>
              <w:spacing w:line="240" w:lineRule="auto"/>
              <w:ind w:firstLine="0" w:firstLineChars="0"/>
              <w:jc w:val="center"/>
              <w:rPr>
                <w:rFonts w:eastAsia="仿宋" w:cs="Times New Roman"/>
                <w:sz w:val="21"/>
                <w:lang w:bidi="zh-CN"/>
              </w:rPr>
            </w:pPr>
            <w:r>
              <w:rPr>
                <w:rFonts w:eastAsia="仿宋" w:cs="Times New Roman"/>
                <w:sz w:val="21"/>
                <w:lang w:bidi="zh-CN"/>
              </w:rPr>
              <w:t>7.11</w:t>
            </w:r>
          </w:p>
        </w:tc>
        <w:tc>
          <w:tcPr>
            <w:tcW w:w="1134" w:type="dxa"/>
            <w:tcBorders>
              <w:top w:val="nil"/>
              <w:left w:val="single" w:color="000000" w:sz="8" w:space="0"/>
              <w:bottom w:val="single" w:color="000000" w:sz="8" w:space="0"/>
              <w:right w:val="single" w:color="000000" w:sz="8" w:space="0"/>
            </w:tcBorders>
            <w:vAlign w:val="bottom"/>
          </w:tcPr>
          <w:p w14:paraId="56D6213F">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1.71 </w:t>
            </w:r>
          </w:p>
        </w:tc>
        <w:tc>
          <w:tcPr>
            <w:tcW w:w="1191" w:type="dxa"/>
            <w:tcBorders>
              <w:top w:val="nil"/>
              <w:left w:val="single" w:color="000000" w:sz="8" w:space="0"/>
              <w:bottom w:val="single" w:color="000000" w:sz="8" w:space="0"/>
              <w:right w:val="single" w:color="000000" w:sz="8" w:space="0"/>
            </w:tcBorders>
            <w:vAlign w:val="bottom"/>
          </w:tcPr>
          <w:p w14:paraId="6FC648FF">
            <w:pPr>
              <w:widowControl/>
              <w:spacing w:line="240" w:lineRule="auto"/>
              <w:ind w:firstLine="0" w:firstLineChars="0"/>
              <w:jc w:val="center"/>
              <w:rPr>
                <w:rFonts w:eastAsia="仿宋" w:cs="Times New Roman"/>
                <w:sz w:val="21"/>
                <w:lang w:bidi="zh-CN"/>
              </w:rPr>
            </w:pPr>
            <w:r>
              <w:rPr>
                <w:rFonts w:eastAsia="仿宋" w:cs="Times New Roman"/>
                <w:sz w:val="21"/>
                <w:lang w:bidi="zh-CN"/>
              </w:rPr>
              <w:t>4.66%</w:t>
            </w:r>
          </w:p>
        </w:tc>
      </w:tr>
      <w:tr w14:paraId="25BAD210">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73EA3820">
            <w:pPr>
              <w:spacing w:line="240" w:lineRule="auto"/>
              <w:ind w:firstLine="0" w:firstLineChars="0"/>
              <w:jc w:val="center"/>
              <w:rPr>
                <w:rFonts w:eastAsia="仿宋" w:cs="Times New Roman"/>
                <w:sz w:val="21"/>
                <w:lang w:bidi="zh-CN"/>
              </w:rPr>
            </w:pPr>
            <w:r>
              <w:rPr>
                <w:rFonts w:eastAsia="仿宋" w:cs="Times New Roman"/>
                <w:sz w:val="21"/>
                <w:lang w:bidi="zh-CN"/>
              </w:rPr>
              <w:t>3</w:t>
            </w:r>
          </w:p>
        </w:tc>
        <w:tc>
          <w:tcPr>
            <w:tcW w:w="2835" w:type="dxa"/>
            <w:tcBorders>
              <w:top w:val="nil"/>
              <w:left w:val="single" w:color="000000" w:sz="8" w:space="0"/>
              <w:bottom w:val="single" w:color="000000" w:sz="8" w:space="0"/>
              <w:right w:val="single" w:color="000000" w:sz="8" w:space="0"/>
            </w:tcBorders>
            <w:vAlign w:val="center"/>
          </w:tcPr>
          <w:p w14:paraId="7B78258C">
            <w:pPr>
              <w:spacing w:line="240" w:lineRule="auto"/>
              <w:ind w:firstLine="0" w:firstLineChars="0"/>
              <w:jc w:val="center"/>
              <w:rPr>
                <w:rFonts w:eastAsia="仿宋" w:cs="Times New Roman"/>
                <w:sz w:val="21"/>
                <w:lang w:bidi="zh-CN"/>
              </w:rPr>
            </w:pPr>
            <w:r>
              <w:rPr>
                <w:rFonts w:eastAsia="仿宋" w:cs="Times New Roman"/>
                <w:sz w:val="21"/>
                <w:lang w:bidi="zh-CN"/>
              </w:rPr>
              <w:t>商业服务业用地</w:t>
            </w:r>
          </w:p>
        </w:tc>
        <w:tc>
          <w:tcPr>
            <w:tcW w:w="1276" w:type="dxa"/>
            <w:tcBorders>
              <w:top w:val="nil"/>
              <w:left w:val="single" w:color="000000" w:sz="8" w:space="0"/>
              <w:bottom w:val="single" w:color="000000" w:sz="8" w:space="0"/>
              <w:right w:val="single" w:color="000000" w:sz="8" w:space="0"/>
            </w:tcBorders>
            <w:vAlign w:val="center"/>
          </w:tcPr>
          <w:p w14:paraId="4B456ADD">
            <w:pPr>
              <w:spacing w:line="240" w:lineRule="auto"/>
              <w:ind w:firstLine="0" w:firstLineChars="0"/>
              <w:jc w:val="center"/>
              <w:rPr>
                <w:rFonts w:eastAsia="仿宋" w:cs="Times New Roman"/>
                <w:sz w:val="21"/>
                <w:lang w:bidi="zh-CN"/>
              </w:rPr>
            </w:pPr>
            <w:r>
              <w:rPr>
                <w:rFonts w:eastAsia="仿宋" w:cs="Times New Roman"/>
                <w:sz w:val="21"/>
                <w:lang w:bidi="zh-CN"/>
              </w:rPr>
              <w:t>0.08</w:t>
            </w:r>
          </w:p>
        </w:tc>
        <w:tc>
          <w:tcPr>
            <w:tcW w:w="1134" w:type="dxa"/>
            <w:tcBorders>
              <w:top w:val="nil"/>
              <w:left w:val="single" w:color="000000" w:sz="8" w:space="0"/>
              <w:bottom w:val="single" w:color="000000" w:sz="8" w:space="0"/>
              <w:right w:val="single" w:color="000000" w:sz="8" w:space="0"/>
            </w:tcBorders>
            <w:vAlign w:val="bottom"/>
          </w:tcPr>
          <w:p w14:paraId="412175A1">
            <w:pPr>
              <w:widowControl/>
              <w:spacing w:line="240" w:lineRule="auto"/>
              <w:ind w:firstLine="0" w:firstLineChars="0"/>
              <w:jc w:val="center"/>
              <w:rPr>
                <w:rFonts w:eastAsia="仿宋" w:cs="Times New Roman"/>
                <w:sz w:val="21"/>
                <w:lang w:bidi="zh-CN"/>
              </w:rPr>
            </w:pPr>
            <w:r>
              <w:rPr>
                <w:rFonts w:eastAsia="仿宋" w:cs="Times New Roman"/>
                <w:sz w:val="21"/>
                <w:lang w:bidi="zh-CN"/>
              </w:rPr>
              <w:t>0.56</w:t>
            </w:r>
          </w:p>
        </w:tc>
        <w:tc>
          <w:tcPr>
            <w:tcW w:w="1134" w:type="dxa"/>
            <w:tcBorders>
              <w:top w:val="nil"/>
              <w:left w:val="single" w:color="000000" w:sz="8" w:space="0"/>
              <w:bottom w:val="single" w:color="000000" w:sz="8" w:space="0"/>
              <w:right w:val="single" w:color="000000" w:sz="8" w:space="0"/>
            </w:tcBorders>
            <w:vAlign w:val="bottom"/>
          </w:tcPr>
          <w:p w14:paraId="3BAA770F">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16.43 </w:t>
            </w:r>
          </w:p>
        </w:tc>
        <w:tc>
          <w:tcPr>
            <w:tcW w:w="1191" w:type="dxa"/>
            <w:tcBorders>
              <w:top w:val="nil"/>
              <w:left w:val="single" w:color="000000" w:sz="8" w:space="0"/>
              <w:bottom w:val="single" w:color="000000" w:sz="8" w:space="0"/>
              <w:right w:val="single" w:color="000000" w:sz="8" w:space="0"/>
            </w:tcBorders>
            <w:vAlign w:val="bottom"/>
          </w:tcPr>
          <w:p w14:paraId="15A63E90">
            <w:pPr>
              <w:widowControl/>
              <w:spacing w:line="240" w:lineRule="auto"/>
              <w:ind w:firstLine="0" w:firstLineChars="0"/>
              <w:jc w:val="center"/>
              <w:rPr>
                <w:rFonts w:eastAsia="仿宋" w:cs="Times New Roman"/>
                <w:sz w:val="21"/>
                <w:lang w:bidi="zh-CN"/>
              </w:rPr>
            </w:pPr>
            <w:r>
              <w:rPr>
                <w:rFonts w:eastAsia="仿宋" w:cs="Times New Roman"/>
                <w:sz w:val="21"/>
                <w:lang w:bidi="zh-CN"/>
              </w:rPr>
              <w:t>44.87%</w:t>
            </w:r>
          </w:p>
        </w:tc>
      </w:tr>
      <w:tr w14:paraId="0D41E599">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0B1968B0">
            <w:pPr>
              <w:spacing w:line="240" w:lineRule="auto"/>
              <w:ind w:firstLine="0" w:firstLineChars="0"/>
              <w:jc w:val="center"/>
              <w:rPr>
                <w:rFonts w:eastAsia="仿宋" w:cs="Times New Roman"/>
                <w:sz w:val="21"/>
                <w:lang w:bidi="zh-CN"/>
              </w:rPr>
            </w:pPr>
            <w:r>
              <w:rPr>
                <w:rFonts w:eastAsia="仿宋" w:cs="Times New Roman"/>
                <w:sz w:val="21"/>
                <w:lang w:bidi="zh-CN"/>
              </w:rPr>
              <w:t>4</w:t>
            </w:r>
          </w:p>
        </w:tc>
        <w:tc>
          <w:tcPr>
            <w:tcW w:w="2835" w:type="dxa"/>
            <w:tcBorders>
              <w:top w:val="nil"/>
              <w:left w:val="single" w:color="000000" w:sz="8" w:space="0"/>
              <w:bottom w:val="single" w:color="000000" w:sz="8" w:space="0"/>
              <w:right w:val="single" w:color="000000" w:sz="8" w:space="0"/>
            </w:tcBorders>
            <w:vAlign w:val="center"/>
          </w:tcPr>
          <w:p w14:paraId="68D1D63E">
            <w:pPr>
              <w:spacing w:line="240" w:lineRule="auto"/>
              <w:ind w:firstLine="0" w:firstLineChars="0"/>
              <w:jc w:val="center"/>
              <w:rPr>
                <w:rFonts w:eastAsia="仿宋" w:cs="Times New Roman"/>
                <w:sz w:val="21"/>
                <w:lang w:bidi="zh-CN"/>
              </w:rPr>
            </w:pPr>
            <w:r>
              <w:rPr>
                <w:rFonts w:eastAsia="仿宋" w:cs="Times New Roman"/>
                <w:sz w:val="21"/>
                <w:lang w:bidi="zh-CN"/>
              </w:rPr>
              <w:t>工矿用地</w:t>
            </w:r>
          </w:p>
        </w:tc>
        <w:tc>
          <w:tcPr>
            <w:tcW w:w="1276" w:type="dxa"/>
            <w:tcBorders>
              <w:top w:val="nil"/>
              <w:left w:val="single" w:color="000000" w:sz="8" w:space="0"/>
              <w:bottom w:val="single" w:color="000000" w:sz="8" w:space="0"/>
              <w:right w:val="single" w:color="000000" w:sz="8" w:space="0"/>
            </w:tcBorders>
            <w:vAlign w:val="center"/>
          </w:tcPr>
          <w:p w14:paraId="5514EC1A">
            <w:pPr>
              <w:spacing w:line="240" w:lineRule="auto"/>
              <w:ind w:firstLine="0" w:firstLineChars="0"/>
              <w:jc w:val="center"/>
              <w:rPr>
                <w:rFonts w:eastAsia="仿宋" w:cs="Times New Roman"/>
                <w:sz w:val="21"/>
                <w:lang w:bidi="zh-CN"/>
              </w:rPr>
            </w:pPr>
            <w:r>
              <w:rPr>
                <w:rFonts w:eastAsia="仿宋" w:cs="Times New Roman"/>
                <w:sz w:val="21"/>
                <w:lang w:bidi="zh-CN"/>
              </w:rPr>
              <w:t>0.39</w:t>
            </w:r>
          </w:p>
        </w:tc>
        <w:tc>
          <w:tcPr>
            <w:tcW w:w="1134" w:type="dxa"/>
            <w:tcBorders>
              <w:top w:val="nil"/>
              <w:left w:val="single" w:color="000000" w:sz="8" w:space="0"/>
              <w:bottom w:val="single" w:color="000000" w:sz="8" w:space="0"/>
              <w:right w:val="single" w:color="000000" w:sz="8" w:space="0"/>
            </w:tcBorders>
            <w:vAlign w:val="bottom"/>
          </w:tcPr>
          <w:p w14:paraId="1EB28AA6">
            <w:pPr>
              <w:widowControl/>
              <w:spacing w:line="240" w:lineRule="auto"/>
              <w:ind w:firstLine="0" w:firstLineChars="0"/>
              <w:jc w:val="center"/>
              <w:rPr>
                <w:rFonts w:eastAsia="仿宋" w:cs="Times New Roman"/>
                <w:sz w:val="21"/>
                <w:lang w:bidi="zh-CN"/>
              </w:rPr>
            </w:pPr>
            <w:r>
              <w:rPr>
                <w:rFonts w:eastAsia="仿宋" w:cs="Times New Roman"/>
                <w:sz w:val="21"/>
                <w:lang w:bidi="zh-CN"/>
              </w:rPr>
              <w:t>2.72</w:t>
            </w:r>
          </w:p>
        </w:tc>
        <w:tc>
          <w:tcPr>
            <w:tcW w:w="1134" w:type="dxa"/>
            <w:tcBorders>
              <w:top w:val="nil"/>
              <w:left w:val="single" w:color="000000" w:sz="8" w:space="0"/>
              <w:bottom w:val="single" w:color="000000" w:sz="8" w:space="0"/>
              <w:right w:val="single" w:color="000000" w:sz="8" w:space="0"/>
            </w:tcBorders>
            <w:vAlign w:val="bottom"/>
          </w:tcPr>
          <w:p w14:paraId="427DB6AE">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5.48 </w:t>
            </w:r>
          </w:p>
        </w:tc>
        <w:tc>
          <w:tcPr>
            <w:tcW w:w="1191" w:type="dxa"/>
            <w:tcBorders>
              <w:top w:val="nil"/>
              <w:left w:val="single" w:color="000000" w:sz="8" w:space="0"/>
              <w:bottom w:val="single" w:color="000000" w:sz="8" w:space="0"/>
              <w:right w:val="single" w:color="000000" w:sz="8" w:space="0"/>
            </w:tcBorders>
            <w:vAlign w:val="bottom"/>
          </w:tcPr>
          <w:p w14:paraId="6BD609C6">
            <w:pPr>
              <w:widowControl/>
              <w:spacing w:line="240" w:lineRule="auto"/>
              <w:ind w:firstLine="0" w:firstLineChars="0"/>
              <w:jc w:val="center"/>
              <w:rPr>
                <w:rFonts w:eastAsia="仿宋" w:cs="Times New Roman"/>
                <w:sz w:val="21"/>
                <w:lang w:bidi="zh-CN"/>
              </w:rPr>
            </w:pPr>
            <w:r>
              <w:rPr>
                <w:rFonts w:eastAsia="仿宋" w:cs="Times New Roman"/>
                <w:sz w:val="21"/>
                <w:lang w:bidi="zh-CN"/>
              </w:rPr>
              <w:t>14.96%</w:t>
            </w:r>
          </w:p>
        </w:tc>
      </w:tr>
      <w:tr w14:paraId="20692D32">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3411CB04">
            <w:pPr>
              <w:spacing w:line="240" w:lineRule="auto"/>
              <w:ind w:firstLine="0" w:firstLineChars="0"/>
              <w:jc w:val="center"/>
              <w:rPr>
                <w:rFonts w:eastAsia="仿宋" w:cs="Times New Roman"/>
                <w:sz w:val="21"/>
                <w:lang w:bidi="zh-CN"/>
              </w:rPr>
            </w:pPr>
            <w:r>
              <w:rPr>
                <w:rFonts w:eastAsia="仿宋" w:cs="Times New Roman"/>
                <w:sz w:val="21"/>
                <w:lang w:bidi="zh-CN"/>
              </w:rPr>
              <w:t>5</w:t>
            </w:r>
          </w:p>
        </w:tc>
        <w:tc>
          <w:tcPr>
            <w:tcW w:w="2835" w:type="dxa"/>
            <w:tcBorders>
              <w:top w:val="nil"/>
              <w:left w:val="single" w:color="000000" w:sz="8" w:space="0"/>
              <w:bottom w:val="single" w:color="000000" w:sz="8" w:space="0"/>
              <w:right w:val="single" w:color="000000" w:sz="8" w:space="0"/>
            </w:tcBorders>
            <w:vAlign w:val="center"/>
          </w:tcPr>
          <w:p w14:paraId="29A62748">
            <w:pPr>
              <w:spacing w:line="240" w:lineRule="auto"/>
              <w:ind w:firstLine="0" w:firstLineChars="0"/>
              <w:jc w:val="center"/>
              <w:rPr>
                <w:rFonts w:eastAsia="仿宋" w:cs="Times New Roman"/>
                <w:sz w:val="21"/>
                <w:lang w:bidi="zh-CN"/>
              </w:rPr>
            </w:pPr>
            <w:r>
              <w:rPr>
                <w:rFonts w:eastAsia="仿宋" w:cs="Times New Roman"/>
                <w:sz w:val="21"/>
                <w:lang w:bidi="zh-CN"/>
              </w:rPr>
              <w:t>仓储用地</w:t>
            </w:r>
          </w:p>
        </w:tc>
        <w:tc>
          <w:tcPr>
            <w:tcW w:w="1276" w:type="dxa"/>
            <w:tcBorders>
              <w:top w:val="nil"/>
              <w:left w:val="single" w:color="000000" w:sz="8" w:space="0"/>
              <w:bottom w:val="single" w:color="000000" w:sz="8" w:space="0"/>
              <w:right w:val="single" w:color="000000" w:sz="8" w:space="0"/>
            </w:tcBorders>
            <w:vAlign w:val="center"/>
          </w:tcPr>
          <w:p w14:paraId="663DABED">
            <w:pPr>
              <w:spacing w:line="240" w:lineRule="auto"/>
              <w:ind w:firstLine="0" w:firstLineChars="0"/>
              <w:jc w:val="center"/>
              <w:rPr>
                <w:rFonts w:eastAsia="仿宋" w:cs="Times New Roman"/>
                <w:sz w:val="21"/>
                <w:lang w:bidi="zh-CN"/>
              </w:rPr>
            </w:pPr>
            <w:r>
              <w:rPr>
                <w:rFonts w:eastAsia="仿宋" w:cs="Times New Roman"/>
                <w:sz w:val="21"/>
                <w:lang w:bidi="zh-CN"/>
              </w:rPr>
              <w:t>0.02</w:t>
            </w:r>
          </w:p>
        </w:tc>
        <w:tc>
          <w:tcPr>
            <w:tcW w:w="1134" w:type="dxa"/>
            <w:tcBorders>
              <w:top w:val="nil"/>
              <w:left w:val="single" w:color="000000" w:sz="8" w:space="0"/>
              <w:bottom w:val="single" w:color="000000" w:sz="8" w:space="0"/>
              <w:right w:val="single" w:color="000000" w:sz="8" w:space="0"/>
            </w:tcBorders>
            <w:vAlign w:val="bottom"/>
          </w:tcPr>
          <w:p w14:paraId="66F99AD5">
            <w:pPr>
              <w:widowControl/>
              <w:spacing w:line="240" w:lineRule="auto"/>
              <w:ind w:firstLine="0" w:firstLineChars="0"/>
              <w:jc w:val="center"/>
              <w:rPr>
                <w:rFonts w:eastAsia="仿宋" w:cs="Times New Roman"/>
                <w:sz w:val="21"/>
                <w:lang w:bidi="zh-CN"/>
              </w:rPr>
            </w:pPr>
            <w:r>
              <w:rPr>
                <w:rFonts w:eastAsia="仿宋" w:cs="Times New Roman"/>
                <w:sz w:val="21"/>
                <w:lang w:bidi="zh-CN"/>
              </w:rPr>
              <w:t>0.14</w:t>
            </w:r>
          </w:p>
        </w:tc>
        <w:tc>
          <w:tcPr>
            <w:tcW w:w="1134" w:type="dxa"/>
            <w:tcBorders>
              <w:top w:val="nil"/>
              <w:left w:val="single" w:color="000000" w:sz="8" w:space="0"/>
              <w:bottom w:val="single" w:color="000000" w:sz="8" w:space="0"/>
              <w:right w:val="single" w:color="000000" w:sz="8" w:space="0"/>
            </w:tcBorders>
            <w:vAlign w:val="bottom"/>
          </w:tcPr>
          <w:p w14:paraId="10B5C143">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0.72 </w:t>
            </w:r>
          </w:p>
        </w:tc>
        <w:tc>
          <w:tcPr>
            <w:tcW w:w="1191" w:type="dxa"/>
            <w:tcBorders>
              <w:top w:val="nil"/>
              <w:left w:val="single" w:color="000000" w:sz="8" w:space="0"/>
              <w:bottom w:val="single" w:color="000000" w:sz="8" w:space="0"/>
              <w:right w:val="single" w:color="000000" w:sz="8" w:space="0"/>
            </w:tcBorders>
            <w:vAlign w:val="bottom"/>
          </w:tcPr>
          <w:p w14:paraId="27C3DFB0">
            <w:pPr>
              <w:widowControl/>
              <w:spacing w:line="240" w:lineRule="auto"/>
              <w:ind w:firstLine="0" w:firstLineChars="0"/>
              <w:jc w:val="center"/>
              <w:rPr>
                <w:rFonts w:eastAsia="仿宋" w:cs="Times New Roman"/>
                <w:sz w:val="21"/>
                <w:lang w:bidi="zh-CN"/>
              </w:rPr>
            </w:pPr>
            <w:r>
              <w:rPr>
                <w:rFonts w:eastAsia="仿宋" w:cs="Times New Roman"/>
                <w:sz w:val="21"/>
                <w:lang w:bidi="zh-CN"/>
              </w:rPr>
              <w:t>1.96%</w:t>
            </w:r>
          </w:p>
        </w:tc>
      </w:tr>
      <w:tr w14:paraId="48B7EA18">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7DF78ADC">
            <w:pPr>
              <w:spacing w:line="240" w:lineRule="auto"/>
              <w:ind w:firstLine="0" w:firstLineChars="0"/>
              <w:jc w:val="center"/>
              <w:rPr>
                <w:rFonts w:eastAsia="仿宋" w:cs="Times New Roman"/>
                <w:sz w:val="21"/>
                <w:lang w:bidi="zh-CN"/>
              </w:rPr>
            </w:pPr>
            <w:r>
              <w:rPr>
                <w:rFonts w:eastAsia="仿宋" w:cs="Times New Roman"/>
                <w:sz w:val="21"/>
                <w:lang w:bidi="zh-CN"/>
              </w:rPr>
              <w:t>6</w:t>
            </w:r>
          </w:p>
        </w:tc>
        <w:tc>
          <w:tcPr>
            <w:tcW w:w="2835" w:type="dxa"/>
            <w:tcBorders>
              <w:top w:val="nil"/>
              <w:left w:val="single" w:color="000000" w:sz="8" w:space="0"/>
              <w:bottom w:val="single" w:color="000000" w:sz="8" w:space="0"/>
              <w:right w:val="single" w:color="000000" w:sz="8" w:space="0"/>
            </w:tcBorders>
            <w:vAlign w:val="center"/>
          </w:tcPr>
          <w:p w14:paraId="1C9726DD">
            <w:pPr>
              <w:spacing w:line="240" w:lineRule="auto"/>
              <w:ind w:firstLine="0" w:firstLineChars="0"/>
              <w:jc w:val="center"/>
              <w:rPr>
                <w:rFonts w:eastAsia="仿宋" w:cs="Times New Roman"/>
                <w:sz w:val="21"/>
                <w:lang w:bidi="zh-CN"/>
              </w:rPr>
            </w:pPr>
            <w:r>
              <w:rPr>
                <w:rFonts w:eastAsia="仿宋" w:cs="Times New Roman"/>
                <w:sz w:val="21"/>
                <w:lang w:bidi="zh-CN"/>
              </w:rPr>
              <w:t>交通运输用地</w:t>
            </w:r>
          </w:p>
        </w:tc>
        <w:tc>
          <w:tcPr>
            <w:tcW w:w="1276" w:type="dxa"/>
            <w:tcBorders>
              <w:top w:val="nil"/>
              <w:left w:val="single" w:color="000000" w:sz="8" w:space="0"/>
              <w:bottom w:val="single" w:color="000000" w:sz="8" w:space="0"/>
              <w:right w:val="single" w:color="000000" w:sz="8" w:space="0"/>
            </w:tcBorders>
            <w:vAlign w:val="center"/>
          </w:tcPr>
          <w:p w14:paraId="6DBAB962">
            <w:pPr>
              <w:spacing w:line="240" w:lineRule="auto"/>
              <w:ind w:firstLine="0" w:firstLineChars="0"/>
              <w:jc w:val="center"/>
              <w:rPr>
                <w:rFonts w:eastAsia="仿宋" w:cs="Times New Roman"/>
                <w:sz w:val="21"/>
                <w:lang w:bidi="zh-CN"/>
              </w:rPr>
            </w:pPr>
            <w:r>
              <w:rPr>
                <w:rFonts w:eastAsia="仿宋" w:cs="Times New Roman"/>
                <w:sz w:val="21"/>
                <w:lang w:bidi="zh-CN"/>
              </w:rPr>
              <w:t>1.02</w:t>
            </w:r>
          </w:p>
        </w:tc>
        <w:tc>
          <w:tcPr>
            <w:tcW w:w="1134" w:type="dxa"/>
            <w:tcBorders>
              <w:top w:val="nil"/>
              <w:left w:val="single" w:color="000000" w:sz="8" w:space="0"/>
              <w:bottom w:val="single" w:color="000000" w:sz="8" w:space="0"/>
              <w:right w:val="single" w:color="000000" w:sz="8" w:space="0"/>
            </w:tcBorders>
            <w:vAlign w:val="bottom"/>
          </w:tcPr>
          <w:p w14:paraId="2F66E149">
            <w:pPr>
              <w:widowControl/>
              <w:spacing w:line="240" w:lineRule="auto"/>
              <w:ind w:firstLine="0" w:firstLineChars="0"/>
              <w:jc w:val="center"/>
              <w:rPr>
                <w:rFonts w:eastAsia="仿宋" w:cs="Times New Roman"/>
                <w:sz w:val="21"/>
                <w:lang w:bidi="zh-CN"/>
              </w:rPr>
            </w:pPr>
            <w:r>
              <w:rPr>
                <w:rFonts w:eastAsia="仿宋" w:cs="Times New Roman"/>
                <w:sz w:val="21"/>
                <w:lang w:bidi="zh-CN"/>
              </w:rPr>
              <w:t>7.11</w:t>
            </w:r>
          </w:p>
        </w:tc>
        <w:tc>
          <w:tcPr>
            <w:tcW w:w="1134" w:type="dxa"/>
            <w:tcBorders>
              <w:top w:val="nil"/>
              <w:left w:val="single" w:color="000000" w:sz="8" w:space="0"/>
              <w:bottom w:val="single" w:color="000000" w:sz="8" w:space="0"/>
              <w:right w:val="single" w:color="000000" w:sz="8" w:space="0"/>
            </w:tcBorders>
            <w:vAlign w:val="bottom"/>
          </w:tcPr>
          <w:p w14:paraId="18DD6A97">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3.13 </w:t>
            </w:r>
          </w:p>
        </w:tc>
        <w:tc>
          <w:tcPr>
            <w:tcW w:w="1191" w:type="dxa"/>
            <w:tcBorders>
              <w:top w:val="nil"/>
              <w:left w:val="single" w:color="000000" w:sz="8" w:space="0"/>
              <w:bottom w:val="single" w:color="000000" w:sz="8" w:space="0"/>
              <w:right w:val="single" w:color="000000" w:sz="8" w:space="0"/>
            </w:tcBorders>
            <w:vAlign w:val="bottom"/>
          </w:tcPr>
          <w:p w14:paraId="014ED7C2">
            <w:pPr>
              <w:widowControl/>
              <w:spacing w:line="240" w:lineRule="auto"/>
              <w:ind w:firstLine="0" w:firstLineChars="0"/>
              <w:jc w:val="center"/>
              <w:rPr>
                <w:rFonts w:eastAsia="仿宋" w:cs="Times New Roman"/>
                <w:sz w:val="21"/>
                <w:lang w:bidi="zh-CN"/>
              </w:rPr>
            </w:pPr>
            <w:r>
              <w:rPr>
                <w:rFonts w:eastAsia="仿宋" w:cs="Times New Roman"/>
                <w:sz w:val="21"/>
                <w:lang w:bidi="zh-CN"/>
              </w:rPr>
              <w:t>8.55%</w:t>
            </w:r>
          </w:p>
        </w:tc>
      </w:tr>
      <w:tr w14:paraId="280769B9">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529C7289">
            <w:pPr>
              <w:spacing w:line="240" w:lineRule="auto"/>
              <w:ind w:firstLine="0" w:firstLineChars="0"/>
              <w:jc w:val="center"/>
              <w:rPr>
                <w:rFonts w:eastAsia="仿宋" w:cs="Times New Roman"/>
                <w:sz w:val="21"/>
                <w:lang w:bidi="zh-CN"/>
              </w:rPr>
            </w:pPr>
            <w:r>
              <w:rPr>
                <w:rFonts w:eastAsia="仿宋" w:cs="Times New Roman"/>
                <w:sz w:val="21"/>
                <w:lang w:bidi="zh-CN"/>
              </w:rPr>
              <w:t>7</w:t>
            </w:r>
          </w:p>
        </w:tc>
        <w:tc>
          <w:tcPr>
            <w:tcW w:w="2835" w:type="dxa"/>
            <w:tcBorders>
              <w:top w:val="nil"/>
              <w:left w:val="single" w:color="000000" w:sz="8" w:space="0"/>
              <w:bottom w:val="single" w:color="000000" w:sz="8" w:space="0"/>
              <w:right w:val="single" w:color="000000" w:sz="8" w:space="0"/>
            </w:tcBorders>
            <w:vAlign w:val="center"/>
          </w:tcPr>
          <w:p w14:paraId="56E2D293">
            <w:pPr>
              <w:spacing w:line="240" w:lineRule="auto"/>
              <w:ind w:firstLine="0" w:firstLineChars="0"/>
              <w:jc w:val="center"/>
              <w:rPr>
                <w:rFonts w:eastAsia="仿宋" w:cs="Times New Roman"/>
                <w:sz w:val="21"/>
                <w:lang w:bidi="zh-CN"/>
              </w:rPr>
            </w:pPr>
            <w:r>
              <w:rPr>
                <w:rFonts w:eastAsia="仿宋" w:cs="Times New Roman"/>
                <w:sz w:val="21"/>
                <w:lang w:bidi="zh-CN"/>
              </w:rPr>
              <w:t>公用设施用地</w:t>
            </w:r>
          </w:p>
        </w:tc>
        <w:tc>
          <w:tcPr>
            <w:tcW w:w="1276" w:type="dxa"/>
            <w:tcBorders>
              <w:top w:val="nil"/>
              <w:left w:val="single" w:color="000000" w:sz="8" w:space="0"/>
              <w:bottom w:val="single" w:color="000000" w:sz="8" w:space="0"/>
              <w:right w:val="single" w:color="000000" w:sz="8" w:space="0"/>
            </w:tcBorders>
            <w:vAlign w:val="center"/>
          </w:tcPr>
          <w:p w14:paraId="56B54551">
            <w:pPr>
              <w:spacing w:line="240" w:lineRule="auto"/>
              <w:ind w:firstLine="0" w:firstLineChars="0"/>
              <w:jc w:val="center"/>
              <w:rPr>
                <w:rFonts w:eastAsia="仿宋" w:cs="Times New Roman"/>
                <w:sz w:val="21"/>
                <w:lang w:bidi="zh-CN"/>
              </w:rPr>
            </w:pPr>
            <w:r>
              <w:rPr>
                <w:rFonts w:eastAsia="仿宋" w:cs="Times New Roman"/>
                <w:sz w:val="21"/>
                <w:lang w:bidi="zh-CN"/>
              </w:rPr>
              <w:t>0.44</w:t>
            </w:r>
          </w:p>
        </w:tc>
        <w:tc>
          <w:tcPr>
            <w:tcW w:w="1134" w:type="dxa"/>
            <w:tcBorders>
              <w:top w:val="nil"/>
              <w:left w:val="single" w:color="000000" w:sz="8" w:space="0"/>
              <w:bottom w:val="single" w:color="000000" w:sz="8" w:space="0"/>
              <w:right w:val="single" w:color="000000" w:sz="8" w:space="0"/>
            </w:tcBorders>
            <w:vAlign w:val="bottom"/>
          </w:tcPr>
          <w:p w14:paraId="03310E32">
            <w:pPr>
              <w:widowControl/>
              <w:spacing w:line="240" w:lineRule="auto"/>
              <w:ind w:firstLine="0" w:firstLineChars="0"/>
              <w:jc w:val="center"/>
              <w:rPr>
                <w:rFonts w:eastAsia="仿宋" w:cs="Times New Roman"/>
                <w:sz w:val="21"/>
                <w:lang w:bidi="zh-CN"/>
              </w:rPr>
            </w:pPr>
            <w:r>
              <w:rPr>
                <w:rFonts w:eastAsia="仿宋" w:cs="Times New Roman"/>
                <w:sz w:val="21"/>
                <w:lang w:bidi="zh-CN"/>
              </w:rPr>
              <w:t>3.07</w:t>
            </w:r>
          </w:p>
        </w:tc>
        <w:tc>
          <w:tcPr>
            <w:tcW w:w="1134" w:type="dxa"/>
            <w:tcBorders>
              <w:top w:val="nil"/>
              <w:left w:val="single" w:color="000000" w:sz="8" w:space="0"/>
              <w:bottom w:val="single" w:color="000000" w:sz="8" w:space="0"/>
              <w:right w:val="single" w:color="000000" w:sz="8" w:space="0"/>
            </w:tcBorders>
            <w:vAlign w:val="bottom"/>
          </w:tcPr>
          <w:p w14:paraId="0BFA3882">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0.54 </w:t>
            </w:r>
          </w:p>
        </w:tc>
        <w:tc>
          <w:tcPr>
            <w:tcW w:w="1191" w:type="dxa"/>
            <w:tcBorders>
              <w:top w:val="nil"/>
              <w:left w:val="single" w:color="000000" w:sz="8" w:space="0"/>
              <w:bottom w:val="single" w:color="000000" w:sz="8" w:space="0"/>
              <w:right w:val="single" w:color="000000" w:sz="8" w:space="0"/>
            </w:tcBorders>
            <w:vAlign w:val="bottom"/>
          </w:tcPr>
          <w:p w14:paraId="19568A61">
            <w:pPr>
              <w:widowControl/>
              <w:spacing w:line="240" w:lineRule="auto"/>
              <w:ind w:firstLine="0" w:firstLineChars="0"/>
              <w:jc w:val="center"/>
              <w:rPr>
                <w:rFonts w:eastAsia="仿宋" w:cs="Times New Roman"/>
                <w:sz w:val="21"/>
                <w:lang w:bidi="zh-CN"/>
              </w:rPr>
            </w:pPr>
            <w:r>
              <w:rPr>
                <w:rFonts w:eastAsia="仿宋" w:cs="Times New Roman"/>
                <w:sz w:val="21"/>
                <w:lang w:bidi="zh-CN"/>
              </w:rPr>
              <w:t>1.48%</w:t>
            </w:r>
          </w:p>
        </w:tc>
      </w:tr>
      <w:tr w14:paraId="0696C535">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3F6F952B">
            <w:pPr>
              <w:spacing w:line="240" w:lineRule="auto"/>
              <w:ind w:firstLine="0" w:firstLineChars="0"/>
              <w:jc w:val="center"/>
              <w:rPr>
                <w:rFonts w:eastAsia="仿宋" w:cs="Times New Roman"/>
                <w:sz w:val="21"/>
                <w:lang w:bidi="zh-CN"/>
              </w:rPr>
            </w:pPr>
            <w:r>
              <w:rPr>
                <w:rFonts w:eastAsia="仿宋" w:cs="Times New Roman"/>
                <w:sz w:val="21"/>
                <w:lang w:bidi="zh-CN"/>
              </w:rPr>
              <w:t>8</w:t>
            </w:r>
          </w:p>
        </w:tc>
        <w:tc>
          <w:tcPr>
            <w:tcW w:w="2835" w:type="dxa"/>
            <w:tcBorders>
              <w:top w:val="nil"/>
              <w:left w:val="single" w:color="000000" w:sz="8" w:space="0"/>
              <w:bottom w:val="single" w:color="000000" w:sz="8" w:space="0"/>
              <w:right w:val="single" w:color="000000" w:sz="8" w:space="0"/>
            </w:tcBorders>
            <w:vAlign w:val="center"/>
          </w:tcPr>
          <w:p w14:paraId="36BA623C">
            <w:pPr>
              <w:spacing w:line="240" w:lineRule="auto"/>
              <w:ind w:firstLine="0" w:firstLineChars="0"/>
              <w:jc w:val="center"/>
              <w:rPr>
                <w:rFonts w:eastAsia="仿宋" w:cs="Times New Roman"/>
                <w:sz w:val="21"/>
                <w:lang w:bidi="zh-CN"/>
              </w:rPr>
            </w:pPr>
            <w:r>
              <w:rPr>
                <w:rFonts w:eastAsia="仿宋" w:cs="Times New Roman"/>
                <w:sz w:val="21"/>
                <w:lang w:bidi="zh-CN"/>
              </w:rPr>
              <w:t>绿地与开敞空间用地</w:t>
            </w:r>
          </w:p>
        </w:tc>
        <w:tc>
          <w:tcPr>
            <w:tcW w:w="1276" w:type="dxa"/>
            <w:tcBorders>
              <w:top w:val="nil"/>
              <w:left w:val="single" w:color="000000" w:sz="8" w:space="0"/>
              <w:bottom w:val="single" w:color="000000" w:sz="8" w:space="0"/>
              <w:right w:val="single" w:color="000000" w:sz="8" w:space="0"/>
            </w:tcBorders>
            <w:vAlign w:val="center"/>
          </w:tcPr>
          <w:p w14:paraId="27575E3B">
            <w:pPr>
              <w:spacing w:line="240" w:lineRule="auto"/>
              <w:ind w:firstLine="0" w:firstLineChars="0"/>
              <w:jc w:val="center"/>
              <w:rPr>
                <w:rFonts w:eastAsia="仿宋" w:cs="Times New Roman"/>
                <w:sz w:val="21"/>
                <w:lang w:bidi="zh-CN"/>
              </w:rPr>
            </w:pPr>
            <w:r>
              <w:rPr>
                <w:rFonts w:eastAsia="仿宋" w:cs="Times New Roman"/>
                <w:sz w:val="21"/>
                <w:lang w:bidi="zh-CN"/>
              </w:rPr>
              <w:t>0.00</w:t>
            </w:r>
          </w:p>
        </w:tc>
        <w:tc>
          <w:tcPr>
            <w:tcW w:w="1134" w:type="dxa"/>
            <w:tcBorders>
              <w:top w:val="nil"/>
              <w:left w:val="single" w:color="000000" w:sz="8" w:space="0"/>
              <w:bottom w:val="single" w:color="000000" w:sz="8" w:space="0"/>
              <w:right w:val="single" w:color="000000" w:sz="8" w:space="0"/>
            </w:tcBorders>
            <w:vAlign w:val="bottom"/>
          </w:tcPr>
          <w:p w14:paraId="5DC6CD61">
            <w:pPr>
              <w:widowControl/>
              <w:spacing w:line="240" w:lineRule="auto"/>
              <w:ind w:firstLine="0" w:firstLineChars="0"/>
              <w:jc w:val="center"/>
              <w:rPr>
                <w:rFonts w:eastAsia="仿宋" w:cs="Times New Roman"/>
                <w:sz w:val="21"/>
                <w:lang w:bidi="zh-CN"/>
              </w:rPr>
            </w:pPr>
            <w:r>
              <w:rPr>
                <w:rFonts w:eastAsia="仿宋" w:cs="Times New Roman"/>
                <w:sz w:val="21"/>
                <w:lang w:bidi="zh-CN"/>
              </w:rPr>
              <w:t>0.00</w:t>
            </w:r>
          </w:p>
        </w:tc>
        <w:tc>
          <w:tcPr>
            <w:tcW w:w="1134" w:type="dxa"/>
            <w:tcBorders>
              <w:top w:val="nil"/>
              <w:left w:val="single" w:color="000000" w:sz="8" w:space="0"/>
              <w:bottom w:val="single" w:color="000000" w:sz="8" w:space="0"/>
              <w:right w:val="single" w:color="000000" w:sz="8" w:space="0"/>
            </w:tcBorders>
            <w:vAlign w:val="bottom"/>
          </w:tcPr>
          <w:p w14:paraId="2EC1FB2D">
            <w:pPr>
              <w:widowControl/>
              <w:spacing w:line="240" w:lineRule="auto"/>
              <w:ind w:firstLine="0" w:firstLineChars="0"/>
              <w:jc w:val="center"/>
              <w:rPr>
                <w:rFonts w:eastAsia="仿宋" w:cs="Times New Roman"/>
                <w:sz w:val="21"/>
                <w:lang w:bidi="zh-CN"/>
              </w:rPr>
            </w:pPr>
            <w:r>
              <w:rPr>
                <w:rFonts w:eastAsia="仿宋" w:cs="Times New Roman"/>
                <w:sz w:val="21"/>
                <w:lang w:bidi="zh-CN"/>
              </w:rPr>
              <w:t xml:space="preserve">0.38 </w:t>
            </w:r>
          </w:p>
        </w:tc>
        <w:tc>
          <w:tcPr>
            <w:tcW w:w="1191" w:type="dxa"/>
            <w:tcBorders>
              <w:top w:val="nil"/>
              <w:left w:val="single" w:color="000000" w:sz="8" w:space="0"/>
              <w:bottom w:val="single" w:color="000000" w:sz="8" w:space="0"/>
              <w:right w:val="single" w:color="000000" w:sz="8" w:space="0"/>
            </w:tcBorders>
            <w:vAlign w:val="bottom"/>
          </w:tcPr>
          <w:p w14:paraId="62CDA744">
            <w:pPr>
              <w:widowControl/>
              <w:spacing w:line="240" w:lineRule="auto"/>
              <w:ind w:firstLine="0" w:firstLineChars="0"/>
              <w:jc w:val="center"/>
              <w:rPr>
                <w:rFonts w:eastAsia="仿宋" w:cs="Times New Roman"/>
                <w:sz w:val="21"/>
                <w:lang w:bidi="zh-CN"/>
              </w:rPr>
            </w:pPr>
            <w:r>
              <w:rPr>
                <w:rFonts w:eastAsia="仿宋" w:cs="Times New Roman"/>
                <w:sz w:val="21"/>
                <w:lang w:bidi="zh-CN"/>
              </w:rPr>
              <w:t>1.0</w:t>
            </w:r>
            <w:r>
              <w:rPr>
                <w:rFonts w:hint="eastAsia" w:eastAsia="仿宋" w:cs="Times New Roman"/>
                <w:sz w:val="21"/>
                <w:lang w:bidi="zh-CN"/>
              </w:rPr>
              <w:t>4</w:t>
            </w:r>
            <w:r>
              <w:rPr>
                <w:rFonts w:eastAsia="仿宋" w:cs="Times New Roman"/>
                <w:sz w:val="21"/>
                <w:lang w:bidi="zh-CN"/>
              </w:rPr>
              <w:t>%</w:t>
            </w:r>
          </w:p>
        </w:tc>
      </w:tr>
      <w:tr w14:paraId="26951CE8">
        <w:tblPrEx>
          <w:tblCellMar>
            <w:top w:w="0" w:type="dxa"/>
            <w:left w:w="108" w:type="dxa"/>
            <w:bottom w:w="0" w:type="dxa"/>
            <w:right w:w="108" w:type="dxa"/>
          </w:tblCellMar>
        </w:tblPrEx>
        <w:trPr>
          <w:trHeight w:val="20" w:hRule="atLeast"/>
        </w:trPr>
        <w:tc>
          <w:tcPr>
            <w:tcW w:w="3583" w:type="dxa"/>
            <w:gridSpan w:val="2"/>
            <w:tcBorders>
              <w:top w:val="nil"/>
              <w:left w:val="single" w:color="000000" w:sz="8" w:space="0"/>
              <w:bottom w:val="single" w:color="000000" w:sz="8" w:space="0"/>
              <w:right w:val="single" w:color="000000" w:sz="8" w:space="0"/>
            </w:tcBorders>
            <w:vAlign w:val="center"/>
          </w:tcPr>
          <w:p w14:paraId="18CE8BD5">
            <w:pPr>
              <w:spacing w:line="240" w:lineRule="auto"/>
              <w:ind w:firstLine="0" w:firstLineChars="0"/>
              <w:jc w:val="center"/>
              <w:rPr>
                <w:rFonts w:eastAsia="仿宋" w:cs="Times New Roman"/>
                <w:b/>
                <w:bCs/>
                <w:sz w:val="21"/>
                <w:lang w:bidi="zh-CN"/>
              </w:rPr>
            </w:pPr>
            <w:r>
              <w:rPr>
                <w:rFonts w:eastAsia="仿宋" w:cs="Times New Roman"/>
                <w:b/>
                <w:bCs/>
                <w:sz w:val="21"/>
                <w:lang w:bidi="zh-CN"/>
              </w:rPr>
              <w:t>合计</w:t>
            </w:r>
          </w:p>
        </w:tc>
        <w:tc>
          <w:tcPr>
            <w:tcW w:w="1276" w:type="dxa"/>
            <w:tcBorders>
              <w:top w:val="nil"/>
              <w:left w:val="single" w:color="000000" w:sz="8" w:space="0"/>
              <w:bottom w:val="single" w:color="000000" w:sz="8" w:space="0"/>
              <w:right w:val="single" w:color="000000" w:sz="8" w:space="0"/>
            </w:tcBorders>
            <w:vAlign w:val="center"/>
          </w:tcPr>
          <w:p w14:paraId="46D71DB4">
            <w:pPr>
              <w:spacing w:line="240" w:lineRule="auto"/>
              <w:ind w:firstLine="0" w:firstLineChars="0"/>
              <w:jc w:val="center"/>
              <w:rPr>
                <w:rFonts w:eastAsia="仿宋" w:cs="Times New Roman"/>
                <w:b/>
                <w:bCs/>
                <w:sz w:val="21"/>
                <w:lang w:bidi="zh-CN"/>
              </w:rPr>
            </w:pPr>
            <w:r>
              <w:rPr>
                <w:rFonts w:hint="eastAsia" w:eastAsia="仿宋" w:cs="Times New Roman"/>
                <w:b/>
                <w:bCs/>
                <w:sz w:val="21"/>
                <w:lang w:bidi="zh-CN"/>
              </w:rPr>
              <w:t>14.35</w:t>
            </w:r>
          </w:p>
        </w:tc>
        <w:tc>
          <w:tcPr>
            <w:tcW w:w="1134" w:type="dxa"/>
            <w:tcBorders>
              <w:top w:val="nil"/>
              <w:left w:val="single" w:color="000000" w:sz="8" w:space="0"/>
              <w:bottom w:val="single" w:color="000000" w:sz="8" w:space="0"/>
              <w:right w:val="single" w:color="000000" w:sz="8" w:space="0"/>
            </w:tcBorders>
            <w:vAlign w:val="center"/>
          </w:tcPr>
          <w:p w14:paraId="459B6C7D">
            <w:pPr>
              <w:spacing w:line="240" w:lineRule="auto"/>
              <w:ind w:firstLine="0" w:firstLineChars="0"/>
              <w:jc w:val="center"/>
              <w:rPr>
                <w:rFonts w:eastAsia="仿宋" w:cs="Times New Roman"/>
                <w:b/>
                <w:bCs/>
                <w:sz w:val="21"/>
                <w:lang w:bidi="zh-CN"/>
              </w:rPr>
            </w:pPr>
            <w:r>
              <w:rPr>
                <w:rFonts w:eastAsia="仿宋" w:cs="Times New Roman"/>
                <w:b/>
                <w:bCs/>
                <w:sz w:val="21"/>
                <w:lang w:bidi="zh-CN"/>
              </w:rPr>
              <w:t>100.00</w:t>
            </w:r>
          </w:p>
        </w:tc>
        <w:tc>
          <w:tcPr>
            <w:tcW w:w="1134" w:type="dxa"/>
            <w:tcBorders>
              <w:top w:val="nil"/>
              <w:left w:val="single" w:color="000000" w:sz="8" w:space="0"/>
              <w:bottom w:val="single" w:color="000000" w:sz="8" w:space="0"/>
              <w:right w:val="single" w:color="000000" w:sz="8" w:space="0"/>
            </w:tcBorders>
            <w:vAlign w:val="center"/>
          </w:tcPr>
          <w:p w14:paraId="769DD90A">
            <w:pPr>
              <w:spacing w:line="240" w:lineRule="auto"/>
              <w:ind w:firstLine="0" w:firstLineChars="0"/>
              <w:jc w:val="center"/>
              <w:rPr>
                <w:rFonts w:eastAsia="仿宋" w:cs="Times New Roman"/>
                <w:b/>
                <w:bCs/>
                <w:sz w:val="21"/>
                <w:lang w:bidi="zh-CN"/>
              </w:rPr>
            </w:pPr>
            <w:r>
              <w:rPr>
                <w:rFonts w:hint="eastAsia" w:eastAsia="仿宋" w:cs="Times New Roman"/>
                <w:b/>
                <w:bCs/>
                <w:sz w:val="21"/>
                <w:lang w:bidi="zh-CN"/>
              </w:rPr>
              <w:t xml:space="preserve">36.63 </w:t>
            </w:r>
          </w:p>
        </w:tc>
        <w:tc>
          <w:tcPr>
            <w:tcW w:w="1191" w:type="dxa"/>
            <w:tcBorders>
              <w:top w:val="nil"/>
              <w:left w:val="single" w:color="000000" w:sz="8" w:space="0"/>
              <w:bottom w:val="single" w:color="000000" w:sz="8" w:space="0"/>
              <w:right w:val="single" w:color="000000" w:sz="8" w:space="0"/>
            </w:tcBorders>
            <w:vAlign w:val="center"/>
          </w:tcPr>
          <w:p w14:paraId="209C4879">
            <w:pPr>
              <w:spacing w:line="240" w:lineRule="auto"/>
              <w:ind w:firstLine="0" w:firstLineChars="0"/>
              <w:jc w:val="center"/>
              <w:rPr>
                <w:rFonts w:eastAsia="仿宋" w:cs="Times New Roman"/>
                <w:b/>
                <w:bCs/>
                <w:sz w:val="21"/>
                <w:lang w:bidi="zh-CN"/>
              </w:rPr>
            </w:pPr>
            <w:r>
              <w:rPr>
                <w:rFonts w:eastAsia="仿宋" w:cs="Times New Roman"/>
                <w:b/>
                <w:bCs/>
                <w:sz w:val="21"/>
                <w:lang w:bidi="zh-CN"/>
              </w:rPr>
              <w:t>100.00</w:t>
            </w:r>
          </w:p>
        </w:tc>
      </w:tr>
    </w:tbl>
    <w:p w14:paraId="4182A6AE">
      <w:pPr>
        <w:ind w:firstLine="640"/>
        <w:rPr>
          <w:rFonts w:cs="Times New Roman"/>
        </w:rPr>
      </w:pPr>
    </w:p>
    <w:p w14:paraId="4C41361B">
      <w:pPr>
        <w:pStyle w:val="4"/>
        <w:numPr>
          <w:ilvl w:val="0"/>
          <w:numId w:val="1"/>
        </w:numPr>
        <w:ind w:left="860" w:firstLine="361" w:firstLineChars="113"/>
      </w:pPr>
      <w:r>
        <w:t>用途管制</w:t>
      </w:r>
    </w:p>
    <w:p w14:paraId="7CC57BED">
      <w:pPr>
        <w:ind w:firstLine="640"/>
        <w:rPr>
          <w:rFonts w:cs="Times New Roman"/>
        </w:rPr>
      </w:pPr>
      <w:r>
        <w:rPr>
          <w:rFonts w:cs="Times New Roman"/>
        </w:rPr>
        <w:t>根据规划分区确定差异化的城镇布局形态。规划分区内实行土地用途管制，需要在“详细规划”中明确国土用途规划方案和具体控制指标和要求。鼓励在分区范围内探索用地集约复合开发模式。居住区应在区内保障一定比例配套社区服务设施用地，并注重构建15分钟生活圈，注重临街商业活力塑造以及社区服务中心、社区公园的建设。商业商务区功能应集约紧凑，满足服务等级、规模及类型要求，注重连续步行空间的营造和小型公共空间的设置，通过建筑高度的变化打造高低错落、疏密有致的天际线。工业发展区应严格遵守环保要求，降低工业及物流仓储功能对城市居住、公共环境、交通等的干扰，同时注重完善公共服务设施配套，推进产业社区服务中心建设。</w:t>
      </w:r>
    </w:p>
    <w:p w14:paraId="3F30364C">
      <w:pPr>
        <w:pStyle w:val="3"/>
        <w:rPr>
          <w:rFonts w:ascii="Times New Roman" w:hAnsi="Times New Roman" w:cs="Times New Roman"/>
        </w:rPr>
      </w:pPr>
      <w:bookmarkStart w:id="82" w:name="_Toc175064683"/>
      <w:bookmarkStart w:id="83" w:name="_Toc185844304"/>
      <w:bookmarkStart w:id="84" w:name="_Toc16620"/>
      <w:r>
        <w:rPr>
          <w:rFonts w:ascii="Times New Roman" w:hAnsi="Times New Roman" w:cs="Times New Roman"/>
        </w:rPr>
        <w:t>第二节 用地结构和布局</w:t>
      </w:r>
      <w:bookmarkEnd w:id="82"/>
      <w:bookmarkEnd w:id="83"/>
      <w:bookmarkEnd w:id="84"/>
    </w:p>
    <w:p w14:paraId="379FDD8C">
      <w:pPr>
        <w:pStyle w:val="4"/>
        <w:numPr>
          <w:ilvl w:val="0"/>
          <w:numId w:val="23"/>
        </w:numPr>
        <w:ind w:left="420" w:firstLine="361" w:firstLineChars="113"/>
      </w:pPr>
      <w:r>
        <w:t>用地结构</w:t>
      </w:r>
    </w:p>
    <w:p w14:paraId="0B0318D5">
      <w:pPr>
        <w:ind w:firstLine="640"/>
        <w:rPr>
          <w:rFonts w:cs="Times New Roman"/>
        </w:rPr>
      </w:pPr>
      <w:bookmarkStart w:id="85" w:name="OLE_LINK14"/>
      <w:r>
        <w:rPr>
          <w:rFonts w:cs="Times New Roman"/>
        </w:rPr>
        <w:t>规划构建</w:t>
      </w:r>
      <w:bookmarkStart w:id="86" w:name="_Hlk187237181"/>
      <w:r>
        <w:rPr>
          <w:rFonts w:cs="Times New Roman"/>
        </w:rPr>
        <w:t>“一心、一轴、三组团”</w:t>
      </w:r>
      <w:bookmarkEnd w:id="86"/>
      <w:r>
        <w:rPr>
          <w:rFonts w:cs="Times New Roman"/>
        </w:rPr>
        <w:t>的空间布局结构。</w:t>
      </w:r>
    </w:p>
    <w:p w14:paraId="10DC561C">
      <w:pPr>
        <w:ind w:firstLine="640"/>
        <w:rPr>
          <w:rFonts w:cs="Times New Roman"/>
        </w:rPr>
      </w:pPr>
      <w:r>
        <w:rPr>
          <w:rFonts w:cs="Times New Roman"/>
        </w:rPr>
        <w:t>“一心”：即以乡政府为中心，连同周边的卫生院、幼儿园、公园绿地、文化活动广场及各种商业服务设施等形成的全乡的公共服务中心。</w:t>
      </w:r>
    </w:p>
    <w:p w14:paraId="6FE02285">
      <w:pPr>
        <w:ind w:firstLine="640"/>
        <w:rPr>
          <w:rFonts w:cs="Times New Roman"/>
        </w:rPr>
      </w:pPr>
      <w:r>
        <w:rPr>
          <w:rFonts w:cs="Times New Roman"/>
        </w:rPr>
        <w:t>“一轴”：即沿县道凤向线形成的发展轴线，既是重要的商贸发展轴线，同时也是乡镇对外联系的主要通道。沿线规划布局主要商业、办公、文化、体育、教育等公共设施以及公共绿地、休闲广场、文化活动中心等，满足村民的日常生活、休闲、游憩、娱乐等需求。</w:t>
      </w:r>
    </w:p>
    <w:p w14:paraId="04994AEC">
      <w:pPr>
        <w:ind w:firstLine="640"/>
        <w:rPr>
          <w:rFonts w:cs="Times New Roman"/>
        </w:rPr>
      </w:pPr>
      <w:r>
        <w:rPr>
          <w:rFonts w:cs="Times New Roman"/>
        </w:rPr>
        <w:t>“三组团”：即西部和中部的两个居住组团，以及东部的工业组团。</w:t>
      </w:r>
    </w:p>
    <w:bookmarkEnd w:id="85"/>
    <w:p w14:paraId="07DBE3EE">
      <w:pPr>
        <w:pStyle w:val="4"/>
        <w:numPr>
          <w:ilvl w:val="0"/>
          <w:numId w:val="1"/>
        </w:numPr>
        <w:ind w:left="860" w:firstLine="361" w:firstLineChars="113"/>
      </w:pPr>
      <w:r>
        <w:t>用地布局</w:t>
      </w:r>
    </w:p>
    <w:p w14:paraId="19C3CAAD">
      <w:pPr>
        <w:ind w:firstLine="640"/>
        <w:rPr>
          <w:rFonts w:cs="Times New Roman"/>
        </w:rPr>
      </w:pPr>
      <w:bookmarkStart w:id="87" w:name="_Hlk131089488"/>
      <w:r>
        <w:rPr>
          <w:rFonts w:cs="Times New Roman"/>
        </w:rPr>
        <w:t>规划至2035年，乡中心区城镇建设用地总计</w:t>
      </w:r>
      <w:r>
        <w:rPr>
          <w:rFonts w:hint="eastAsia" w:cs="Times New Roman"/>
        </w:rPr>
        <w:t>36.63</w:t>
      </w:r>
      <w:r>
        <w:rPr>
          <w:rFonts w:cs="Times New Roman"/>
        </w:rPr>
        <w:t>公顷，其中：</w:t>
      </w:r>
    </w:p>
    <w:p w14:paraId="0742FE95">
      <w:pPr>
        <w:ind w:firstLine="640"/>
        <w:rPr>
          <w:rFonts w:cs="Times New Roman"/>
        </w:rPr>
      </w:pPr>
      <w:bookmarkStart w:id="88" w:name="_Hlk184372822"/>
      <w:r>
        <w:rPr>
          <w:rFonts w:cs="Times New Roman"/>
        </w:rPr>
        <w:t>1.居住用地。新增城镇居住用地规模，保障性住房用地供给，新增住房用地重点向中部居住生活组团倾斜。规划至2035年，居住用地规模控制在8.24公顷，占建设用地的</w:t>
      </w:r>
      <w:r>
        <w:rPr>
          <w:rFonts w:hint="eastAsia" w:cs="Times New Roman"/>
        </w:rPr>
        <w:t>22.49</w:t>
      </w:r>
      <w:r>
        <w:rPr>
          <w:rFonts w:cs="Times New Roman"/>
        </w:rPr>
        <w:t>%。</w:t>
      </w:r>
    </w:p>
    <w:p w14:paraId="302D424B">
      <w:pPr>
        <w:ind w:firstLine="640"/>
        <w:rPr>
          <w:rFonts w:cs="Times New Roman"/>
        </w:rPr>
      </w:pPr>
      <w:r>
        <w:rPr>
          <w:rFonts w:cs="Times New Roman"/>
        </w:rPr>
        <w:t>2.公共管理与公共服务用地。存量与增量供给相结合，增加公共管理与公共服务用地，提升城区公共服务品质。规划至2035年，公共管理与公共服务用地1.7</w:t>
      </w:r>
      <w:r>
        <w:rPr>
          <w:rFonts w:hint="eastAsia" w:cs="Times New Roman"/>
        </w:rPr>
        <w:t>1</w:t>
      </w:r>
      <w:r>
        <w:rPr>
          <w:rFonts w:cs="Times New Roman"/>
        </w:rPr>
        <w:t>公顷，占建设用地的</w:t>
      </w:r>
      <w:r>
        <w:rPr>
          <w:rFonts w:hint="eastAsia" w:cs="Times New Roman"/>
        </w:rPr>
        <w:t>4.66</w:t>
      </w:r>
      <w:r>
        <w:rPr>
          <w:rFonts w:cs="Times New Roman"/>
        </w:rPr>
        <w:t>%。</w:t>
      </w:r>
    </w:p>
    <w:p w14:paraId="5354F882">
      <w:pPr>
        <w:ind w:firstLine="640"/>
        <w:rPr>
          <w:rFonts w:cs="Times New Roman"/>
        </w:rPr>
      </w:pPr>
      <w:r>
        <w:rPr>
          <w:rFonts w:cs="Times New Roman"/>
        </w:rPr>
        <w:t>3.商业服务业用地。增加商业服务业设施用地，吸引人口集聚。规划至2035年，商业服务业用地规模</w:t>
      </w:r>
      <w:r>
        <w:rPr>
          <w:rFonts w:hint="eastAsia" w:cs="Times New Roman"/>
        </w:rPr>
        <w:t>16.43</w:t>
      </w:r>
      <w:r>
        <w:rPr>
          <w:rFonts w:cs="Times New Roman"/>
        </w:rPr>
        <w:t>公顷，占建设用地的</w:t>
      </w:r>
      <w:r>
        <w:rPr>
          <w:rFonts w:hint="eastAsia" w:cs="Times New Roman"/>
        </w:rPr>
        <w:t>44.87%</w:t>
      </w:r>
      <w:r>
        <w:rPr>
          <w:rFonts w:cs="Times New Roman"/>
        </w:rPr>
        <w:t>。</w:t>
      </w:r>
    </w:p>
    <w:p w14:paraId="7DCE7514">
      <w:pPr>
        <w:ind w:firstLine="640"/>
        <w:rPr>
          <w:rFonts w:cs="Times New Roman"/>
        </w:rPr>
      </w:pPr>
      <w:r>
        <w:rPr>
          <w:rFonts w:cs="Times New Roman"/>
        </w:rPr>
        <w:t>4.工矿用地。引导新增工矿用地向产业园区集中布局，促进工矿用地集约高效发展，提高工矿用地效率。大力推进园区建设，逐步腾退和改造与功能不符的工矿用地，特别是零星、低效的工矿用地。规划至2035年，工矿用地</w:t>
      </w:r>
      <w:r>
        <w:rPr>
          <w:rFonts w:hint="eastAsia" w:cs="Times New Roman"/>
        </w:rPr>
        <w:t>5.48</w:t>
      </w:r>
      <w:r>
        <w:rPr>
          <w:rFonts w:cs="Times New Roman"/>
        </w:rPr>
        <w:t>公顷，占建设用地的</w:t>
      </w:r>
      <w:r>
        <w:rPr>
          <w:rFonts w:hint="eastAsia" w:cs="Times New Roman"/>
        </w:rPr>
        <w:t>14.96%</w:t>
      </w:r>
      <w:r>
        <w:rPr>
          <w:rFonts w:cs="Times New Roman"/>
        </w:rPr>
        <w:t>。</w:t>
      </w:r>
    </w:p>
    <w:p w14:paraId="746E8902">
      <w:pPr>
        <w:ind w:firstLine="640"/>
        <w:rPr>
          <w:rFonts w:cs="Times New Roman"/>
        </w:rPr>
      </w:pPr>
      <w:r>
        <w:rPr>
          <w:rFonts w:cs="Times New Roman"/>
        </w:rPr>
        <w:t>5.仓储用地。规划至2035年，仓储用地0.72公顷，占城镇建设用地比例</w:t>
      </w:r>
      <w:r>
        <w:rPr>
          <w:rFonts w:hint="eastAsia" w:cs="Times New Roman"/>
        </w:rPr>
        <w:t>1.96%</w:t>
      </w:r>
      <w:r>
        <w:rPr>
          <w:rFonts w:hint="eastAsia" w:cs="Times New Roman"/>
        </w:rPr>
        <w:tab/>
      </w:r>
      <w:r>
        <w:rPr>
          <w:rFonts w:cs="Times New Roman"/>
        </w:rPr>
        <w:t>。</w:t>
      </w:r>
    </w:p>
    <w:p w14:paraId="4F8AFE99">
      <w:pPr>
        <w:ind w:firstLine="640"/>
        <w:rPr>
          <w:rFonts w:cs="Times New Roman"/>
        </w:rPr>
      </w:pPr>
      <w:r>
        <w:rPr>
          <w:rFonts w:cs="Times New Roman"/>
        </w:rPr>
        <w:t>6.交通运输用地。规划至2035年，交通运输用地</w:t>
      </w:r>
      <w:r>
        <w:rPr>
          <w:rFonts w:hint="eastAsia" w:cs="Times New Roman"/>
        </w:rPr>
        <w:t>3.13</w:t>
      </w:r>
      <w:r>
        <w:rPr>
          <w:rFonts w:cs="Times New Roman"/>
        </w:rPr>
        <w:t>公顷，占建设用地的8.</w:t>
      </w:r>
      <w:r>
        <w:rPr>
          <w:rFonts w:hint="eastAsia" w:cs="Times New Roman"/>
        </w:rPr>
        <w:t>5</w:t>
      </w:r>
      <w:r>
        <w:rPr>
          <w:rFonts w:cs="Times New Roman"/>
        </w:rPr>
        <w:t>5%。</w:t>
      </w:r>
    </w:p>
    <w:p w14:paraId="22560A93">
      <w:pPr>
        <w:ind w:firstLine="640"/>
        <w:rPr>
          <w:rFonts w:cs="Times New Roman"/>
        </w:rPr>
      </w:pPr>
      <w:r>
        <w:rPr>
          <w:rFonts w:cs="Times New Roman"/>
        </w:rPr>
        <w:t>7.公用设施用地。规划至2035年，公用设施用地0.54公顷，占建设用地的</w:t>
      </w:r>
      <w:r>
        <w:rPr>
          <w:rFonts w:hint="eastAsia" w:cs="Times New Roman"/>
        </w:rPr>
        <w:t>1.48</w:t>
      </w:r>
      <w:r>
        <w:rPr>
          <w:rFonts w:cs="Times New Roman"/>
        </w:rPr>
        <w:t>%。</w:t>
      </w:r>
    </w:p>
    <w:p w14:paraId="59E07ED2">
      <w:pPr>
        <w:ind w:firstLine="640"/>
        <w:rPr>
          <w:rFonts w:cs="Times New Roman"/>
        </w:rPr>
      </w:pPr>
      <w:r>
        <w:rPr>
          <w:rFonts w:cs="Times New Roman"/>
        </w:rPr>
        <w:t>8.绿地与开敞空间用地。增加绿地和开敞空间用地，增补社区级公园，建设绿地和公园体系。规划至2035年，绿地与开敞空间用地0.38公顷，占建设用地的</w:t>
      </w:r>
      <w:r>
        <w:rPr>
          <w:rFonts w:hint="eastAsia" w:cs="Times New Roman"/>
        </w:rPr>
        <w:t>1.05</w:t>
      </w:r>
      <w:r>
        <w:rPr>
          <w:rFonts w:cs="Times New Roman"/>
        </w:rPr>
        <w:t>%。</w:t>
      </w:r>
    </w:p>
    <w:bookmarkEnd w:id="87"/>
    <w:bookmarkEnd w:id="88"/>
    <w:p w14:paraId="146E1AD4">
      <w:pPr>
        <w:pStyle w:val="4"/>
        <w:numPr>
          <w:ilvl w:val="0"/>
          <w:numId w:val="1"/>
        </w:numPr>
        <w:ind w:left="860" w:firstLine="361" w:firstLineChars="113"/>
      </w:pPr>
      <w:r>
        <w:t>用地兼容性控制</w:t>
      </w:r>
    </w:p>
    <w:p w14:paraId="5F07F701">
      <w:pPr>
        <w:widowControl/>
        <w:adjustRightInd w:val="0"/>
        <w:snapToGrid w:val="0"/>
        <w:ind w:firstLine="640"/>
        <w:rPr>
          <w:rFonts w:cs="Times New Roman"/>
        </w:rPr>
      </w:pPr>
      <w:bookmarkStart w:id="89" w:name="_Hlk131090097"/>
      <w:r>
        <w:rPr>
          <w:rFonts w:cs="Times New Roman"/>
        </w:rPr>
        <w:t>为提升乡中心区活力、增加用地性质的弹性，适应市场建设的需求，同时保障公益性设施的建设，对具有较好建设相容性的用地性质提供混合的可能。鼓励功能不冲突、环境要求相似且彼此间没有互相不利影响的用地混合设置。</w:t>
      </w:r>
    </w:p>
    <w:p w14:paraId="4F9BBFD9">
      <w:pPr>
        <w:widowControl/>
        <w:adjustRightInd w:val="0"/>
        <w:snapToGrid w:val="0"/>
        <w:ind w:firstLine="640"/>
        <w:rPr>
          <w:rFonts w:cs="Times New Roman"/>
        </w:rPr>
      </w:pPr>
      <w:r>
        <w:rPr>
          <w:rFonts w:cs="Times New Roman"/>
        </w:rPr>
        <w:t>为规范向阳乡规划用地兼容性管理，确定向阳乡土地使用主要兼容内容包括以下情形。</w:t>
      </w:r>
    </w:p>
    <w:p w14:paraId="251BC38C">
      <w:pPr>
        <w:widowControl/>
        <w:adjustRightInd w:val="0"/>
        <w:snapToGrid w:val="0"/>
        <w:ind w:firstLine="640"/>
        <w:rPr>
          <w:rFonts w:cs="Times New Roman"/>
        </w:rPr>
      </w:pPr>
      <w:r>
        <w:rPr>
          <w:rFonts w:cs="Times New Roman"/>
        </w:rPr>
        <w:t>部分兼容：“部分兼容”指在地块原规划性质上，混合其他单种性质用地的用地规模比例不超过30%，或混合其他两种及两种以上性质用地的用地规模比例之和不超过40%。相邻连接的同性质用地，可合并考虑兼容比例。被兼容的功能无法进行用地功能分区的，以上兼容比例按建筑规模计算。</w:t>
      </w:r>
    </w:p>
    <w:p w14:paraId="352991ED">
      <w:pPr>
        <w:widowControl/>
        <w:adjustRightInd w:val="0"/>
        <w:snapToGrid w:val="0"/>
        <w:ind w:firstLine="640"/>
        <w:rPr>
          <w:rFonts w:cs="Times New Roman"/>
        </w:rPr>
      </w:pPr>
      <w:r>
        <w:rPr>
          <w:rFonts w:cs="Times New Roman"/>
        </w:rPr>
        <w:t>完全兼容：“完全兼容”指在地块原规划用地性质上，混合其他一种或几种性质用地的用地规模比例可达100%。</w:t>
      </w:r>
    </w:p>
    <w:p w14:paraId="16CFF031">
      <w:pPr>
        <w:widowControl/>
        <w:adjustRightInd w:val="0"/>
        <w:snapToGrid w:val="0"/>
        <w:ind w:firstLine="640"/>
        <w:rPr>
          <w:rFonts w:cs="Times New Roman"/>
        </w:rPr>
      </w:pPr>
      <w:r>
        <w:rPr>
          <w:rFonts w:cs="Times New Roman"/>
        </w:rPr>
        <w:t>禁止兼容：“禁止兼容”指在地块原规划用地性质上不允许混合或转变为其他用地性质</w:t>
      </w:r>
      <w:bookmarkEnd w:id="89"/>
      <w:r>
        <w:rPr>
          <w:rFonts w:cs="Times New Roman"/>
        </w:rPr>
        <w:t>。</w:t>
      </w:r>
    </w:p>
    <w:p w14:paraId="423E3907">
      <w:pPr>
        <w:pStyle w:val="3"/>
        <w:rPr>
          <w:rFonts w:ascii="Times New Roman" w:hAnsi="Times New Roman" w:cs="Times New Roman"/>
        </w:rPr>
      </w:pPr>
      <w:bookmarkStart w:id="90" w:name="_Toc185844305"/>
      <w:bookmarkStart w:id="91" w:name="_Toc27958"/>
      <w:r>
        <w:rPr>
          <w:rFonts w:ascii="Times New Roman" w:hAnsi="Times New Roman" w:cs="Times New Roman"/>
        </w:rPr>
        <w:t>第三节 绿地系统和开敞空间</w:t>
      </w:r>
      <w:bookmarkEnd w:id="90"/>
      <w:bookmarkEnd w:id="91"/>
    </w:p>
    <w:p w14:paraId="681EA858">
      <w:pPr>
        <w:pStyle w:val="4"/>
        <w:numPr>
          <w:ilvl w:val="0"/>
          <w:numId w:val="24"/>
        </w:numPr>
        <w:ind w:left="420" w:firstLine="361" w:firstLineChars="113"/>
      </w:pPr>
      <w:r>
        <w:t>绿地系统规划</w:t>
      </w:r>
    </w:p>
    <w:p w14:paraId="7B2D19E6">
      <w:pPr>
        <w:ind w:firstLine="640"/>
        <w:rPr>
          <w:rFonts w:cs="Times New Roman"/>
        </w:rPr>
      </w:pPr>
      <w:r>
        <w:rPr>
          <w:rFonts w:cs="Times New Roman"/>
        </w:rPr>
        <w:t>规划在梳理现状水系的基础上，统筹“点、线、面”布局，形成“一核、一带、一廊、多点”的绿地系统结构。</w:t>
      </w:r>
    </w:p>
    <w:p w14:paraId="0C4775E8">
      <w:pPr>
        <w:ind w:firstLine="640"/>
        <w:rPr>
          <w:rFonts w:cs="Times New Roman"/>
        </w:rPr>
      </w:pPr>
      <w:r>
        <w:rPr>
          <w:rFonts w:cs="Times New Roman"/>
        </w:rPr>
        <w:t>“一核”：乡中心区的政府广场公园形成的城镇绿核。</w:t>
      </w:r>
    </w:p>
    <w:p w14:paraId="2C8307BF">
      <w:pPr>
        <w:ind w:firstLine="640"/>
        <w:rPr>
          <w:rFonts w:cs="Times New Roman"/>
        </w:rPr>
      </w:pPr>
      <w:r>
        <w:rPr>
          <w:rFonts w:cs="Times New Roman"/>
        </w:rPr>
        <w:t>“一带”：依托县道凤向线形成的交通绿廊。</w:t>
      </w:r>
    </w:p>
    <w:p w14:paraId="39CCE249">
      <w:pPr>
        <w:ind w:firstLine="640"/>
        <w:rPr>
          <w:rFonts w:cs="Times New Roman"/>
        </w:rPr>
      </w:pPr>
      <w:r>
        <w:rPr>
          <w:rFonts w:cs="Times New Roman"/>
        </w:rPr>
        <w:t>“一廊”：依托回龙湖水系形成的滨水景观廊道。</w:t>
      </w:r>
    </w:p>
    <w:p w14:paraId="0411D155">
      <w:pPr>
        <w:ind w:firstLine="640"/>
        <w:rPr>
          <w:rFonts w:cs="Times New Roman"/>
        </w:rPr>
      </w:pPr>
      <w:r>
        <w:rPr>
          <w:rFonts w:cs="Times New Roman"/>
        </w:rPr>
        <w:t>“多点”：街头绿地、各类公园及分散的小型绿地。</w:t>
      </w:r>
    </w:p>
    <w:p w14:paraId="3A984FF1">
      <w:pPr>
        <w:pStyle w:val="4"/>
        <w:numPr>
          <w:ilvl w:val="0"/>
          <w:numId w:val="1"/>
        </w:numPr>
        <w:ind w:left="860" w:firstLine="361" w:firstLineChars="113"/>
      </w:pPr>
      <w:r>
        <w:t>公园绿地</w:t>
      </w:r>
    </w:p>
    <w:p w14:paraId="003FB4E2">
      <w:pPr>
        <w:ind w:firstLine="640"/>
        <w:rPr>
          <w:rFonts w:cs="Times New Roman"/>
        </w:rPr>
      </w:pPr>
      <w:r>
        <w:rPr>
          <w:rFonts w:cs="Times New Roman"/>
        </w:rPr>
        <w:t>乡中心区公园以结构性绿地为骨架，塑造城镇滨水公园带与城镇魅力公园带，形成绿水交融、特色鲜明的城镇公共空间。建设城镇公园绿地，位于乡中心区，作为城镇居民休憩、游乐场所，同时设立一些地标性的雕塑等，展现向阳的形象，促使向阳形成生态发展的空间格局，并形成向阳乡内特有的山水景观特征。在各居住片区或与工业用地之间，均衡分布片区级公园。在回龙湖沿线布置生态景观带，建设一些滨水公园，布置景观绿地。</w:t>
      </w:r>
    </w:p>
    <w:p w14:paraId="270AFDE5">
      <w:pPr>
        <w:pStyle w:val="4"/>
        <w:numPr>
          <w:ilvl w:val="0"/>
          <w:numId w:val="1"/>
        </w:numPr>
        <w:ind w:left="860" w:firstLine="361" w:firstLineChars="113"/>
      </w:pPr>
      <w:r>
        <w:t>防护绿地</w:t>
      </w:r>
    </w:p>
    <w:p w14:paraId="6BBB1215">
      <w:pPr>
        <w:ind w:firstLine="640"/>
        <w:rPr>
          <w:rFonts w:cs="Times New Roman"/>
        </w:rPr>
      </w:pPr>
      <w:r>
        <w:rPr>
          <w:rFonts w:cs="Times New Roman"/>
        </w:rPr>
        <w:t>加强道路、高压走廊、工业区卫生隔离带等防护绿带的控制和建设，构建安全、连续的防护绿地空间骨架。架空电力线路规划走廊宽度应按照《城市电力规划规范（GB/T50293）》《电力设施保护条例》及本溪地区有关标准规范执行。公路防护绿地设置应按照国家、辽宁省相关法律、法规及保护条例执行。</w:t>
      </w:r>
    </w:p>
    <w:p w14:paraId="02B19A55">
      <w:pPr>
        <w:pStyle w:val="4"/>
        <w:numPr>
          <w:ilvl w:val="0"/>
          <w:numId w:val="1"/>
        </w:numPr>
        <w:ind w:left="860" w:firstLine="361" w:firstLineChars="113"/>
      </w:pPr>
      <w:r>
        <w:t>公共开敞空间</w:t>
      </w:r>
    </w:p>
    <w:p w14:paraId="727A552A">
      <w:pPr>
        <w:ind w:firstLine="640"/>
        <w:rPr>
          <w:rFonts w:cs="Times New Roman"/>
        </w:rPr>
      </w:pPr>
      <w:r>
        <w:rPr>
          <w:rFonts w:cs="Times New Roman"/>
        </w:rPr>
        <w:t>塑造开放空间提升城镇品质。建立以沿河休闲景观绿带为重点，绿化景观长廊为廊道，微绿地为补充的城镇慢行休闲体系，打造多层级、多类型的开放空间及其联系脉络，强化公共空间的贯通性，将公共空间编织成网。提高公共空间舒适度，加强无障碍设施、休息座椅、智慧信息服务配套设施配置，提升公共空间环境品质。部分公共绿地可以根据需要设计建设为开放性的广场型绿地，同时满足景观和居民游憩、集会需要。</w:t>
      </w:r>
    </w:p>
    <w:p w14:paraId="5A22257E">
      <w:pPr>
        <w:pStyle w:val="3"/>
        <w:rPr>
          <w:rFonts w:ascii="Times New Roman" w:hAnsi="Times New Roman" w:cs="Times New Roman"/>
        </w:rPr>
      </w:pPr>
      <w:bookmarkStart w:id="92" w:name="_Toc185844306"/>
      <w:bookmarkStart w:id="93" w:name="_Toc19399"/>
      <w:r>
        <w:rPr>
          <w:rFonts w:ascii="Times New Roman" w:hAnsi="Times New Roman" w:cs="Times New Roman"/>
        </w:rPr>
        <w:t>第四节 景观风貌</w:t>
      </w:r>
      <w:bookmarkEnd w:id="92"/>
      <w:bookmarkEnd w:id="93"/>
    </w:p>
    <w:p w14:paraId="6B053FA4">
      <w:pPr>
        <w:pStyle w:val="4"/>
        <w:numPr>
          <w:ilvl w:val="0"/>
          <w:numId w:val="25"/>
        </w:numPr>
        <w:ind w:left="420" w:firstLine="361" w:firstLineChars="113"/>
      </w:pPr>
      <w:r>
        <w:t>景观风貌引导</w:t>
      </w:r>
    </w:p>
    <w:p w14:paraId="436773DC">
      <w:pPr>
        <w:ind w:firstLine="640"/>
        <w:rPr>
          <w:rFonts w:cs="Times New Roman"/>
        </w:rPr>
      </w:pPr>
      <w:r>
        <w:rPr>
          <w:rFonts w:cs="Times New Roman"/>
        </w:rPr>
        <w:t>按照“显山露水、错落有致”的原则，构建“依山傍水、城随山形、群山环绕、水连三区”的城镇山水格局。体现向阳乡独特的沿河、临山城镇风貌，形成环境和谐、视觉优美、功能完备、风格独特的城镇风貌景观，展示城镇魅力。按照规划确定的城镇建筑高度、风貌和天际线等空间形态进行建设控制，对城镇开发强度分区和容积率、密度等控制指标提出控制指引。加强对制高点、山水轴线和城镇视线通廊等重点地段、重要类型建筑风貌管控，强化国土空间规划对建筑风貌的指导约束。</w:t>
      </w:r>
    </w:p>
    <w:p w14:paraId="72D48D5E">
      <w:pPr>
        <w:pStyle w:val="4"/>
        <w:numPr>
          <w:ilvl w:val="0"/>
          <w:numId w:val="1"/>
        </w:numPr>
        <w:ind w:left="860" w:firstLine="361" w:firstLineChars="113"/>
      </w:pPr>
      <w:r>
        <w:t>景观风貌分区</w:t>
      </w:r>
    </w:p>
    <w:p w14:paraId="5F40562B">
      <w:pPr>
        <w:ind w:firstLine="640"/>
        <w:rPr>
          <w:rFonts w:cs="Times New Roman"/>
        </w:rPr>
      </w:pPr>
      <w:r>
        <w:rPr>
          <w:rFonts w:cs="Times New Roman"/>
        </w:rPr>
        <w:t>根据不同片区的功能和场地特征差异，规划形成三片建筑风貌分区，分别为传统居住风貌区、现代工业风貌区、商业休闲风貌区。</w:t>
      </w:r>
    </w:p>
    <w:p w14:paraId="423695C0">
      <w:pPr>
        <w:ind w:firstLine="640"/>
        <w:rPr>
          <w:rFonts w:cs="Times New Roman"/>
        </w:rPr>
      </w:pPr>
      <w:r>
        <w:rPr>
          <w:rFonts w:cs="Times New Roman"/>
        </w:rPr>
        <w:t>传统居住风貌区：保留现状传统居住形态，整体风貌以展现乡村居住、乡村旅游为主要风格，注重保持历史风貌，注重恢复原有历史符号和文化遗存，适当增加旅游服务设施。建筑宜以低层、多层建筑为主，通过分散式的布局营造低密度的生活空间，在保证居住舒适度的同时，也保证视野和景观的通透性，为居民提供一个宜居宜游城镇环境。</w:t>
      </w:r>
    </w:p>
    <w:p w14:paraId="431BB054">
      <w:pPr>
        <w:ind w:firstLine="640"/>
        <w:rPr>
          <w:rFonts w:cs="Times New Roman"/>
        </w:rPr>
      </w:pPr>
      <w:r>
        <w:rPr>
          <w:rFonts w:cs="Times New Roman"/>
        </w:rPr>
        <w:t>现代工业风貌区：在风貌特色上体现新工业区特征，以简洁高效、环境优美为特征的现代工业区形象为主，形成清新明快的建筑风格，并与乡中心区整体建筑风格相协调。工业建筑应以低层为主，建筑形式宜采用坡屋顶，建筑空间布局应能营造良好的产业园区环境。</w:t>
      </w:r>
    </w:p>
    <w:p w14:paraId="18486E98">
      <w:pPr>
        <w:ind w:firstLine="640"/>
        <w:rPr>
          <w:rFonts w:cs="Times New Roman"/>
        </w:rPr>
      </w:pPr>
      <w:r>
        <w:rPr>
          <w:rFonts w:cs="Times New Roman"/>
        </w:rPr>
        <w:t>商贸休闲风貌区：商业区建筑应体现现代气息及向阳乡产业特色。打造集旅游产品开发与销售、餐饮、购物等为一体的特色商贸街，乡镇两侧商网店面进行立面装修，形成设计规范、标准统一的商贸区，建筑层数以低层为主，建筑风格采用新中式建筑。</w:t>
      </w:r>
    </w:p>
    <w:p w14:paraId="2DC77C29">
      <w:pPr>
        <w:pStyle w:val="4"/>
        <w:numPr>
          <w:ilvl w:val="0"/>
          <w:numId w:val="1"/>
        </w:numPr>
        <w:ind w:left="860" w:firstLine="361" w:firstLineChars="113"/>
      </w:pPr>
      <w:r>
        <w:t>开发强度分区指引</w:t>
      </w:r>
    </w:p>
    <w:p w14:paraId="58F2FA8C">
      <w:pPr>
        <w:widowControl/>
        <w:adjustRightInd w:val="0"/>
        <w:snapToGrid w:val="0"/>
        <w:ind w:firstLine="640"/>
        <w:rPr>
          <w:rFonts w:cs="Times New Roman"/>
        </w:rPr>
      </w:pPr>
      <w:r>
        <w:rPr>
          <w:rFonts w:cs="Times New Roman"/>
        </w:rPr>
        <w:t>建设用地开发强度按三级控制，实行差异化的土地开发强度管制。</w:t>
      </w:r>
    </w:p>
    <w:p w14:paraId="7C82BBE6">
      <w:pPr>
        <w:ind w:firstLine="640"/>
        <w:rPr>
          <w:rFonts w:cs="Times New Roman"/>
        </w:rPr>
      </w:pPr>
      <w:r>
        <w:rPr>
          <w:rFonts w:cs="Times New Roman"/>
        </w:rPr>
        <w:t>1.开发强度I区：中低强度开发地区。主要分布于已建片区为中低强度开发居住地块和工业地块，控制容积率0.8-1.0，建筑高度宜小于15米。乡中心区内部水体、山体周边或城镇开敞空间周边的建筑高度控制区域，以及视线通廊控制范围内，打造宜人的城镇风貌，视觉走廊下建筑高度不宜大于15米。工业用地容积率应高于0.8。</w:t>
      </w:r>
    </w:p>
    <w:p w14:paraId="3E6F6E1A">
      <w:pPr>
        <w:ind w:firstLine="640"/>
        <w:rPr>
          <w:rFonts w:cs="Times New Roman"/>
        </w:rPr>
      </w:pPr>
      <w:r>
        <w:rPr>
          <w:rFonts w:cs="Times New Roman"/>
        </w:rPr>
        <w:t>2.开发强度II区：包括为公共设施用地。奠定基准建筑高度，打造整体舒缓的城镇基底风貌。区内独立地块容积率不宜高于1.5，平均容积率为1.0-1.2，建筑密度不宜大于30%，建筑高度不宜高于15米。</w:t>
      </w:r>
    </w:p>
    <w:p w14:paraId="45DEDE5A">
      <w:pPr>
        <w:pStyle w:val="4"/>
        <w:numPr>
          <w:ilvl w:val="0"/>
          <w:numId w:val="1"/>
        </w:numPr>
        <w:ind w:left="860" w:firstLine="361" w:firstLineChars="113"/>
      </w:pPr>
      <w:r>
        <w:t>建筑风格色彩管控</w:t>
      </w:r>
    </w:p>
    <w:p w14:paraId="1204EB27">
      <w:pPr>
        <w:ind w:firstLine="640"/>
        <w:rPr>
          <w:rFonts w:cs="Times New Roman"/>
        </w:rPr>
      </w:pPr>
      <w:r>
        <w:rPr>
          <w:rFonts w:cs="Times New Roman"/>
        </w:rPr>
        <w:t>规划向阳乡建筑风格应整体协调，建筑个体富于变化，增强可识别性，避免雷同。延续城镇文脉，体现城镇精神，展现时代风貌。加强建筑风貌色彩管控，建筑色彩应适合城镇地域、气候、人文和历史特点。</w:t>
      </w:r>
    </w:p>
    <w:p w14:paraId="61BE0371">
      <w:pPr>
        <w:ind w:firstLine="640"/>
        <w:rPr>
          <w:rFonts w:cs="Times New Roman"/>
        </w:rPr>
      </w:pPr>
      <w:r>
        <w:rPr>
          <w:rFonts w:cs="Times New Roman"/>
        </w:rPr>
        <w:t>公共建筑、文体设施建筑的色彩宜以清凉色调、低亮度色彩为主。居住建筑运用现代设计手法，形成清新大方的建筑风格。屋顶宜采用坡屋顶，屋顶变化多样，相容于周围环境，以丰富城镇的天际线。商业服务、旅游休闲建筑体现旅游城镇繁荣、活力的商业氛围，建筑色彩采用白色、青色、土黄色、赭石色的色彩体系；基调色采用与新中式建筑的白色、青色为建筑的主要基调色，整体色彩可以降低明度和色彩亮度；辅助色适当采用调和的暖灰色系、赭石色彩，加强对建筑基底的分层处理；建筑的门窗、墙线以及建筑突出部构件允许采用其他点缀色彩但是必须整体协调。工业建筑在满足功能和环境要求的同时，将地方性的文化符号、建筑语言融入工业建筑的设计中，形成具有向阳特色的产业区，建筑主色调宜采用白色、蓝色，配色宜采用淡茶色、砖灰色。</w:t>
      </w:r>
    </w:p>
    <w:p w14:paraId="519702CE">
      <w:pPr>
        <w:pStyle w:val="3"/>
        <w:rPr>
          <w:rFonts w:ascii="Times New Roman" w:hAnsi="Times New Roman" w:cs="Times New Roman"/>
        </w:rPr>
      </w:pPr>
      <w:bookmarkStart w:id="94" w:name="_Toc185844307"/>
      <w:bookmarkStart w:id="95" w:name="_Toc7856"/>
      <w:r>
        <w:rPr>
          <w:rFonts w:ascii="Times New Roman" w:hAnsi="Times New Roman" w:cs="Times New Roman"/>
        </w:rPr>
        <w:t>第五节 住房保障</w:t>
      </w:r>
      <w:bookmarkEnd w:id="94"/>
      <w:bookmarkEnd w:id="95"/>
    </w:p>
    <w:p w14:paraId="2953833C">
      <w:pPr>
        <w:pStyle w:val="4"/>
        <w:numPr>
          <w:ilvl w:val="0"/>
          <w:numId w:val="26"/>
        </w:numPr>
        <w:ind w:left="420" w:firstLine="361" w:firstLineChars="113"/>
      </w:pPr>
      <w:r>
        <w:t>居住用地规模和布局</w:t>
      </w:r>
    </w:p>
    <w:p w14:paraId="03DE6BF1">
      <w:pPr>
        <w:widowControl/>
        <w:adjustRightInd w:val="0"/>
        <w:snapToGrid w:val="0"/>
        <w:ind w:firstLine="640"/>
        <w:rPr>
          <w:rFonts w:cs="Times New Roman"/>
        </w:rPr>
      </w:pPr>
      <w:bookmarkStart w:id="96" w:name="_Hlk133418041"/>
      <w:r>
        <w:rPr>
          <w:rFonts w:cs="Times New Roman"/>
        </w:rPr>
        <w:t>充分对接住房建设需求，严格落实供地调控机制</w:t>
      </w:r>
      <w:r>
        <w:rPr>
          <w:rFonts w:hint="eastAsia" w:cs="Times New Roman"/>
        </w:rPr>
        <w:t>。</w:t>
      </w:r>
      <w:r>
        <w:rPr>
          <w:rFonts w:cs="Times New Roman"/>
        </w:rPr>
        <w:t>规划至2035年，城镇人均住房面积达到45平方米。新增住宅用地供应优先安排在公共空间和公益性设施实施情况较好的地区</w:t>
      </w:r>
      <w:bookmarkEnd w:id="96"/>
      <w:r>
        <w:rPr>
          <w:rFonts w:cs="Times New Roman"/>
        </w:rPr>
        <w:t>。</w:t>
      </w:r>
    </w:p>
    <w:p w14:paraId="06DFB98C">
      <w:pPr>
        <w:pStyle w:val="4"/>
        <w:numPr>
          <w:ilvl w:val="0"/>
          <w:numId w:val="1"/>
        </w:numPr>
        <w:ind w:left="860" w:firstLine="361" w:firstLineChars="113"/>
      </w:pPr>
      <w:r>
        <w:t>住房保障建设</w:t>
      </w:r>
    </w:p>
    <w:p w14:paraId="4FDDDDCA">
      <w:pPr>
        <w:widowControl/>
        <w:adjustRightInd w:val="0"/>
        <w:snapToGrid w:val="0"/>
        <w:ind w:firstLine="640"/>
        <w:rPr>
          <w:rFonts w:cs="Times New Roman"/>
        </w:rPr>
      </w:pPr>
      <w:bookmarkStart w:id="97" w:name="_Hlk131090464"/>
      <w:bookmarkStart w:id="98" w:name="_Hlk129180793"/>
      <w:r>
        <w:rPr>
          <w:rFonts w:cs="Times New Roman"/>
        </w:rPr>
        <w:t>提升住房保障水平，规划至2035年，基本住房保障“应保尽保”，实现人有所居的住房保障目标。</w:t>
      </w:r>
    </w:p>
    <w:p w14:paraId="0D92757D">
      <w:pPr>
        <w:widowControl/>
        <w:adjustRightInd w:val="0"/>
        <w:snapToGrid w:val="0"/>
        <w:ind w:firstLine="640"/>
        <w:rPr>
          <w:rFonts w:cs="Times New Roman"/>
        </w:rPr>
      </w:pPr>
      <w:r>
        <w:rPr>
          <w:rFonts w:cs="Times New Roman"/>
        </w:rPr>
        <w:t>建设完整居住社区。实施城镇更新行动，加强社区治理，改善公共服务设施、区域居住环境、建筑安全性能、房屋使用功能，推进城市基础设施提档升级。新建住宅项目要按照完整居住社区建设标准，配建居住社区基本公共服务设施、便民商业服务设施、市政配套基础设施和公共活动空间。</w:t>
      </w:r>
    </w:p>
    <w:bookmarkEnd w:id="97"/>
    <w:bookmarkEnd w:id="98"/>
    <w:p w14:paraId="46B1ED7D">
      <w:pPr>
        <w:pStyle w:val="3"/>
        <w:rPr>
          <w:rFonts w:ascii="Times New Roman" w:hAnsi="Times New Roman" w:cs="Times New Roman"/>
        </w:rPr>
      </w:pPr>
      <w:bookmarkStart w:id="99" w:name="_Toc185844308"/>
      <w:bookmarkStart w:id="100" w:name="_Toc20308"/>
      <w:r>
        <w:rPr>
          <w:rFonts w:ascii="Times New Roman" w:hAnsi="Times New Roman" w:cs="Times New Roman"/>
        </w:rPr>
        <w:t>第六节 城镇更新</w:t>
      </w:r>
      <w:bookmarkEnd w:id="99"/>
      <w:bookmarkEnd w:id="100"/>
    </w:p>
    <w:p w14:paraId="32F0AD47">
      <w:pPr>
        <w:pStyle w:val="4"/>
        <w:numPr>
          <w:ilvl w:val="0"/>
          <w:numId w:val="27"/>
        </w:numPr>
        <w:ind w:left="420" w:firstLine="361" w:firstLineChars="113"/>
      </w:pPr>
      <w:r>
        <w:t>推进存量用地盘活利用</w:t>
      </w:r>
    </w:p>
    <w:p w14:paraId="5634409A">
      <w:pPr>
        <w:widowControl/>
        <w:adjustRightInd w:val="0"/>
        <w:snapToGrid w:val="0"/>
        <w:ind w:firstLine="640"/>
        <w:rPr>
          <w:rFonts w:cs="Times New Roman"/>
        </w:rPr>
      </w:pPr>
      <w:bookmarkStart w:id="101" w:name="_Hlk131095086"/>
      <w:r>
        <w:rPr>
          <w:rFonts w:cs="Times New Roman"/>
        </w:rPr>
        <w:t>加大存量用地挖潜消化力度，积极推进低效用地减量，鼓励引导各项城镇建设节约集约利用土地，全面提升土地利用效率。按照属地原则盘活空间，优先用于重点片区建设。推动利用存量建设用地补齐民生公共服务设施短板。严格落实建设用地“增存挂钩”机制</w:t>
      </w:r>
      <w:bookmarkEnd w:id="101"/>
      <w:r>
        <w:rPr>
          <w:rFonts w:cs="Times New Roman"/>
        </w:rPr>
        <w:t>。</w:t>
      </w:r>
    </w:p>
    <w:p w14:paraId="2D9F3C8C">
      <w:pPr>
        <w:pStyle w:val="4"/>
        <w:numPr>
          <w:ilvl w:val="0"/>
          <w:numId w:val="1"/>
        </w:numPr>
        <w:ind w:left="860" w:firstLine="361" w:firstLineChars="113"/>
      </w:pPr>
      <w:r>
        <w:t>有序推进城镇更新</w:t>
      </w:r>
    </w:p>
    <w:p w14:paraId="50E29037">
      <w:pPr>
        <w:widowControl/>
        <w:adjustRightInd w:val="0"/>
        <w:snapToGrid w:val="0"/>
        <w:ind w:firstLine="640"/>
        <w:rPr>
          <w:rFonts w:cs="Times New Roman"/>
          <w:color w:val="FF0000"/>
        </w:rPr>
      </w:pPr>
      <w:r>
        <w:rPr>
          <w:rFonts w:cs="Times New Roman"/>
        </w:rPr>
        <w:t>以存量用地为基础，以保护历史文化、保障产业发展、旧城区焕发新活力、完善公共服务等为目标，结合城镇空间、农业空间、生态空间及历史文化要素管控要求，综合考虑城镇物质形态、配套设施、基础支撑能力、生态环境等基础条件，划定城镇更新重点范围。针对城镇设施老化，增量空间不足、绿地缺失，着力解决发展中的突出问题，规划将更新对象分为老旧住区、低效工业仓储区、景观设施更新、拆旧新建组团四类，以城镇更新统筹协调城市存量空间改造，充分发挥存量空间的经济、社会、文化和环境等多方面价值。</w:t>
      </w:r>
    </w:p>
    <w:p w14:paraId="1EC36127">
      <w:pPr>
        <w:pStyle w:val="3"/>
        <w:rPr>
          <w:rFonts w:ascii="Times New Roman" w:hAnsi="Times New Roman" w:cs="Times New Roman"/>
        </w:rPr>
      </w:pPr>
      <w:bookmarkStart w:id="102" w:name="_Toc8641"/>
      <w:bookmarkStart w:id="103" w:name="_Toc185844309"/>
      <w:r>
        <w:rPr>
          <w:rFonts w:ascii="Times New Roman" w:hAnsi="Times New Roman" w:cs="Times New Roman"/>
        </w:rPr>
        <w:t>第七节 “四线”管控</w:t>
      </w:r>
      <w:bookmarkEnd w:id="102"/>
      <w:bookmarkEnd w:id="103"/>
    </w:p>
    <w:p w14:paraId="4872E079">
      <w:pPr>
        <w:pStyle w:val="4"/>
        <w:numPr>
          <w:ilvl w:val="0"/>
          <w:numId w:val="28"/>
        </w:numPr>
        <w:ind w:left="420" w:firstLine="361" w:firstLineChars="113"/>
      </w:pPr>
      <w:r>
        <w:t>绿线管控</w:t>
      </w:r>
    </w:p>
    <w:p w14:paraId="7A1A4A7C">
      <w:pPr>
        <w:widowControl/>
        <w:adjustRightInd w:val="0"/>
        <w:snapToGrid w:val="0"/>
        <w:ind w:firstLine="640"/>
        <w:rPr>
          <w:rFonts w:cs="Times New Roman"/>
        </w:rPr>
      </w:pPr>
      <w:r>
        <w:rPr>
          <w:rFonts w:cs="Times New Roman"/>
        </w:rPr>
        <w:t>向阳乡中心区不涉及城市绿线。</w:t>
      </w:r>
    </w:p>
    <w:p w14:paraId="21F6AF61">
      <w:pPr>
        <w:pStyle w:val="4"/>
        <w:numPr>
          <w:ilvl w:val="0"/>
          <w:numId w:val="1"/>
        </w:numPr>
        <w:ind w:left="860" w:firstLine="361" w:firstLineChars="113"/>
      </w:pPr>
      <w:r>
        <w:t>黄线管控</w:t>
      </w:r>
    </w:p>
    <w:p w14:paraId="0FB2E79F">
      <w:pPr>
        <w:ind w:firstLine="640"/>
        <w:rPr>
          <w:rFonts w:cs="Times New Roman"/>
        </w:rPr>
      </w:pPr>
      <w:r>
        <w:rPr>
          <w:rFonts w:cs="Times New Roman"/>
          <w:u w:val="single"/>
        </w:rPr>
        <w:t>将给水设施、排水设施、电力设施、通信设施、燃气设施、热力设施、环卫设施等划入城镇黄线范围，黄线控制范围0.53公顷。纳入黄线管控的线性设施满足走向不改变、服务片区不改变，面状设施用地规模不减小、服务功能不减弱的前提下，黄线的具体边界、定位可在详细规划编制和实施中落实，黄线的调整应符合国家有关规定。按照《城市黄线管理办法》及相关空间管控要求，对黄线进行严格管理。</w:t>
      </w:r>
      <w:r>
        <w:rPr>
          <w:rFonts w:cs="Times New Roman"/>
        </w:rPr>
        <w:t>城市黄线控制范围除保障设施自身运行安全外，应考虑与周围其他建（构）筑物的间距要求，对现有损坏或影响城市基础设施安全、正常运作的用地，应当限期整改或拆除。</w:t>
      </w:r>
    </w:p>
    <w:p w14:paraId="5D6C67E5">
      <w:pPr>
        <w:pStyle w:val="4"/>
        <w:numPr>
          <w:ilvl w:val="0"/>
          <w:numId w:val="1"/>
        </w:numPr>
        <w:ind w:left="860" w:firstLine="361" w:firstLineChars="113"/>
      </w:pPr>
      <w:r>
        <w:t>蓝线管控</w:t>
      </w:r>
    </w:p>
    <w:p w14:paraId="22DAB1AE">
      <w:pPr>
        <w:widowControl/>
        <w:adjustRightInd w:val="0"/>
        <w:snapToGrid w:val="0"/>
        <w:ind w:firstLine="640"/>
        <w:rPr>
          <w:rFonts w:cs="Times New Roman"/>
        </w:rPr>
      </w:pPr>
      <w:r>
        <w:rPr>
          <w:rFonts w:cs="Times New Roman"/>
        </w:rPr>
        <w:t>向阳乡中心区不涉及城市蓝线。</w:t>
      </w:r>
    </w:p>
    <w:p w14:paraId="1FAEE2D0">
      <w:pPr>
        <w:pStyle w:val="4"/>
        <w:numPr>
          <w:ilvl w:val="0"/>
          <w:numId w:val="1"/>
        </w:numPr>
        <w:ind w:left="860" w:firstLine="361" w:firstLineChars="113"/>
      </w:pPr>
      <w:r>
        <w:t>紫线管控</w:t>
      </w:r>
    </w:p>
    <w:p w14:paraId="13400495">
      <w:pPr>
        <w:widowControl/>
        <w:adjustRightInd w:val="0"/>
        <w:snapToGrid w:val="0"/>
        <w:ind w:firstLine="640"/>
        <w:rPr>
          <w:rFonts w:cs="Times New Roman"/>
        </w:rPr>
      </w:pPr>
      <w:bookmarkStart w:id="104" w:name="OLE_LINK2"/>
      <w:r>
        <w:rPr>
          <w:rFonts w:cs="Times New Roman"/>
        </w:rPr>
        <w:t>向阳乡中心区不涉及城市紫线。</w:t>
      </w:r>
    </w:p>
    <w:bookmarkEnd w:id="104"/>
    <w:p w14:paraId="19FC7264">
      <w:pPr>
        <w:widowControl/>
        <w:adjustRightInd w:val="0"/>
        <w:snapToGrid w:val="0"/>
        <w:ind w:firstLine="640"/>
        <w:rPr>
          <w:rFonts w:cs="Times New Roman"/>
          <w:u w:val="single"/>
        </w:rPr>
      </w:pPr>
    </w:p>
    <w:p w14:paraId="04BD2AE4">
      <w:pPr>
        <w:pStyle w:val="2"/>
        <w:spacing w:before="312" w:after="312"/>
        <w:rPr>
          <w:rFonts w:ascii="Times New Roman" w:hAnsi="Times New Roman" w:cs="Times New Roman"/>
        </w:rPr>
      </w:pPr>
      <w:bookmarkStart w:id="105" w:name="_Toc185844310"/>
      <w:bookmarkStart w:id="106" w:name="_Toc7201"/>
      <w:r>
        <w:rPr>
          <w:rFonts w:ascii="Times New Roman" w:hAnsi="Times New Roman" w:cs="Times New Roman"/>
        </w:rPr>
        <w:t>第八章 国土空间保障支撑体系</w:t>
      </w:r>
      <w:bookmarkEnd w:id="105"/>
      <w:bookmarkEnd w:id="106"/>
    </w:p>
    <w:p w14:paraId="68232805">
      <w:pPr>
        <w:pStyle w:val="3"/>
        <w:rPr>
          <w:rFonts w:ascii="Times New Roman" w:hAnsi="Times New Roman" w:cs="Times New Roman"/>
        </w:rPr>
      </w:pPr>
      <w:bookmarkStart w:id="107" w:name="_Toc15353"/>
      <w:bookmarkStart w:id="108" w:name="_Toc185844311"/>
      <w:r>
        <w:rPr>
          <w:rFonts w:ascii="Times New Roman" w:hAnsi="Times New Roman" w:cs="Times New Roman"/>
        </w:rPr>
        <w:t>第一节 公共服务设施</w:t>
      </w:r>
      <w:bookmarkEnd w:id="107"/>
      <w:bookmarkEnd w:id="108"/>
    </w:p>
    <w:p w14:paraId="27C334B0">
      <w:pPr>
        <w:pStyle w:val="4"/>
        <w:numPr>
          <w:ilvl w:val="0"/>
          <w:numId w:val="29"/>
        </w:numPr>
        <w:ind w:left="420" w:firstLine="361" w:firstLineChars="113"/>
      </w:pPr>
      <w:r>
        <w:t>完善城乡公共服务体系</w:t>
      </w:r>
    </w:p>
    <w:p w14:paraId="06C91ADC">
      <w:pPr>
        <w:widowControl/>
        <w:adjustRightInd w:val="0"/>
        <w:snapToGrid w:val="0"/>
        <w:ind w:firstLine="640"/>
        <w:rPr>
          <w:rFonts w:cs="Times New Roman"/>
        </w:rPr>
      </w:pPr>
      <w:r>
        <w:rPr>
          <w:rFonts w:cs="Times New Roman"/>
        </w:rPr>
        <w:t>建设“乡中心区—村级”两级公共服务设施体系，形成多层次、全覆盖、人性化的基本公共服务网络。乡级公共服务设施集中布置在乡中心区内，集中建设包括政府、中心幼儿园、文化站、卫生院、集贸市场、活动中心、文化广场等公共服务设施，建立设施完善的服务体系。村级公共服务设施应本着节约土地、充分利用存量土地、集中布局的原则，按照乡村振兴的总体要求，根据各村发展条件，主要建设村委会、卫生所、文化站、活动广场等服务设施，满足村民基本生活需求。对于旅游特色村，要重点配套和完善旅游住宿、旅游餐饮、旅游购物等旅游服务设施。</w:t>
      </w:r>
    </w:p>
    <w:p w14:paraId="6C181202">
      <w:pPr>
        <w:widowControl/>
        <w:adjustRightInd w:val="0"/>
        <w:snapToGrid w:val="0"/>
        <w:ind w:firstLine="640"/>
        <w:rPr>
          <w:rFonts w:cs="Times New Roman"/>
        </w:rPr>
      </w:pPr>
      <w:r>
        <w:rPr>
          <w:rFonts w:cs="Times New Roman"/>
          <w:lang w:bidi="ar"/>
        </w:rPr>
        <w:t>综合考虑交通条件、村民出行距离和生产生活习惯、交通条件等因素，</w:t>
      </w:r>
      <w:r>
        <w:rPr>
          <w:rFonts w:cs="Times New Roman"/>
        </w:rPr>
        <w:t>按照慢行可达的空间范围，构建“行政村—自然村”两个层级的乡村社区生活圈，健全全民覆盖、普惠共享、城乡一体的基本公共服务体系。合理配置公共服务和生产服务设施，满足居民行政便民、文体休闲、健康卫生、基础教育、养老关怀、商业商贸等需求。到规划期末，综合服务设施覆盖率达到85%以上。</w:t>
      </w:r>
    </w:p>
    <w:p w14:paraId="7277B762">
      <w:pPr>
        <w:widowControl/>
        <w:adjustRightInd w:val="0"/>
        <w:snapToGrid w:val="0"/>
        <w:ind w:firstLine="640"/>
        <w:rPr>
          <w:rFonts w:cs="Times New Roman"/>
        </w:rPr>
      </w:pPr>
      <w:r>
        <w:rPr>
          <w:rFonts w:cs="Times New Roman"/>
        </w:rPr>
        <w:t>完善文化休闲设施功能布局。开展综合文化中心、展览馆等文化设施建设。乡中心区建设1个综合性文化服务中心（文化站），在各行政村设置综合文化室，开展村级综合性文化室提质升级工作，达到建设标准。</w:t>
      </w:r>
    </w:p>
    <w:p w14:paraId="75C310BA">
      <w:pPr>
        <w:widowControl/>
        <w:adjustRightInd w:val="0"/>
        <w:snapToGrid w:val="0"/>
        <w:ind w:firstLine="640"/>
        <w:rPr>
          <w:rFonts w:cs="Times New Roman"/>
        </w:rPr>
      </w:pPr>
      <w:r>
        <w:rPr>
          <w:rFonts w:cs="Times New Roman"/>
        </w:rPr>
        <w:t>提高全民健身场地设施供给水平。充分利用公园绿地资源，打造具有特色的健身休闲集聚区。改善全民健身服务供给水平，乡中心区布局1处镇级全民健身活动中心，配置篮球场、健身器材等基本体育设施。提升农村地区全民健身服务质量，在中心村布局村级体育健身点，配置健身器材和健身步道。</w:t>
      </w:r>
    </w:p>
    <w:p w14:paraId="57659F96">
      <w:pPr>
        <w:widowControl/>
        <w:adjustRightInd w:val="0"/>
        <w:snapToGrid w:val="0"/>
        <w:ind w:firstLine="640"/>
        <w:rPr>
          <w:rFonts w:cs="Times New Roman"/>
        </w:rPr>
      </w:pPr>
      <w:r>
        <w:rPr>
          <w:rFonts w:cs="Times New Roman"/>
        </w:rPr>
        <w:t>优化教育设施功能布局。以实现镇域内学校标准化、师资均衡化、配备现代化、质量优质化的建设目标，加大推进义务教育学校校舍标准化建设力度，加强学校体育运动场（馆）建设。新建居民住宅区，应根据规划要求配套建设幼儿园。</w:t>
      </w:r>
    </w:p>
    <w:p w14:paraId="70A82C9C">
      <w:pPr>
        <w:widowControl/>
        <w:adjustRightInd w:val="0"/>
        <w:snapToGrid w:val="0"/>
        <w:ind w:firstLine="640"/>
        <w:rPr>
          <w:rFonts w:cs="Times New Roman"/>
        </w:rPr>
      </w:pPr>
      <w:r>
        <w:rPr>
          <w:rFonts w:cs="Times New Roman"/>
        </w:rPr>
        <w:t>加强医疗卫生设施建设。提升向阳乡卫生院服务能力和服务质量，保障应急医疗设施用地，各村设置一处村卫生室。做好农村医疗卫生和预防保健工作，优化医疗卫生资源，提高整体医疗卫生水平。</w:t>
      </w:r>
    </w:p>
    <w:p w14:paraId="7EC444D2">
      <w:pPr>
        <w:widowControl/>
        <w:adjustRightInd w:val="0"/>
        <w:snapToGrid w:val="0"/>
        <w:ind w:firstLine="640"/>
        <w:rPr>
          <w:rFonts w:cs="Times New Roman"/>
        </w:rPr>
      </w:pPr>
      <w:r>
        <w:rPr>
          <w:rFonts w:cs="Times New Roman"/>
        </w:rPr>
        <w:t>强化农村养老服务供给保障。</w:t>
      </w:r>
      <w:r>
        <w:rPr>
          <w:rFonts w:hint="eastAsia" w:cs="Times New Roman"/>
        </w:rPr>
        <w:t>提升社会保障水平，坚持普惠性、保基本、均等化、可持续、高标准建设社会保障服务设施。</w:t>
      </w:r>
      <w:r>
        <w:rPr>
          <w:rFonts w:cs="Times New Roman"/>
        </w:rPr>
        <w:t>创新日间照料、居家养老、社会养老等多元化服务模式，大力发展社区性的老年人日间照料服务，加快发展公益性和经营性的农村养老、康乐服务，完善农村养老保障体系。</w:t>
      </w:r>
      <w:r>
        <w:rPr>
          <w:rFonts w:hint="eastAsia" w:cs="Times New Roman"/>
        </w:rPr>
        <w:t>鼓励中心村结合村委会以及闲置校舍建设村级幸福院、老年人日间照料中心、老年活动室。一般村结合村委会以及闲置校舍综合设置老年人活动室等。</w:t>
      </w:r>
    </w:p>
    <w:p w14:paraId="4A9118B6">
      <w:pPr>
        <w:widowControl/>
        <w:adjustRightInd w:val="0"/>
        <w:snapToGrid w:val="0"/>
        <w:ind w:firstLine="640"/>
        <w:rPr>
          <w:rFonts w:cs="Times New Roman"/>
        </w:rPr>
      </w:pPr>
      <w:r>
        <w:rPr>
          <w:rFonts w:cs="Times New Roman"/>
        </w:rPr>
        <w:t>加强旅游服务设施建设。结合“一谷一峡一园一带两岛两镇”等重点项目建设，规布置游客服务中心，在各旅游区内，结合主要游客集散点和</w:t>
      </w:r>
      <w:del w:id="11" w:author="杨起" w:date="2026-03-24T15:54:20Z">
        <w:r>
          <w:rPr>
            <w:rFonts w:cs="Times New Roman"/>
          </w:rPr>
          <w:delText>和</w:delText>
        </w:r>
      </w:del>
      <w:r>
        <w:rPr>
          <w:rFonts w:cs="Times New Roman"/>
        </w:rPr>
        <w:t>活动区域布置游客服务点。结合旅游产业发展，重点加强旅游交通、旅游住宿设施、旅游餐饮设施、文化娱乐设施、旅游购物设施等建设。</w:t>
      </w:r>
    </w:p>
    <w:p w14:paraId="3B6DD1AA">
      <w:pPr>
        <w:widowControl/>
        <w:adjustRightInd w:val="0"/>
        <w:snapToGrid w:val="0"/>
        <w:ind w:firstLine="640"/>
        <w:rPr>
          <w:rFonts w:cs="Times New Roman"/>
        </w:rPr>
      </w:pPr>
      <w:r>
        <w:rPr>
          <w:rFonts w:cs="Times New Roman"/>
        </w:rPr>
        <w:t>推动</w:t>
      </w:r>
      <w:r>
        <w:rPr>
          <w:rFonts w:hint="eastAsia" w:cs="Times New Roman"/>
        </w:rPr>
        <w:t>殡葬服务设施</w:t>
      </w:r>
      <w:r>
        <w:rPr>
          <w:rFonts w:cs="Times New Roman"/>
        </w:rPr>
        <w:t>建设。</w:t>
      </w:r>
      <w:r>
        <w:rPr>
          <w:rFonts w:hint="eastAsia" w:cs="Times New Roman"/>
        </w:rPr>
        <w:t>规划完善殡葬设施体系，保障镇、村为解决农村村民安葬需求而建立的殡葬设施。规划向阳乡公益性公墓及各村村级公益性公墓做好用地保障。</w:t>
      </w:r>
      <w:r>
        <w:rPr>
          <w:rFonts w:cs="Times New Roman"/>
        </w:rPr>
        <w:t>按照“因地制宜、量力而行、尽力而为”的原则推进农村公益性公墓建设，利用村集体建设用地、林地、荒地、废弃地、改造农村散坟集中安葬点等作为公益性公墓建设用地。</w:t>
      </w:r>
    </w:p>
    <w:p w14:paraId="7F112E89">
      <w:pPr>
        <w:pStyle w:val="4"/>
        <w:numPr>
          <w:ilvl w:val="0"/>
          <w:numId w:val="1"/>
        </w:numPr>
        <w:ind w:left="860" w:firstLine="361" w:firstLineChars="113"/>
      </w:pPr>
      <w:r>
        <w:t>提升乡中心区公共服务设施水平</w:t>
      </w:r>
    </w:p>
    <w:p w14:paraId="51333E6C">
      <w:pPr>
        <w:ind w:firstLine="640"/>
        <w:rPr>
          <w:rFonts w:cs="Times New Roman"/>
        </w:rPr>
      </w:pPr>
      <w:r>
        <w:rPr>
          <w:rFonts w:cs="Times New Roman"/>
        </w:rPr>
        <w:t>——形成复合活力的公共中心体系</w:t>
      </w:r>
    </w:p>
    <w:p w14:paraId="35EE8A6E">
      <w:pPr>
        <w:ind w:firstLine="640"/>
        <w:rPr>
          <w:rFonts w:cs="Times New Roman"/>
          <w:lang w:bidi="ar"/>
        </w:rPr>
      </w:pPr>
      <w:r>
        <w:rPr>
          <w:rFonts w:cs="Times New Roman"/>
          <w:lang w:bidi="ar"/>
        </w:rPr>
        <w:t>完善向阳乡“十五分钟社区生活圈”建设，以社区生活圈为单元，补齐公共服务短板，重点优化配备基层的健康管理、养老服务、终身教育、文化活动、体育健身、商业服务、行政管理等各类基本公共服务设施。规划至2035年，乡中心区打造1个十五分钟社区生活圈，形成1处公共服务中心，覆盖率达到100%。</w:t>
      </w:r>
    </w:p>
    <w:p w14:paraId="1B416598">
      <w:pPr>
        <w:ind w:firstLine="640"/>
        <w:rPr>
          <w:rFonts w:cs="Times New Roman"/>
          <w:lang w:bidi="ar"/>
        </w:rPr>
      </w:pPr>
      <w:r>
        <w:rPr>
          <w:rFonts w:cs="Times New Roman"/>
          <w:lang w:bidi="ar"/>
        </w:rPr>
        <w:t>——文化设施</w:t>
      </w:r>
    </w:p>
    <w:p w14:paraId="36E34492">
      <w:pPr>
        <w:ind w:firstLine="640"/>
        <w:rPr>
          <w:rFonts w:cs="Times New Roman"/>
          <w:lang w:bidi="ar"/>
        </w:rPr>
      </w:pPr>
      <w:bookmarkStart w:id="109" w:name="_Hlk131412087"/>
      <w:r>
        <w:rPr>
          <w:rFonts w:cs="Times New Roman"/>
          <w:lang w:bidi="ar"/>
        </w:rPr>
        <w:t>提升乡镇级文化设施水平。</w:t>
      </w:r>
      <w:bookmarkEnd w:id="109"/>
      <w:r>
        <w:rPr>
          <w:rFonts w:cs="Times New Roman"/>
          <w:lang w:bidi="ar"/>
        </w:rPr>
        <w:t>规划在乡中心区中部建设文化站，推动公共图书馆、文化馆（站）、基层综合性文化服务中心和旅游服务中心一体化建设。推动将阅读、艺术表演等文化服务融入旅游服务中心、旅游集散中心等旅游公共服务场所。结合行政办公用地和公共绿地，重点建设和完善滨河公园文化广场及绿化景观带，复合利用增设文体科技设施，以提升向阳乡的文化品牌建设。</w:t>
      </w:r>
    </w:p>
    <w:p w14:paraId="47CA7266">
      <w:pPr>
        <w:ind w:firstLine="640"/>
        <w:rPr>
          <w:rFonts w:cs="Times New Roman"/>
          <w:lang w:bidi="ar"/>
        </w:rPr>
      </w:pPr>
      <w:r>
        <w:rPr>
          <w:rFonts w:cs="Times New Roman"/>
          <w:lang w:bidi="ar"/>
        </w:rPr>
        <w:t>结合居住用地布局，均衡合理配置基层文化设施。完善社区级文化设施建设，优化基层文化设施布局，提升基层文化设施服务效能。社区级文化设施依据就近便利的原则建设，包括社区文化活动中心、综合文化室等。鼓励文化设施与社区行政办公设施共建共设。</w:t>
      </w:r>
    </w:p>
    <w:p w14:paraId="3C939955">
      <w:pPr>
        <w:ind w:firstLine="640"/>
        <w:rPr>
          <w:rFonts w:cs="Times New Roman"/>
          <w:lang w:bidi="ar"/>
        </w:rPr>
      </w:pPr>
      <w:r>
        <w:rPr>
          <w:rFonts w:cs="Times New Roman"/>
          <w:lang w:bidi="ar"/>
        </w:rPr>
        <w:t>——教育设施</w:t>
      </w:r>
    </w:p>
    <w:p w14:paraId="056E2966">
      <w:pPr>
        <w:ind w:firstLine="640"/>
        <w:rPr>
          <w:rFonts w:cs="Times New Roman"/>
          <w:lang w:bidi="ar"/>
        </w:rPr>
      </w:pPr>
      <w:bookmarkStart w:id="110" w:name="_Hlk162974331"/>
      <w:r>
        <w:rPr>
          <w:rFonts w:cs="Times New Roman"/>
          <w:lang w:bidi="ar"/>
        </w:rPr>
        <w:t>基础教育实现优质均衡发展，引导基础教育资源合理布局，保障基础教育发展空间，加大基础教育用地统筹利用和储备保障。提升九年一贯制学校教育设施水平，进一步完善中心幼儿园设施。</w:t>
      </w:r>
      <w:bookmarkEnd w:id="110"/>
    </w:p>
    <w:p w14:paraId="6E36E786">
      <w:pPr>
        <w:ind w:firstLine="640"/>
        <w:rPr>
          <w:rFonts w:cs="Times New Roman"/>
          <w:lang w:bidi="ar"/>
        </w:rPr>
      </w:pPr>
      <w:r>
        <w:rPr>
          <w:rFonts w:cs="Times New Roman"/>
          <w:lang w:bidi="ar"/>
        </w:rPr>
        <w:t>——体育设施</w:t>
      </w:r>
    </w:p>
    <w:p w14:paraId="4B5CE5BB">
      <w:pPr>
        <w:ind w:firstLine="640"/>
        <w:rPr>
          <w:rFonts w:cs="Times New Roman"/>
          <w:lang w:bidi="ar"/>
        </w:rPr>
      </w:pPr>
      <w:r>
        <w:rPr>
          <w:rFonts w:cs="Times New Roman"/>
          <w:lang w:bidi="ar"/>
        </w:rPr>
        <w:t>深入实施健康中国战略和全民健身国家战略，构建更高水平的全民健身公共服务体系，推动全民健身均等化、融合化和智慧化发展，不断满足人民群众多元化健身需求。</w:t>
      </w:r>
    </w:p>
    <w:p w14:paraId="45E6200F">
      <w:pPr>
        <w:ind w:firstLine="640"/>
        <w:rPr>
          <w:rFonts w:cs="Times New Roman"/>
          <w:lang w:bidi="ar"/>
        </w:rPr>
      </w:pPr>
      <w:r>
        <w:rPr>
          <w:rFonts w:cs="Times New Roman"/>
          <w:lang w:bidi="ar"/>
        </w:rPr>
        <w:t>建立全面覆盖、功能完善、普惠均等的多层级公共体育设施体系与布局，实现广泛参与、特色鲜明、优质共享的全民健身多元化服务网络，打造覆盖居住区的十五分钟健身圈。</w:t>
      </w:r>
    </w:p>
    <w:p w14:paraId="2868B339">
      <w:pPr>
        <w:ind w:firstLine="640"/>
        <w:rPr>
          <w:rFonts w:cs="Times New Roman"/>
          <w:lang w:bidi="ar"/>
        </w:rPr>
      </w:pPr>
      <w:r>
        <w:rPr>
          <w:rFonts w:cs="Times New Roman"/>
          <w:lang w:bidi="ar"/>
        </w:rPr>
        <w:t>提升乡镇级体育设施水平。增加社区级体育设施覆盖率，系统梳理可用于建设健身场地设施的空闲地、边角地、建筑屋顶等空间资源，滨河公园绿带以及可复合利用的城市文化娱乐、养老、教育、商业等其他设施资源，聚焦群众就近健身需求，优先建设贴近社区、方便可达的多功能运动场、体育公园、健身步道、健身广场、小型足球场等健身设施，不断促进企事业单位体育设施分时开放。新建居住区要按室内人均建筑面积不低于0.1平方米或室外人均用地不低于0.3平方米的标准配建公共健身设施。</w:t>
      </w:r>
      <w:bookmarkStart w:id="111" w:name="_Hlk131058981"/>
      <w:r>
        <w:rPr>
          <w:rFonts w:cs="Times New Roman"/>
          <w:lang w:bidi="ar"/>
        </w:rPr>
        <w:t>十五分钟体育生活圈设施覆盖率达到100%</w:t>
      </w:r>
      <w:bookmarkEnd w:id="111"/>
      <w:r>
        <w:rPr>
          <w:rFonts w:cs="Times New Roman"/>
          <w:lang w:bidi="ar"/>
        </w:rPr>
        <w:t>。</w:t>
      </w:r>
    </w:p>
    <w:p w14:paraId="53B04807">
      <w:pPr>
        <w:ind w:firstLine="640"/>
        <w:rPr>
          <w:rFonts w:cs="Times New Roman"/>
          <w:lang w:bidi="ar"/>
        </w:rPr>
      </w:pPr>
      <w:r>
        <w:rPr>
          <w:rFonts w:cs="Times New Roman"/>
          <w:lang w:bidi="ar"/>
        </w:rPr>
        <w:t>——医疗卫生设施</w:t>
      </w:r>
    </w:p>
    <w:p w14:paraId="2CC828D5">
      <w:pPr>
        <w:ind w:firstLine="640"/>
        <w:rPr>
          <w:rFonts w:cs="Times New Roman"/>
          <w:lang w:bidi="ar"/>
        </w:rPr>
      </w:pPr>
      <w:bookmarkStart w:id="112" w:name="_Hlk131091265"/>
      <w:r>
        <w:rPr>
          <w:rFonts w:cs="Times New Roman"/>
          <w:lang w:bidi="ar"/>
        </w:rPr>
        <w:t>逐步改善现有医疗卫生设施，对向阳乡中心医院进行升级改造，提升急诊急救、老年健康管理、中医康养等方面服务水平。持续推进“互联网＋医疗健康”服务，实现纳入市域医共体建设，促进优质医疗卫生资源下沉。增加老年颐养功能，以发展养老产业，应对人口老龄化发展。</w:t>
      </w:r>
    </w:p>
    <w:bookmarkEnd w:id="112"/>
    <w:p w14:paraId="15D349A0">
      <w:pPr>
        <w:ind w:firstLine="640"/>
        <w:rPr>
          <w:rFonts w:cs="Times New Roman"/>
          <w:lang w:bidi="ar"/>
        </w:rPr>
      </w:pPr>
      <w:r>
        <w:rPr>
          <w:rFonts w:cs="Times New Roman"/>
          <w:lang w:bidi="ar"/>
        </w:rPr>
        <w:t>——社会福利设施</w:t>
      </w:r>
    </w:p>
    <w:p w14:paraId="65BC3539">
      <w:pPr>
        <w:ind w:firstLine="640"/>
        <w:rPr>
          <w:rFonts w:cs="Times New Roman"/>
          <w:lang w:bidi="ar"/>
        </w:rPr>
      </w:pPr>
      <w:r>
        <w:rPr>
          <w:rFonts w:cs="Times New Roman"/>
          <w:lang w:bidi="ar"/>
        </w:rPr>
        <w:t>以养老服务设施为主线，整合统筹残疾人、困境儿童两个群体的设施服务需求。大力推进儿童福利设施机构的建设，至规划期末基本实现能够为众多孤儿提供专业的养育、康复和特教等服务，形成儿童福利机构服务网络。</w:t>
      </w:r>
    </w:p>
    <w:p w14:paraId="0052AB18">
      <w:pPr>
        <w:ind w:firstLine="640"/>
        <w:rPr>
          <w:rFonts w:cs="Times New Roman"/>
          <w:lang w:bidi="ar"/>
        </w:rPr>
      </w:pPr>
      <w:r>
        <w:rPr>
          <w:rFonts w:cs="Times New Roman"/>
          <w:lang w:bidi="ar"/>
        </w:rPr>
        <w:t>建立“居家为基础、社区为依托、机构充分发展、医养相结合、城乡区域一体”的养老服务体系，推动医养结合的康养产业和养老服务业做大做强。</w:t>
      </w:r>
    </w:p>
    <w:p w14:paraId="7E7A73F5">
      <w:pPr>
        <w:pStyle w:val="3"/>
        <w:rPr>
          <w:rFonts w:ascii="Times New Roman" w:hAnsi="Times New Roman" w:cs="Times New Roman"/>
        </w:rPr>
      </w:pPr>
      <w:bookmarkStart w:id="113" w:name="_Toc17340"/>
      <w:bookmarkStart w:id="114" w:name="_Toc185844312"/>
      <w:r>
        <w:rPr>
          <w:rFonts w:ascii="Times New Roman" w:hAnsi="Times New Roman" w:cs="Times New Roman"/>
        </w:rPr>
        <w:t>第二节 综合交通设施</w:t>
      </w:r>
      <w:bookmarkEnd w:id="113"/>
      <w:bookmarkEnd w:id="114"/>
    </w:p>
    <w:p w14:paraId="3ABF7FB5">
      <w:pPr>
        <w:pStyle w:val="4"/>
        <w:numPr>
          <w:ilvl w:val="0"/>
          <w:numId w:val="30"/>
        </w:numPr>
        <w:ind w:left="420" w:firstLine="361" w:firstLineChars="113"/>
      </w:pPr>
      <w:r>
        <w:t>构建镇域综合交通网络体系</w:t>
      </w:r>
    </w:p>
    <w:p w14:paraId="5F9314CC">
      <w:pPr>
        <w:widowControl/>
        <w:adjustRightInd w:val="0"/>
        <w:snapToGrid w:val="0"/>
        <w:ind w:firstLine="640"/>
        <w:rPr>
          <w:rFonts w:cs="Times New Roman"/>
        </w:rPr>
      </w:pPr>
      <w:r>
        <w:rPr>
          <w:rFonts w:cs="Times New Roman"/>
        </w:rPr>
        <w:t>向阳乡域内的主要对外交通为鹤大高速公路、</w:t>
      </w:r>
      <w:r>
        <w:rPr>
          <w:rFonts w:cs="Times New Roman"/>
          <w:color w:val="000000"/>
        </w:rPr>
        <w:t>县道凤向线、</w:t>
      </w:r>
      <w:r>
        <w:rPr>
          <w:rFonts w:cs="Times New Roman"/>
        </w:rPr>
        <w:t>向回线和乡道回和线、雅和线，鹤大高速公路在向阳乡境内设有出入口，规划依托县、乡级交通干线，加强向阳乡与周边地区的交通联系，立足地区干线，完善区域交通网</w:t>
      </w:r>
      <w:ins w:id="12" w:author="杨起" w:date="2026-03-24T15:51:23Z">
        <w:r>
          <w:rPr>
            <w:rFonts w:hint="eastAsia" w:cs="Times New Roman"/>
            <w:lang w:val="en-US" w:eastAsia="zh-CN"/>
          </w:rPr>
          <w:t>络</w:t>
        </w:r>
      </w:ins>
      <w:del w:id="13" w:author="杨起" w:date="2026-03-24T15:51:20Z">
        <w:r>
          <w:rPr>
            <w:rFonts w:cs="Times New Roman"/>
          </w:rPr>
          <w:delText>路</w:delText>
        </w:r>
      </w:del>
      <w:r>
        <w:rPr>
          <w:rFonts w:cs="Times New Roman"/>
        </w:rPr>
        <w:t>。全面提高乡村道路等级，改善路面质量，形成以县、乡级公路为基本骨架、以放射状乡村级道路为支撑，联系各个村庄的较为完善的镇域公路交通网体系。加强向阳、回龙、爬宝、和平之间的交通联系，把现状乡道进行升级改造，提高到县道级别。</w:t>
      </w:r>
    </w:p>
    <w:p w14:paraId="2891D258">
      <w:pPr>
        <w:pStyle w:val="4"/>
        <w:numPr>
          <w:ilvl w:val="0"/>
          <w:numId w:val="1"/>
        </w:numPr>
        <w:ind w:left="860" w:firstLine="361" w:firstLineChars="113"/>
      </w:pPr>
      <w:r>
        <w:t>乡中心区交通网络优化</w:t>
      </w:r>
    </w:p>
    <w:p w14:paraId="7D3F3396">
      <w:pPr>
        <w:widowControl/>
        <w:adjustRightInd w:val="0"/>
        <w:snapToGrid w:val="0"/>
        <w:ind w:firstLine="640"/>
        <w:rPr>
          <w:rFonts w:cs="Times New Roman"/>
        </w:rPr>
      </w:pPr>
      <w:r>
        <w:rPr>
          <w:rFonts w:cs="Times New Roman"/>
        </w:rPr>
        <w:t>——建设分级城镇道路结构</w:t>
      </w:r>
    </w:p>
    <w:p w14:paraId="7CAAF57A">
      <w:pPr>
        <w:widowControl/>
        <w:adjustRightInd w:val="0"/>
        <w:snapToGrid w:val="0"/>
        <w:ind w:firstLine="640"/>
        <w:rPr>
          <w:rFonts w:cs="Times New Roman"/>
          <w:color w:val="000000"/>
        </w:rPr>
      </w:pPr>
      <w:r>
        <w:rPr>
          <w:rFonts w:cs="Times New Roman"/>
        </w:rPr>
        <w:t>乡中心区内部整体划分为主干路、次干路、支路三级方格网道路结构。</w:t>
      </w:r>
      <w:r>
        <w:rPr>
          <w:rFonts w:cs="Times New Roman"/>
          <w:color w:val="000000"/>
        </w:rPr>
        <w:t>县道凤向线作为主干路，是城镇对外联系的主要通道，以交通功能为</w:t>
      </w:r>
      <w:r>
        <w:rPr>
          <w:rFonts w:cs="Times New Roman"/>
        </w:rPr>
        <w:t>主，道路红线8米；次干路是辅助性道</w:t>
      </w:r>
      <w:ins w:id="14" w:author="杨起" w:date="2026-03-24T15:51:45Z">
        <w:r>
          <w:rPr>
            <w:rFonts w:hint="eastAsia" w:cs="Times New Roman"/>
            <w:lang w:val="en-US" w:eastAsia="zh-CN"/>
          </w:rPr>
          <w:t>路</w:t>
        </w:r>
      </w:ins>
      <w:r>
        <w:rPr>
          <w:rFonts w:cs="Times New Roman"/>
        </w:rPr>
        <w:t>和沟通各功能区的重要通道，同时兼有生活功能，道路红线6-8米；支路对道路网起补充作用，以便民的交通功能为主，连接各个必要的公共设施，道路红线5-6米。城镇道路断面均为一块板。</w:t>
      </w:r>
    </w:p>
    <w:p w14:paraId="4598506A">
      <w:pPr>
        <w:widowControl/>
        <w:adjustRightInd w:val="0"/>
        <w:snapToGrid w:val="0"/>
        <w:ind w:firstLine="640"/>
        <w:rPr>
          <w:rFonts w:cs="Times New Roman"/>
        </w:rPr>
      </w:pPr>
      <w:r>
        <w:rPr>
          <w:rFonts w:cs="Times New Roman"/>
        </w:rPr>
        <w:t>——构建快慢结合的公交网络</w:t>
      </w:r>
    </w:p>
    <w:p w14:paraId="7F51DF86">
      <w:pPr>
        <w:widowControl/>
        <w:adjustRightInd w:val="0"/>
        <w:snapToGrid w:val="0"/>
        <w:ind w:firstLine="640"/>
        <w:rPr>
          <w:rFonts w:cs="Times New Roman"/>
        </w:rPr>
      </w:pPr>
      <w:r>
        <w:rPr>
          <w:rFonts w:cs="Times New Roman"/>
        </w:rPr>
        <w:t>优化提升常规公交体系，提升公交服务水平，增加公共交通等绿色交通的分担比例。至2035年，公交300米站点覆盖率不小于70%，500米公交站点覆盖率不小于90%。建设好充电桩等服务新能源汽车的基础设施，加快提升客运清洁化、低碳化水平。</w:t>
      </w:r>
    </w:p>
    <w:p w14:paraId="02F922E7">
      <w:pPr>
        <w:widowControl/>
        <w:adjustRightInd w:val="0"/>
        <w:snapToGrid w:val="0"/>
        <w:ind w:firstLine="640"/>
        <w:rPr>
          <w:rFonts w:cs="Times New Roman"/>
        </w:rPr>
      </w:pPr>
      <w:r>
        <w:rPr>
          <w:rFonts w:cs="Times New Roman"/>
        </w:rPr>
        <w:t>——完善慢行系统</w:t>
      </w:r>
    </w:p>
    <w:p w14:paraId="2ABC97EA">
      <w:pPr>
        <w:widowControl/>
        <w:adjustRightInd w:val="0"/>
        <w:snapToGrid w:val="0"/>
        <w:ind w:firstLine="640"/>
        <w:rPr>
          <w:rFonts w:cs="Times New Roman"/>
        </w:rPr>
      </w:pPr>
      <w:r>
        <w:rPr>
          <w:rFonts w:cs="Times New Roman"/>
        </w:rPr>
        <w:t>倡导绿色低碳生活方式，大力发展慢行交通，不断完善慢行交通基础设施，构建连续、便捷、舒适的慢行交通系统。建设水面两侧城镇慢行绿道，建设城镇道路慢行交通网络，规划主干路两侧慢行设施宽度不宜小于3米，次干路两侧慢行设施宽度不宜小于2米。在公共交通发达、人流密集地区划定地面无车区，提供足够的自行车停放空间。不断改善步行和自行车出行环境，发挥步行和骑行在终端距离出行和公共交通接驳中的主体作用。</w:t>
      </w:r>
    </w:p>
    <w:p w14:paraId="201CB4FE">
      <w:pPr>
        <w:widowControl/>
        <w:adjustRightInd w:val="0"/>
        <w:snapToGrid w:val="0"/>
        <w:ind w:firstLine="640"/>
        <w:rPr>
          <w:rFonts w:cs="Times New Roman"/>
        </w:rPr>
      </w:pPr>
      <w:r>
        <w:rPr>
          <w:rFonts w:cs="Times New Roman"/>
        </w:rPr>
        <w:t>——增加静态交通设施供给</w:t>
      </w:r>
    </w:p>
    <w:p w14:paraId="08583B9C">
      <w:pPr>
        <w:widowControl/>
        <w:adjustRightInd w:val="0"/>
        <w:snapToGrid w:val="0"/>
        <w:ind w:firstLine="640"/>
        <w:rPr>
          <w:rFonts w:cs="Times New Roman"/>
        </w:rPr>
      </w:pPr>
      <w:r>
        <w:rPr>
          <w:rFonts w:cs="Times New Roman"/>
        </w:rPr>
        <w:t>规划形成以配建停车为主，路外公共停车为辅，路内停车为补充的停车设施供给体系。适当增加学校、医院、办公楼、商业等重点区域的公共停车设施，鼓励利用腾退土地及边角地建设立体停车设施。鼓励停车资源共享共用，提高停车设施的利用效率。积极在乡中心区建设电动车充电站（桩），以顺应新能源汽车大规模推广应用的趋势。</w:t>
      </w:r>
    </w:p>
    <w:p w14:paraId="3BF38027">
      <w:pPr>
        <w:widowControl/>
        <w:adjustRightInd w:val="0"/>
        <w:snapToGrid w:val="0"/>
        <w:ind w:firstLine="640"/>
        <w:rPr>
          <w:rFonts w:cs="Times New Roman"/>
        </w:rPr>
      </w:pPr>
      <w:r>
        <w:rPr>
          <w:rFonts w:cs="Times New Roman"/>
        </w:rPr>
        <w:t>——建筑退让管理</w:t>
      </w:r>
    </w:p>
    <w:p w14:paraId="07881FA7">
      <w:pPr>
        <w:widowControl/>
        <w:adjustRightInd w:val="0"/>
        <w:snapToGrid w:val="0"/>
        <w:ind w:firstLine="640"/>
        <w:rPr>
          <w:rFonts w:cs="Times New Roman"/>
          <w:u w:val="single"/>
        </w:rPr>
      </w:pPr>
      <w:r>
        <w:rPr>
          <w:rFonts w:cs="Times New Roman"/>
          <w:u w:val="single"/>
        </w:rPr>
        <w:t>沿道路两侧新建、扩建、改建的建筑物应当按照规定后退道路红线，退让红线距离不得小于5米。</w:t>
      </w:r>
      <w:r>
        <w:rPr>
          <w:rFonts w:cs="Times New Roman"/>
          <w:color w:val="000000"/>
          <w:u w:val="single"/>
        </w:rPr>
        <w:t>县道凤向线</w:t>
      </w:r>
      <w:r>
        <w:rPr>
          <w:rFonts w:cs="Times New Roman"/>
          <w:u w:val="single"/>
        </w:rPr>
        <w:t>按照《辽宁省公路管理条例》相关要求执行。</w:t>
      </w:r>
    </w:p>
    <w:p w14:paraId="0C330816">
      <w:pPr>
        <w:pStyle w:val="4"/>
        <w:numPr>
          <w:ilvl w:val="0"/>
          <w:numId w:val="1"/>
        </w:numPr>
        <w:ind w:left="860" w:firstLine="361" w:firstLineChars="113"/>
      </w:pPr>
      <w:r>
        <w:t>旅游交通设施规划</w:t>
      </w:r>
    </w:p>
    <w:p w14:paraId="1CC9F33C">
      <w:pPr>
        <w:widowControl/>
        <w:adjustRightInd w:val="0"/>
        <w:snapToGrid w:val="0"/>
        <w:ind w:firstLine="640"/>
        <w:rPr>
          <w:rFonts w:cs="Times New Roman"/>
        </w:rPr>
      </w:pPr>
      <w:r>
        <w:rPr>
          <w:rFonts w:cs="Times New Roman"/>
        </w:rPr>
        <w:t>利用区域交通网络与景区衔接，推行“绿色交通”的生态理念，加快旅游区交通基础设施建设，实现交通换乘的便捷与快捷性，形成观光巴士线、绿道、景区道路等在内的旅游交通体系，配套建设自驾车营地、交通停靠站和自行车驿站等设施。</w:t>
      </w:r>
    </w:p>
    <w:p w14:paraId="0A8503F7">
      <w:pPr>
        <w:widowControl/>
        <w:adjustRightInd w:val="0"/>
        <w:snapToGrid w:val="0"/>
        <w:ind w:firstLine="640"/>
        <w:rPr>
          <w:rFonts w:cs="Times New Roman"/>
        </w:rPr>
      </w:pPr>
      <w:r>
        <w:rPr>
          <w:rFonts w:cs="Times New Roman"/>
        </w:rPr>
        <w:t>旅游区内部交通规划分为车行道路体系和游步道体系。</w:t>
      </w:r>
    </w:p>
    <w:p w14:paraId="2BF5D2EE">
      <w:pPr>
        <w:widowControl/>
        <w:adjustRightInd w:val="0"/>
        <w:snapToGrid w:val="0"/>
        <w:ind w:firstLine="640"/>
        <w:rPr>
          <w:rFonts w:cs="Times New Roman"/>
        </w:rPr>
      </w:pPr>
      <w:r>
        <w:rPr>
          <w:rFonts w:cs="Times New Roman"/>
        </w:rPr>
        <w:t>车行道路体系是旅游区快速进入性道路。分为主要道路和次要道路：主要道路，是旅游区主要行车线路，也是沟通各组团的连接道路，设计路面宽7米，控制时速为20公里/时。次要道路是电瓶车车行道，电瓶车车行道设计路面宽4米。分别在各主要旅游景点设置停靠站。</w:t>
      </w:r>
    </w:p>
    <w:p w14:paraId="10A9B0C8">
      <w:pPr>
        <w:widowControl/>
        <w:adjustRightInd w:val="0"/>
        <w:snapToGrid w:val="0"/>
        <w:ind w:firstLine="640"/>
        <w:rPr>
          <w:rFonts w:cs="Times New Roman"/>
        </w:rPr>
      </w:pPr>
      <w:r>
        <w:rPr>
          <w:rFonts w:cs="Times New Roman"/>
        </w:rPr>
        <w:t xml:space="preserve"> 景区游步道体系是引导游客到达各景点及景点内部的道路，作为车行道路网有利补充。路面宽度1.5-2米。提供悠闲慢节奏、主题多样化的步行路线，丰富步行体验。结合项目地支路和生态游步道，形成以徒步游览为主的特色游览方式，沿线设置休憩亭廊、观景平台等设施。</w:t>
      </w:r>
    </w:p>
    <w:p w14:paraId="58EFA499">
      <w:pPr>
        <w:widowControl/>
        <w:adjustRightInd w:val="0"/>
        <w:snapToGrid w:val="0"/>
        <w:ind w:firstLine="640"/>
        <w:rPr>
          <w:rFonts w:cs="Times New Roman"/>
        </w:rPr>
      </w:pPr>
      <w:r>
        <w:rPr>
          <w:rFonts w:cs="Times New Roman"/>
        </w:rPr>
        <w:t>在各旅游景区入口处，建立生态停车场。有旅游等功能的村庄应根据旅游线路设置旅游车辆集中停放场地，并采用透水植草砖、木质挡墙等方法，突出其生态性；在旅游高峰季节，依托农家乐院落以及路面临时停车位解决停车问题。</w:t>
      </w:r>
    </w:p>
    <w:p w14:paraId="7C8A6768">
      <w:pPr>
        <w:pStyle w:val="3"/>
        <w:rPr>
          <w:rFonts w:ascii="Times New Roman" w:hAnsi="Times New Roman" w:cs="Times New Roman"/>
        </w:rPr>
      </w:pPr>
      <w:bookmarkStart w:id="115" w:name="_Toc31236"/>
      <w:bookmarkStart w:id="116" w:name="_Toc185844313"/>
      <w:r>
        <w:rPr>
          <w:rFonts w:ascii="Times New Roman" w:hAnsi="Times New Roman" w:cs="Times New Roman"/>
        </w:rPr>
        <w:t>第三节 市政基础设施</w:t>
      </w:r>
      <w:bookmarkEnd w:id="115"/>
      <w:bookmarkEnd w:id="116"/>
    </w:p>
    <w:p w14:paraId="64ADFB36">
      <w:pPr>
        <w:pStyle w:val="4"/>
        <w:numPr>
          <w:ilvl w:val="0"/>
          <w:numId w:val="31"/>
        </w:numPr>
        <w:ind w:left="420" w:firstLine="361" w:firstLineChars="113"/>
      </w:pPr>
      <w:r>
        <w:t>给水</w:t>
      </w:r>
      <w:r>
        <w:rPr>
          <w:rFonts w:hint="eastAsia"/>
        </w:rPr>
        <w:t>设施</w:t>
      </w:r>
      <w:r>
        <w:t>规划</w:t>
      </w:r>
    </w:p>
    <w:p w14:paraId="018B3F55">
      <w:pPr>
        <w:widowControl/>
        <w:adjustRightInd w:val="0"/>
        <w:snapToGrid w:val="0"/>
        <w:ind w:firstLine="640"/>
        <w:rPr>
          <w:rFonts w:cs="Times New Roman"/>
        </w:rPr>
      </w:pPr>
      <w:r>
        <w:rPr>
          <w:rFonts w:cs="Times New Roman"/>
        </w:rPr>
        <w:t>——全域给水</w:t>
      </w:r>
      <w:r>
        <w:rPr>
          <w:rFonts w:hint="eastAsia" w:cs="Times New Roman"/>
        </w:rPr>
        <w:t>设施</w:t>
      </w:r>
      <w:r>
        <w:rPr>
          <w:rFonts w:cs="Times New Roman"/>
        </w:rPr>
        <w:t>规划</w:t>
      </w:r>
    </w:p>
    <w:p w14:paraId="560944E4">
      <w:pPr>
        <w:widowControl/>
        <w:adjustRightInd w:val="0"/>
        <w:snapToGrid w:val="0"/>
        <w:ind w:firstLine="640"/>
        <w:rPr>
          <w:rFonts w:cs="Times New Roman"/>
        </w:rPr>
      </w:pPr>
      <w:r>
        <w:rPr>
          <w:rFonts w:cs="Times New Roman"/>
        </w:rPr>
        <w:t>规划全域普及自来水，乡中心区供水由大西沟集中供水点供水。乡中心区周边村屯根据各自的情况纳入乡中心区供水系统中。各村应开展农村饮用水安全工程，实现自来水供水全覆盖。自来水管道老化严重的村庄，应对现有给水不畅的输配水管道应进行疏通和更新，以解决跑、冒、滴、漏和二次污染等问题。规划各村逐步淘汰旧的浅水井，增加新的深水井，提高取水量。采用变频供水，管网采用环状网和枝状网相结合的方式，沿各道路铺设，以保证供水安全可靠。</w:t>
      </w:r>
    </w:p>
    <w:p w14:paraId="3CA4D4B1">
      <w:pPr>
        <w:widowControl/>
        <w:adjustRightInd w:val="0"/>
        <w:snapToGrid w:val="0"/>
        <w:ind w:firstLine="640"/>
        <w:rPr>
          <w:rFonts w:cs="Times New Roman"/>
          <w:u w:val="single"/>
        </w:rPr>
      </w:pPr>
      <w:r>
        <w:rPr>
          <w:rFonts w:cs="Times New Roman"/>
          <w:u w:val="single"/>
        </w:rPr>
        <w:t>加强水源保护，水源井周边30米范围内，不得设置渗水厕所、化粪池、垃圾堆和废渣堆之类的构筑物。水源井周围应设置宽度不小于10米的绿化带。</w:t>
      </w:r>
    </w:p>
    <w:p w14:paraId="1A8064E4">
      <w:pPr>
        <w:widowControl/>
        <w:adjustRightInd w:val="0"/>
        <w:snapToGrid w:val="0"/>
        <w:ind w:firstLine="640"/>
        <w:rPr>
          <w:rFonts w:cs="Times New Roman"/>
        </w:rPr>
      </w:pPr>
      <w:r>
        <w:rPr>
          <w:rFonts w:cs="Times New Roman"/>
        </w:rPr>
        <w:t>各旅游景区（点）内的生活用水可就近接入城乡供水管网，条件不具备的可采用与地下水相结合的方式，分区增设储水设备，通过输水管网采用分区—分点供水方式供水。严格保护地下水源，杜绝一切对地下水有影响的污染源，禁止一切对地下水水质不利的旅游活动。</w:t>
      </w:r>
    </w:p>
    <w:p w14:paraId="4AAB4975">
      <w:pPr>
        <w:widowControl/>
        <w:adjustRightInd w:val="0"/>
        <w:snapToGrid w:val="0"/>
        <w:ind w:firstLine="640"/>
        <w:rPr>
          <w:rFonts w:cs="Times New Roman"/>
        </w:rPr>
      </w:pPr>
      <w:r>
        <w:rPr>
          <w:rFonts w:cs="Times New Roman"/>
        </w:rPr>
        <w:t>——乡中心区给水</w:t>
      </w:r>
      <w:r>
        <w:rPr>
          <w:rFonts w:hint="eastAsia" w:cs="Times New Roman"/>
        </w:rPr>
        <w:t>设施</w:t>
      </w:r>
      <w:r>
        <w:rPr>
          <w:rFonts w:cs="Times New Roman"/>
        </w:rPr>
        <w:t>规划</w:t>
      </w:r>
    </w:p>
    <w:p w14:paraId="282DE40C">
      <w:pPr>
        <w:widowControl/>
        <w:adjustRightInd w:val="0"/>
        <w:snapToGrid w:val="0"/>
        <w:ind w:firstLine="640"/>
        <w:rPr>
          <w:rFonts w:cs="Times New Roman"/>
        </w:rPr>
      </w:pPr>
      <w:bookmarkStart w:id="117" w:name="_Toc381737"/>
      <w:r>
        <w:rPr>
          <w:rFonts w:cs="Times New Roman"/>
        </w:rPr>
        <w:t>（1）用水量预测</w:t>
      </w:r>
    </w:p>
    <w:p w14:paraId="03927256">
      <w:pPr>
        <w:ind w:firstLine="640"/>
        <w:rPr>
          <w:rFonts w:cs="Times New Roman"/>
        </w:rPr>
      </w:pPr>
      <w:bookmarkStart w:id="118" w:name="_Hlk175230559"/>
      <w:r>
        <w:rPr>
          <w:rFonts w:cs="Times New Roman"/>
        </w:rPr>
        <w:t>规划向阳乡居民生活人均用水标准：近期140L/（人·d），远期120L/（人</w:t>
      </w:r>
      <w:bookmarkStart w:id="119" w:name="_Hlk184047170"/>
      <w:r>
        <w:rPr>
          <w:rFonts w:cs="Times New Roman"/>
        </w:rPr>
        <w:t>·</w:t>
      </w:r>
      <w:bookmarkEnd w:id="119"/>
      <w:r>
        <w:rPr>
          <w:rFonts w:cs="Times New Roman"/>
        </w:rPr>
        <w:t>d），公共建筑用水量按居民生活用水量的25%计算。</w:t>
      </w:r>
    </w:p>
    <w:p w14:paraId="2438F5C8">
      <w:pPr>
        <w:ind w:firstLine="640"/>
        <w:rPr>
          <w:rFonts w:cs="Times New Roman"/>
        </w:rPr>
      </w:pPr>
      <w:r>
        <w:rPr>
          <w:rFonts w:cs="Times New Roman"/>
        </w:rPr>
        <w:t>根</w:t>
      </w:r>
      <w:ins w:id="15" w:author="杨起" w:date="2026-03-24T15:54:36Z">
        <w:r>
          <w:rPr>
            <w:rFonts w:hint="eastAsia" w:cs="Times New Roman"/>
            <w:lang w:val="en-US" w:eastAsia="zh-CN"/>
          </w:rPr>
          <w:t>据</w:t>
        </w:r>
      </w:ins>
      <w:del w:id="16" w:author="杨起" w:date="2026-03-24T15:54:35Z">
        <w:r>
          <w:rPr>
            <w:rFonts w:cs="Times New Roman"/>
          </w:rPr>
          <w:delText>椐</w:delText>
        </w:r>
      </w:del>
      <w:r>
        <w:rPr>
          <w:rFonts w:cs="Times New Roman"/>
        </w:rPr>
        <w:t>向阳乡的现状与发展，考虑可持续发展战略对未来工业单产耗水量的限制，城镇工业用水量定额，近期取160t/（ha·d），远期取150t/（ha·d）。</w:t>
      </w:r>
    </w:p>
    <w:p w14:paraId="3839B766">
      <w:pPr>
        <w:ind w:firstLine="640"/>
        <w:rPr>
          <w:rFonts w:cs="Times New Roman"/>
        </w:rPr>
      </w:pPr>
      <w:r>
        <w:rPr>
          <w:rFonts w:cs="Times New Roman"/>
        </w:rPr>
        <w:t>市政用水包括道路、绿化的浇洒用水和维修施工用水等，根</w:t>
      </w:r>
      <w:ins w:id="17" w:author="杨起" w:date="2026-03-24T15:54:41Z">
        <w:r>
          <w:rPr>
            <w:rFonts w:hint="eastAsia" w:cs="Times New Roman"/>
            <w:lang w:val="en-US" w:eastAsia="zh-CN"/>
          </w:rPr>
          <w:t>据</w:t>
        </w:r>
      </w:ins>
      <w:del w:id="18" w:author="杨起" w:date="2026-03-24T15:54:39Z">
        <w:r>
          <w:rPr>
            <w:rFonts w:cs="Times New Roman"/>
          </w:rPr>
          <w:delText>椐</w:delText>
        </w:r>
      </w:del>
      <w:r>
        <w:rPr>
          <w:rFonts w:cs="Times New Roman"/>
        </w:rPr>
        <w:t>一般城镇的实际情况，取综合生活用水量的12.5%。</w:t>
      </w:r>
    </w:p>
    <w:p w14:paraId="193D914F">
      <w:pPr>
        <w:ind w:firstLine="640"/>
        <w:rPr>
          <w:rFonts w:cs="Times New Roman"/>
        </w:rPr>
      </w:pPr>
      <w:r>
        <w:rPr>
          <w:rFonts w:cs="Times New Roman"/>
        </w:rPr>
        <w:t>近期向阳乡的城镇人口规模为1500人，消防用水量应按同一时间内2次火灾次数、一次灭火用水量45L/s计算；远期2000万人，消防用水量按同一时间内2次火灾次数、一次灭火用水量55L/s，每次灭火2小时。</w:t>
      </w:r>
    </w:p>
    <w:p w14:paraId="69FC4196">
      <w:pPr>
        <w:ind w:firstLine="640"/>
        <w:rPr>
          <w:rFonts w:cs="Times New Roman"/>
        </w:rPr>
      </w:pPr>
      <w:r>
        <w:rPr>
          <w:rFonts w:cs="Times New Roman"/>
        </w:rPr>
        <w:t>未预见用水量，参照一般城镇的管网实际运营情况，取日常城镇用水量的10%。</w:t>
      </w:r>
    </w:p>
    <w:bookmarkEnd w:id="118"/>
    <w:p w14:paraId="0D6D190C">
      <w:pPr>
        <w:widowControl/>
        <w:adjustRightInd w:val="0"/>
        <w:snapToGrid w:val="0"/>
        <w:ind w:firstLine="640"/>
        <w:rPr>
          <w:rFonts w:cs="Times New Roman"/>
        </w:rPr>
      </w:pPr>
      <w:r>
        <w:rPr>
          <w:rFonts w:cs="Times New Roman"/>
        </w:rPr>
        <w:t>（2）水源规划</w:t>
      </w:r>
    </w:p>
    <w:p w14:paraId="2D669702">
      <w:pPr>
        <w:ind w:firstLine="640"/>
        <w:rPr>
          <w:rFonts w:cs="Times New Roman"/>
        </w:rPr>
      </w:pPr>
      <w:r>
        <w:rPr>
          <w:rFonts w:cs="Times New Roman"/>
        </w:rPr>
        <w:t>规划向阳乡大西沟水厂取水位置为现状水源点，位于乡中心区南侧。合理规划地表水饮用水源河流流域，</w:t>
      </w:r>
      <w:bookmarkStart w:id="120" w:name="_Hlk175230610"/>
      <w:r>
        <w:rPr>
          <w:rFonts w:cs="Times New Roman"/>
        </w:rPr>
        <w:t>规划取水点上游1000米范围内和下游100米的范围内，为饮用水源保护区，保护区范围内的河流水质必须达到国家地表水Ⅱ级标准，不得排入工业废水和生活污水。</w:t>
      </w:r>
      <w:bookmarkEnd w:id="120"/>
    </w:p>
    <w:p w14:paraId="53BC03AA">
      <w:pPr>
        <w:ind w:firstLine="640"/>
        <w:rPr>
          <w:rFonts w:cs="Times New Roman"/>
        </w:rPr>
      </w:pPr>
      <w:r>
        <w:rPr>
          <w:rFonts w:cs="Times New Roman"/>
        </w:rPr>
        <w:t>饮用水源保护区的河流沿岸防护堤范围内，不得堆放废渣或设置有害化学品仓库或堆场，沿岸农田不得使用工业废水或生活污水灌溉，不得使用持久性或剧毒农药，并不得从事放牧。</w:t>
      </w:r>
    </w:p>
    <w:p w14:paraId="6EE565B9">
      <w:pPr>
        <w:ind w:firstLine="640"/>
        <w:rPr>
          <w:rFonts w:cs="Times New Roman"/>
        </w:rPr>
      </w:pPr>
      <w:r>
        <w:rPr>
          <w:rFonts w:cs="Times New Roman"/>
        </w:rPr>
        <w:t>加强水源水质调查研究，建立水体污染监测网，加强对饮用水源的控制和保护。水厂周围设置10米防护绿带，一般水厂生产区域或单独设立的泵站、沉淀池和清水池外围不小于30米的范围内，不得设立生活居住区和修建禽畜饲养场、渗水厕所、渗水坑、堆放废渣或铺设污水管道， 并不得进行破坏深层土层的活动。</w:t>
      </w:r>
    </w:p>
    <w:p w14:paraId="717C69A8">
      <w:pPr>
        <w:widowControl/>
        <w:adjustRightInd w:val="0"/>
        <w:snapToGrid w:val="0"/>
        <w:ind w:firstLine="640"/>
        <w:rPr>
          <w:rFonts w:cs="Times New Roman"/>
        </w:rPr>
      </w:pPr>
      <w:r>
        <w:rPr>
          <w:rFonts w:cs="Times New Roman"/>
        </w:rPr>
        <w:t>（3）管网规划</w:t>
      </w:r>
    </w:p>
    <w:p w14:paraId="4CEE512F">
      <w:pPr>
        <w:ind w:firstLine="640"/>
        <w:rPr>
          <w:rFonts w:cs="Times New Roman"/>
        </w:rPr>
      </w:pPr>
      <w:r>
        <w:rPr>
          <w:rFonts w:cs="Times New Roman"/>
        </w:rPr>
        <w:t>考虑远期发展需求，结合向阳乡用地布局模式，市政给水管网需采用单水源统一供水系统，其管网采用环状加枝状的形式，沿主要道路布置环状连通管道，其它道路以枝状向各用地内延伸，向周边供水。全面提高城镇供水系统管理能力和智能化水平，为城镇基础设施提升提供基础设施支撑。</w:t>
      </w:r>
    </w:p>
    <w:p w14:paraId="6DAD5B5A">
      <w:pPr>
        <w:pStyle w:val="4"/>
        <w:numPr>
          <w:ilvl w:val="0"/>
          <w:numId w:val="1"/>
        </w:numPr>
        <w:ind w:left="860" w:firstLine="361" w:firstLineChars="113"/>
      </w:pPr>
      <w:r>
        <w:t>排水</w:t>
      </w:r>
      <w:bookmarkEnd w:id="117"/>
      <w:r>
        <w:rPr>
          <w:rFonts w:hint="eastAsia"/>
        </w:rPr>
        <w:t>设施</w:t>
      </w:r>
      <w:r>
        <w:t>规划</w:t>
      </w:r>
    </w:p>
    <w:p w14:paraId="2E967F63">
      <w:pPr>
        <w:widowControl/>
        <w:adjustRightInd w:val="0"/>
        <w:snapToGrid w:val="0"/>
        <w:ind w:firstLine="640"/>
        <w:rPr>
          <w:rFonts w:cs="Times New Roman"/>
        </w:rPr>
      </w:pPr>
      <w:r>
        <w:rPr>
          <w:rFonts w:cs="Times New Roman"/>
        </w:rPr>
        <w:t>——全域排水</w:t>
      </w:r>
      <w:r>
        <w:rPr>
          <w:rFonts w:hint="eastAsia" w:cs="Times New Roman"/>
        </w:rPr>
        <w:t>设施</w:t>
      </w:r>
      <w:r>
        <w:rPr>
          <w:rFonts w:cs="Times New Roman"/>
        </w:rPr>
        <w:t>规划</w:t>
      </w:r>
    </w:p>
    <w:p w14:paraId="5EA1BDD3">
      <w:pPr>
        <w:widowControl/>
        <w:adjustRightInd w:val="0"/>
        <w:snapToGrid w:val="0"/>
        <w:ind w:firstLine="640"/>
        <w:rPr>
          <w:rFonts w:cs="Times New Roman"/>
        </w:rPr>
      </w:pPr>
      <w:r>
        <w:rPr>
          <w:rFonts w:cs="Times New Roman"/>
        </w:rPr>
        <w:t>规划乡中心区采用雨、污分流制的排水体制；其他村根据实际情况采用分流制或截流式合流制。乡中心区污水采用微型污水处理设施集中处理，应结合实际情况，将周边范围内农村生活污水集中收集，统一接入邻近市政污水管网，纳入污水处理厂统一处理，提高污水处理设施运行效率。</w:t>
      </w:r>
    </w:p>
    <w:p w14:paraId="7DFC1EB7">
      <w:pPr>
        <w:widowControl/>
        <w:adjustRightInd w:val="0"/>
        <w:snapToGrid w:val="0"/>
        <w:ind w:firstLine="640"/>
        <w:rPr>
          <w:rFonts w:cs="Times New Roman"/>
        </w:rPr>
      </w:pPr>
      <w:r>
        <w:rPr>
          <w:rFonts w:cs="Times New Roman"/>
        </w:rPr>
        <w:t>其他各村污水采用地下式小型污水处理设备、人工湿地、生物滤池等不同的处理方式，化粪池或沼气池可作为污水的预处理措施，避免污水直接任意排放，处理后的水灌溉农田或排入水体。</w:t>
      </w:r>
    </w:p>
    <w:p w14:paraId="4C33553B">
      <w:pPr>
        <w:widowControl/>
        <w:adjustRightInd w:val="0"/>
        <w:snapToGrid w:val="0"/>
        <w:ind w:firstLine="640"/>
        <w:rPr>
          <w:rFonts w:cs="Times New Roman"/>
        </w:rPr>
      </w:pPr>
      <w:r>
        <w:rPr>
          <w:rFonts w:cs="Times New Roman"/>
        </w:rPr>
        <w:t>乡中心区雨水排放系统均采用沿路敷设枝状管道的方式，管网成树枝状，以重力流为主，就近排放至周边水体。各村庄雨水排放系统采用沿路敷设矩形管渠的方式，根据整个区域的地形、地势划分排水区域，就近排放至周边水体。</w:t>
      </w:r>
    </w:p>
    <w:p w14:paraId="685990EC">
      <w:pPr>
        <w:widowControl/>
        <w:adjustRightInd w:val="0"/>
        <w:snapToGrid w:val="0"/>
        <w:ind w:firstLine="640"/>
        <w:rPr>
          <w:rFonts w:cs="Times New Roman"/>
        </w:rPr>
      </w:pPr>
      <w:r>
        <w:rPr>
          <w:rFonts w:cs="Times New Roman"/>
        </w:rPr>
        <w:t>旅游景区污水采用人工生物处理方法，即利用微生物将污水中的有机物分解氧化成稳定的无机物，使污水净化。污水经过处理达标后，排入溪河、林地。</w:t>
      </w:r>
    </w:p>
    <w:p w14:paraId="4F199B6E">
      <w:pPr>
        <w:widowControl/>
        <w:adjustRightInd w:val="0"/>
        <w:snapToGrid w:val="0"/>
        <w:ind w:firstLine="640"/>
        <w:rPr>
          <w:rFonts w:cs="Times New Roman"/>
        </w:rPr>
      </w:pPr>
      <w:r>
        <w:rPr>
          <w:rFonts w:cs="Times New Roman"/>
        </w:rPr>
        <w:t>依托农村户厕改造、农村人居环境改造、美丽乡村建设等项目，逐步改变原有农村污水无组织排放问题，实现村屯污水的有组织排放和定点处理。</w:t>
      </w:r>
    </w:p>
    <w:p w14:paraId="246CA1CE">
      <w:pPr>
        <w:widowControl/>
        <w:adjustRightInd w:val="0"/>
        <w:snapToGrid w:val="0"/>
        <w:ind w:firstLine="640"/>
        <w:rPr>
          <w:rFonts w:cs="Times New Roman"/>
        </w:rPr>
      </w:pPr>
      <w:r>
        <w:rPr>
          <w:rFonts w:cs="Times New Roman"/>
        </w:rPr>
        <w:t>——乡中心区污水</w:t>
      </w:r>
      <w:r>
        <w:rPr>
          <w:rFonts w:hint="eastAsia" w:cs="Times New Roman"/>
        </w:rPr>
        <w:t>设施</w:t>
      </w:r>
      <w:r>
        <w:rPr>
          <w:rFonts w:cs="Times New Roman"/>
        </w:rPr>
        <w:t>规划</w:t>
      </w:r>
    </w:p>
    <w:p w14:paraId="76882351">
      <w:pPr>
        <w:widowControl/>
        <w:adjustRightInd w:val="0"/>
        <w:snapToGrid w:val="0"/>
        <w:ind w:firstLine="640"/>
        <w:rPr>
          <w:rFonts w:cs="Times New Roman"/>
        </w:rPr>
      </w:pPr>
      <w:r>
        <w:rPr>
          <w:rFonts w:cs="Times New Roman"/>
        </w:rPr>
        <w:t>规划乡中心区的排水体制采用雨污分流制。新建城镇排水管网全面采用分流制排水体制，全面实行雨污分流，已建城镇合流制管线，逐步转为分流制排水系统。</w:t>
      </w:r>
    </w:p>
    <w:p w14:paraId="5FBFBF34">
      <w:pPr>
        <w:widowControl/>
        <w:adjustRightInd w:val="0"/>
        <w:snapToGrid w:val="0"/>
        <w:ind w:firstLine="640"/>
        <w:rPr>
          <w:rFonts w:cs="Times New Roman"/>
        </w:rPr>
      </w:pPr>
      <w:r>
        <w:rPr>
          <w:rFonts w:cs="Times New Roman"/>
        </w:rPr>
        <w:t>规划污水排放系数取0.8。规划在乡中心区南侧，桥头北侧设立微型污水处理设施。</w:t>
      </w:r>
    </w:p>
    <w:p w14:paraId="5A171391">
      <w:pPr>
        <w:widowControl/>
        <w:adjustRightInd w:val="0"/>
        <w:snapToGrid w:val="0"/>
        <w:ind w:firstLine="640"/>
        <w:rPr>
          <w:rFonts w:cs="Times New Roman"/>
        </w:rPr>
      </w:pPr>
      <w:r>
        <w:rPr>
          <w:rFonts w:cs="Times New Roman"/>
        </w:rPr>
        <w:t>——乡中心区雨水</w:t>
      </w:r>
      <w:r>
        <w:rPr>
          <w:rFonts w:hint="eastAsia" w:cs="Times New Roman"/>
        </w:rPr>
        <w:t>设施</w:t>
      </w:r>
      <w:r>
        <w:rPr>
          <w:rFonts w:cs="Times New Roman"/>
        </w:rPr>
        <w:t>规划</w:t>
      </w:r>
    </w:p>
    <w:p w14:paraId="42568E2C">
      <w:pPr>
        <w:widowControl/>
        <w:adjustRightInd w:val="0"/>
        <w:snapToGrid w:val="0"/>
        <w:ind w:firstLine="640"/>
        <w:rPr>
          <w:rFonts w:cs="Times New Roman"/>
        </w:rPr>
      </w:pPr>
      <w:r>
        <w:rPr>
          <w:rFonts w:cs="Times New Roman"/>
        </w:rPr>
        <w:t>雨水管道的布置为重力流管，结合规划道路布置，管道布置在规划路的西侧和南侧，并根据实际设置雨水排出口。规划布置截洪沟，使山水就近排入河道，截洪沟尽量沿山体等高线布置，以降低工程土方量。采用海绵城市建设理念，通过“渗滞蓄净用排”等海绵技术的应用和快速有力雨水排放系统建设，降低内涝风险，保障乡中心区水体水质。</w:t>
      </w:r>
    </w:p>
    <w:p w14:paraId="0D99086D">
      <w:pPr>
        <w:widowControl/>
        <w:adjustRightInd w:val="0"/>
        <w:snapToGrid w:val="0"/>
        <w:ind w:firstLine="640"/>
        <w:rPr>
          <w:rFonts w:cs="Times New Roman"/>
        </w:rPr>
      </w:pPr>
      <w:r>
        <w:rPr>
          <w:rFonts w:cs="Times New Roman"/>
        </w:rPr>
        <w:t>基于GIS技术，建立覆盖全域的排水管线管理系统，实现城镇雨污水管道信息的数字化、可视化。</w:t>
      </w:r>
    </w:p>
    <w:p w14:paraId="42E4FA4A">
      <w:pPr>
        <w:pStyle w:val="4"/>
        <w:numPr>
          <w:ilvl w:val="0"/>
          <w:numId w:val="1"/>
        </w:numPr>
        <w:ind w:left="860" w:firstLine="361" w:firstLineChars="113"/>
      </w:pPr>
      <w:r>
        <w:t>供电</w:t>
      </w:r>
      <w:r>
        <w:rPr>
          <w:rFonts w:hint="eastAsia"/>
        </w:rPr>
        <w:t>设施</w:t>
      </w:r>
      <w:r>
        <w:t>规划</w:t>
      </w:r>
    </w:p>
    <w:p w14:paraId="6562C7AA">
      <w:pPr>
        <w:widowControl/>
        <w:adjustRightInd w:val="0"/>
        <w:snapToGrid w:val="0"/>
        <w:ind w:firstLine="640"/>
        <w:rPr>
          <w:rFonts w:cs="Times New Roman"/>
        </w:rPr>
      </w:pPr>
      <w:r>
        <w:rPr>
          <w:rFonts w:cs="Times New Roman"/>
        </w:rPr>
        <w:t>——全域供电</w:t>
      </w:r>
      <w:r>
        <w:rPr>
          <w:rFonts w:hint="eastAsia" w:cs="Times New Roman"/>
        </w:rPr>
        <w:t>设施</w:t>
      </w:r>
      <w:r>
        <w:rPr>
          <w:rFonts w:cs="Times New Roman"/>
        </w:rPr>
        <w:t>规划</w:t>
      </w:r>
    </w:p>
    <w:p w14:paraId="1992BC59">
      <w:pPr>
        <w:widowControl/>
        <w:adjustRightInd w:val="0"/>
        <w:snapToGrid w:val="0"/>
        <w:ind w:firstLine="640"/>
        <w:rPr>
          <w:rFonts w:cs="Times New Roman"/>
        </w:rPr>
      </w:pPr>
      <w:r>
        <w:rPr>
          <w:rFonts w:cs="Times New Roman"/>
        </w:rPr>
        <w:t>完善全域电网系统，向阳乡电力网络布置按照中压和高压两个等级分别布设。按规划路径逐步调整架空配电线路，并应适当增加高度、缩小档距。</w:t>
      </w:r>
    </w:p>
    <w:p w14:paraId="2D5051EA">
      <w:pPr>
        <w:widowControl/>
        <w:adjustRightInd w:val="0"/>
        <w:snapToGrid w:val="0"/>
        <w:ind w:firstLine="640"/>
        <w:rPr>
          <w:rFonts w:cs="Times New Roman"/>
        </w:rPr>
      </w:pPr>
      <w:r>
        <w:rPr>
          <w:rFonts w:cs="Times New Roman"/>
        </w:rPr>
        <w:t>鼓励发展光伏、风电、生物质能发电等可再生新能源，积极发展智能电网。开展覆盖城乡的智能、高效、绿色变电站建设。推进智能电网应用试点，发展智能用电小区。</w:t>
      </w:r>
    </w:p>
    <w:p w14:paraId="7D633E98">
      <w:pPr>
        <w:widowControl/>
        <w:adjustRightInd w:val="0"/>
        <w:snapToGrid w:val="0"/>
        <w:ind w:firstLine="640"/>
        <w:rPr>
          <w:rFonts w:cs="Times New Roman"/>
        </w:rPr>
      </w:pPr>
      <w:r>
        <w:rPr>
          <w:rFonts w:cs="Times New Roman"/>
        </w:rPr>
        <w:t>——乡中心区供电工程规划</w:t>
      </w:r>
    </w:p>
    <w:p w14:paraId="63653D16">
      <w:pPr>
        <w:widowControl/>
        <w:adjustRightInd w:val="0"/>
        <w:snapToGrid w:val="0"/>
        <w:ind w:firstLine="640"/>
        <w:rPr>
          <w:rFonts w:cs="Times New Roman"/>
        </w:rPr>
      </w:pPr>
      <w:r>
        <w:rPr>
          <w:rFonts w:cs="Times New Roman"/>
        </w:rPr>
        <w:t>根据《城市电力规划规范（GB/50293-2014）》，城镇现状用电水平属中等水平，参考东北地区规划指标确定，城镇人均年综合用电取近期（2025年）取1250 kW•h，远期（2030年）取2368 kW•h。乡中心区的用电仍由现状变电所提供。随着变电所整体负荷的增长，对变电所进行增容。</w:t>
      </w:r>
    </w:p>
    <w:p w14:paraId="3DE5562D">
      <w:pPr>
        <w:widowControl/>
        <w:adjustRightInd w:val="0"/>
        <w:snapToGrid w:val="0"/>
        <w:ind w:firstLine="640"/>
        <w:rPr>
          <w:rFonts w:cs="Times New Roman"/>
        </w:rPr>
      </w:pPr>
      <w:r>
        <w:rPr>
          <w:rFonts w:cs="Times New Roman"/>
        </w:rPr>
        <w:t>按规划路径逐步调整架空配电线路，并应适当增加高度、缩小档距，以提高导线对地距离。在经济发展条件下，应逐步拆除电力杆路，埋设地下电力电缆，达到乡中心区内主干道路电力线路无杆化。</w:t>
      </w:r>
    </w:p>
    <w:p w14:paraId="2227C661">
      <w:pPr>
        <w:widowControl/>
        <w:adjustRightInd w:val="0"/>
        <w:snapToGrid w:val="0"/>
        <w:ind w:firstLine="640"/>
        <w:rPr>
          <w:rFonts w:cs="Times New Roman"/>
        </w:rPr>
      </w:pPr>
      <w:r>
        <w:rPr>
          <w:rFonts w:cs="Times New Roman"/>
        </w:rPr>
        <w:t>为了保障对旅游区供电的连续性，增设应急供电系统（可设置独立的发电机组），应急供电系统避免与正常电源并列使用。为不影响旅游区景观，旅游区供电、电信等市政管线尽量采取管道形式埋地敷设。需要建设的变压器等电力设施布置在安全隐蔽地段。旅游区内的照明设施，要充分考虑景观特色，配置相应的艺术造景灯饰。</w:t>
      </w:r>
    </w:p>
    <w:p w14:paraId="6AF23C65">
      <w:pPr>
        <w:pStyle w:val="4"/>
        <w:numPr>
          <w:ilvl w:val="0"/>
          <w:numId w:val="1"/>
        </w:numPr>
        <w:ind w:left="860" w:firstLine="361" w:firstLineChars="113"/>
      </w:pPr>
      <w:bookmarkStart w:id="121" w:name="_Toc381734"/>
      <w:bookmarkStart w:id="122" w:name="_Toc381733"/>
      <w:r>
        <w:t>通信</w:t>
      </w:r>
      <w:r>
        <w:rPr>
          <w:rFonts w:hint="eastAsia"/>
        </w:rPr>
        <w:t>设施</w:t>
      </w:r>
      <w:r>
        <w:t>规划</w:t>
      </w:r>
    </w:p>
    <w:p w14:paraId="6A03E1A1">
      <w:pPr>
        <w:ind w:firstLine="640"/>
        <w:rPr>
          <w:rFonts w:cs="Times New Roman"/>
        </w:rPr>
      </w:pPr>
      <w:r>
        <w:rPr>
          <w:rFonts w:cs="Times New Roman"/>
        </w:rPr>
        <w:t>——推进通信基础设施建设落实</w:t>
      </w:r>
    </w:p>
    <w:p w14:paraId="31F3CFE8">
      <w:pPr>
        <w:ind w:firstLine="640"/>
        <w:rPr>
          <w:rFonts w:cs="Times New Roman"/>
        </w:rPr>
      </w:pPr>
      <w:r>
        <w:rPr>
          <w:rFonts w:cs="Times New Roman"/>
        </w:rPr>
        <w:t>充分发挥规划引领作用，推动5G、千兆光纤等“双千兆”网络基础设施、机房及管线、电力等配套设施建设，5G基站站址、机房及通信管线等设施位置和配建要求在国土空间控制性详细规划中予以明确，将其纳入国土空间规划“一张图”实施监督信息系统，并列入土地出让的规划条件。</w:t>
      </w:r>
    </w:p>
    <w:p w14:paraId="717BB8C4">
      <w:pPr>
        <w:ind w:firstLine="640"/>
        <w:rPr>
          <w:rFonts w:cs="Times New Roman"/>
        </w:rPr>
      </w:pPr>
      <w:r>
        <w:rPr>
          <w:rFonts w:cs="Times New Roman"/>
        </w:rPr>
        <w:t>——镇域通信</w:t>
      </w:r>
      <w:r>
        <w:rPr>
          <w:rFonts w:hint="eastAsia" w:cs="Times New Roman"/>
        </w:rPr>
        <w:t>设施</w:t>
      </w:r>
      <w:r>
        <w:rPr>
          <w:rFonts w:cs="Times New Roman"/>
        </w:rPr>
        <w:t>规划</w:t>
      </w:r>
    </w:p>
    <w:p w14:paraId="326C2DF7">
      <w:pPr>
        <w:ind w:firstLine="640"/>
        <w:rPr>
          <w:rFonts w:cs="Times New Roman"/>
        </w:rPr>
      </w:pPr>
      <w:bookmarkStart w:id="123" w:name="_Hlk184056130"/>
      <w:r>
        <w:rPr>
          <w:rFonts w:cs="Times New Roman"/>
        </w:rPr>
        <w:t>大力发展移动通讯并逐步建立移动通讯光缆和基站系统，进一步加强和完善全域</w:t>
      </w:r>
      <w:del w:id="19" w:author="杨起" w:date="2026-03-24T15:55:43Z">
        <w:r>
          <w:rPr>
            <w:rFonts w:cs="Times New Roman"/>
          </w:rPr>
          <w:delText>域</w:delText>
        </w:r>
      </w:del>
      <w:r>
        <w:rPr>
          <w:rFonts w:cs="Times New Roman"/>
        </w:rPr>
        <w:t>移动通信设备基站，减小通信盲区。改善农村信息条件，加快光纤到村，促进农村地区信息化。乡中心区保留现状电信支局及邮政支局，中心村设置邮政代办网点，开展综合服务业务，加快邮政储蓄业务全域覆盖。</w:t>
      </w:r>
    </w:p>
    <w:p w14:paraId="7B2C32D2">
      <w:pPr>
        <w:ind w:firstLine="640"/>
        <w:rPr>
          <w:rFonts w:cs="Times New Roman"/>
        </w:rPr>
      </w:pPr>
      <w:r>
        <w:rPr>
          <w:rFonts w:cs="Times New Roman"/>
        </w:rPr>
        <w:t>规划通信线路沿主要道路采用架空敷设，规划考虑广播、有线电视、电话、光纤，村邮政等通信设施。</w:t>
      </w:r>
    </w:p>
    <w:p w14:paraId="69A6972D">
      <w:pPr>
        <w:ind w:firstLine="640"/>
        <w:rPr>
          <w:rFonts w:cs="Times New Roman"/>
        </w:rPr>
      </w:pPr>
      <w:r>
        <w:rPr>
          <w:rFonts w:cs="Times New Roman"/>
        </w:rPr>
        <w:t>——乡中心区通信</w:t>
      </w:r>
      <w:r>
        <w:rPr>
          <w:rFonts w:hint="eastAsia" w:cs="Times New Roman"/>
        </w:rPr>
        <w:t>设施</w:t>
      </w:r>
      <w:r>
        <w:rPr>
          <w:rFonts w:cs="Times New Roman"/>
        </w:rPr>
        <w:t>规划</w:t>
      </w:r>
    </w:p>
    <w:p w14:paraId="370280F9">
      <w:pPr>
        <w:ind w:firstLine="640"/>
        <w:rPr>
          <w:rFonts w:cs="Times New Roman"/>
        </w:rPr>
      </w:pPr>
      <w:r>
        <w:rPr>
          <w:rFonts w:cs="Times New Roman"/>
        </w:rPr>
        <w:t>乡中心区内新建道路上的光（电）缆宜采用地下敷设方式，按照城市快速路及主干路16-24孔、次干路8-16孔、支路 4-12孔的标准新建通信管道，干线管道按照6-8孔进行建设；离开乡中心区后，农村采用架空敷设。现状道路上的通信线路保持现状，在道路改（扩）建时优先按既有敷设方式迁改。</w:t>
      </w:r>
    </w:p>
    <w:p w14:paraId="761AB24F">
      <w:pPr>
        <w:ind w:firstLine="640"/>
        <w:rPr>
          <w:rFonts w:cs="Times New Roman"/>
        </w:rPr>
      </w:pPr>
      <w:r>
        <w:rPr>
          <w:rFonts w:cs="Times New Roman"/>
        </w:rPr>
        <w:t>保留铁塔公司与通信运营商现有移动通信基站，综合考虑蜂窝接入容量和覆盖的要求，结合移动话务模型及4G及5G 技术应用，4G乡中心区基站覆盖半径按400-500米设置，4G农村基站覆盖半径按800-1000米设置；5G乡中心区基站覆盖半径按200-500米设置，5G农村基站覆盖半径按500-1000米设置。充分利用既有基站共址建设，随着移动通信的发展，新建基站站址优先结合公共建筑顶层空间与公园绿地等公用空间设置。新建工业园区、居民小区以及各类公共建筑，规划时对通信基站进行配建规划。基站机柜优先结合建筑空间设施，无可依托建筑时，基站机柜应小型化，美观化设置。在城镇发展区内，5G站址应充分利用城市公共设施资源，优先与建筑物、灯杆等结合建设；在其他区域采用多种灵活建设方式开展基站建设，如结合有条件的路灯杆、道路指示牌或建设落地塔（杆）等。保留现状有线电视网络，并使之逐步光缆化。</w:t>
      </w:r>
    </w:p>
    <w:bookmarkEnd w:id="123"/>
    <w:p w14:paraId="79378971">
      <w:pPr>
        <w:pStyle w:val="4"/>
        <w:numPr>
          <w:ilvl w:val="0"/>
          <w:numId w:val="1"/>
        </w:numPr>
        <w:ind w:left="860" w:firstLine="361" w:firstLineChars="113"/>
      </w:pPr>
      <w:r>
        <w:t>燃气</w:t>
      </w:r>
      <w:bookmarkEnd w:id="121"/>
      <w:r>
        <w:rPr>
          <w:rFonts w:hint="eastAsia"/>
        </w:rPr>
        <w:t>设施</w:t>
      </w:r>
      <w:r>
        <w:t>规划</w:t>
      </w:r>
    </w:p>
    <w:p w14:paraId="62A0A0EB">
      <w:pPr>
        <w:widowControl/>
        <w:adjustRightInd w:val="0"/>
        <w:snapToGrid w:val="0"/>
        <w:ind w:firstLine="640"/>
        <w:rPr>
          <w:rFonts w:cs="Times New Roman"/>
        </w:rPr>
      </w:pPr>
      <w:r>
        <w:rPr>
          <w:rFonts w:cs="Times New Roman"/>
        </w:rPr>
        <w:t>规划乡中心区供气气源选择以罐装液化气为主，以电能为辅助能源；各村仍继续采用燃烧罐装液化气为主，以电能为辅助能源。远期开展气化乡村工程，逐步实现城镇燃气管网铺设和通气工作，逐步替代煤、柴等污染能源。同时，考虑与其他形式的清洁能源相结合，如太阳能、风能、沼气等，建设节约型社会，提高能源的使用效率。</w:t>
      </w:r>
    </w:p>
    <w:p w14:paraId="474A54BA">
      <w:pPr>
        <w:pStyle w:val="4"/>
        <w:numPr>
          <w:ilvl w:val="0"/>
          <w:numId w:val="1"/>
        </w:numPr>
        <w:ind w:left="860" w:firstLine="361" w:firstLineChars="113"/>
      </w:pPr>
      <w:r>
        <w:t>供热</w:t>
      </w:r>
      <w:bookmarkEnd w:id="122"/>
      <w:r>
        <w:rPr>
          <w:rFonts w:hint="eastAsia"/>
        </w:rPr>
        <w:t>设施</w:t>
      </w:r>
      <w:r>
        <w:t>规划</w:t>
      </w:r>
    </w:p>
    <w:p w14:paraId="09A138FE">
      <w:pPr>
        <w:widowControl/>
        <w:adjustRightInd w:val="0"/>
        <w:snapToGrid w:val="0"/>
        <w:ind w:firstLine="640"/>
        <w:rPr>
          <w:rFonts w:cs="Times New Roman"/>
          <w:color w:val="000000"/>
        </w:rPr>
      </w:pPr>
      <w:r>
        <w:rPr>
          <w:rFonts w:cs="Times New Roman"/>
          <w:color w:val="000000"/>
        </w:rPr>
        <w:t>规划在乡中心区建设一处集中供热站，同时建议采用清洁能源辅助供暖。规划集中供热普及率为100%。供热管网布置以枝状管网为主，中压主干管尽量避免敷设在主干路上，同时尽量避免穿越公路、其他大型建筑物，必须穿越时要有一定的防护措施。</w:t>
      </w:r>
    </w:p>
    <w:p w14:paraId="09141E73">
      <w:pPr>
        <w:widowControl/>
        <w:adjustRightInd w:val="0"/>
        <w:snapToGrid w:val="0"/>
        <w:ind w:firstLine="640"/>
        <w:rPr>
          <w:rFonts w:cs="Times New Roman"/>
          <w:color w:val="000000"/>
        </w:rPr>
      </w:pPr>
      <w:r>
        <w:rPr>
          <w:rFonts w:cs="Times New Roman"/>
          <w:color w:val="000000"/>
        </w:rPr>
        <w:t>其余各村近期以分散供热为主，远期实现燃气供热。</w:t>
      </w:r>
    </w:p>
    <w:p w14:paraId="63E0E1C4">
      <w:pPr>
        <w:pStyle w:val="4"/>
        <w:numPr>
          <w:ilvl w:val="0"/>
          <w:numId w:val="1"/>
        </w:numPr>
        <w:ind w:left="860" w:firstLine="361" w:firstLineChars="113"/>
      </w:pPr>
      <w:bookmarkStart w:id="124" w:name="_Toc381738"/>
      <w:r>
        <w:t>环卫</w:t>
      </w:r>
      <w:bookmarkEnd w:id="124"/>
      <w:r>
        <w:rPr>
          <w:rFonts w:hint="eastAsia"/>
        </w:rPr>
        <w:t>设施</w:t>
      </w:r>
      <w:r>
        <w:t>规划</w:t>
      </w:r>
    </w:p>
    <w:p w14:paraId="4541FAB0">
      <w:pPr>
        <w:ind w:firstLine="640"/>
        <w:rPr>
          <w:rFonts w:cs="Times New Roman"/>
        </w:rPr>
      </w:pPr>
      <w:r>
        <w:rPr>
          <w:rFonts w:cs="Times New Roman"/>
        </w:rPr>
        <w:t>规划向阳乡采用“户分类、村收集、乡运转、</w:t>
      </w:r>
      <w:r>
        <w:rPr>
          <w:rFonts w:hint="eastAsia" w:cs="Times New Roman"/>
        </w:rPr>
        <w:t>县</w:t>
      </w:r>
      <w:r>
        <w:rPr>
          <w:rFonts w:cs="Times New Roman"/>
        </w:rPr>
        <w:t>处理”的模式，实现环境卫生城乡一体化布局。桓仁县城生活垃圾卫生填埋场位于雅河乡垛道沟，设计日处理生活垃圾150吨，设计年限15年，设计库容120万立方米。向阳乡的生活垃圾统一运至县城生活垃圾卫生填埋场进行卫生填埋处理。</w:t>
      </w:r>
    </w:p>
    <w:p w14:paraId="0F3B0DA7">
      <w:pPr>
        <w:ind w:firstLine="640"/>
        <w:rPr>
          <w:rFonts w:cs="Times New Roman"/>
        </w:rPr>
      </w:pPr>
      <w:bookmarkStart w:id="125" w:name="_Hlk184561027"/>
      <w:r>
        <w:rPr>
          <w:rFonts w:cs="Times New Roman"/>
        </w:rPr>
        <w:t>有毒有害垃圾实行定期或预约收运，根据危险废物类别交由有相应危废经营许可资质的单位进行无害化处置。危险废物焚烧处理设施应满足《危险废物焚烧污染控制标准》（GB18484-2020）及修改单要求，危险废物安全处置率100%。</w:t>
      </w:r>
    </w:p>
    <w:p w14:paraId="67877FBB">
      <w:pPr>
        <w:ind w:firstLine="640"/>
        <w:rPr>
          <w:rFonts w:cs="Times New Roman"/>
        </w:rPr>
      </w:pPr>
      <w:r>
        <w:rPr>
          <w:rFonts w:cs="Times New Roman"/>
        </w:rPr>
        <w:t>全方位打造“智慧环卫”，实现日常办公“网络化”，机械作业“信息化”，保洁质量“透明化”，应急迎检“快捷化”，信息功能“共享化”。</w:t>
      </w:r>
    </w:p>
    <w:bookmarkEnd w:id="125"/>
    <w:p w14:paraId="543C0E63">
      <w:pPr>
        <w:pStyle w:val="3"/>
        <w:rPr>
          <w:rFonts w:ascii="Times New Roman" w:hAnsi="Times New Roman" w:cs="Times New Roman"/>
        </w:rPr>
      </w:pPr>
      <w:bookmarkStart w:id="126" w:name="_Toc185844314"/>
      <w:bookmarkStart w:id="127" w:name="_Toc9253"/>
      <w:r>
        <w:rPr>
          <w:rFonts w:ascii="Times New Roman" w:hAnsi="Times New Roman" w:cs="Times New Roman"/>
        </w:rPr>
        <w:t>第四节 防灾减灾设施</w:t>
      </w:r>
      <w:bookmarkEnd w:id="126"/>
      <w:bookmarkEnd w:id="127"/>
    </w:p>
    <w:p w14:paraId="1F00C38F">
      <w:pPr>
        <w:pStyle w:val="4"/>
        <w:numPr>
          <w:ilvl w:val="0"/>
          <w:numId w:val="32"/>
        </w:numPr>
        <w:ind w:left="420" w:firstLine="361" w:firstLineChars="113"/>
      </w:pPr>
      <w:r>
        <w:t>建设现代化城市综合防灾减灾体系</w:t>
      </w:r>
    </w:p>
    <w:p w14:paraId="7B5B0562">
      <w:pPr>
        <w:ind w:firstLine="640"/>
        <w:rPr>
          <w:rFonts w:cs="Times New Roman"/>
        </w:rPr>
      </w:pPr>
      <w:r>
        <w:rPr>
          <w:rFonts w:cs="Times New Roman"/>
        </w:rPr>
        <w:t>积极融入桓仁县中心城区综合防灾减灾体系，提升应对重大公共突发事件能力和水平，加强组织领导机构建设，统一组织、协调、指挥城市防灾减灾工作。健全城乡生命线工程系统，统筹生态网络、防灾网络和生命线系统、开敞空间系统、防灾系统。推进“平灾结合、平急两用”公共基础设施建设，“平时”用作旅游、康养、休闲等，“急时”可转换为应急场所，满足应急避难、临时安置、物资保障等需求。完善综合防灾减灾规划和应急预案，保障应急物资储备与供应，全面提高救灾专业队伍的减灾救援能力。</w:t>
      </w:r>
    </w:p>
    <w:p w14:paraId="6DEA88E5">
      <w:pPr>
        <w:ind w:firstLine="640"/>
        <w:rPr>
          <w:rFonts w:cs="Times New Roman"/>
        </w:rPr>
      </w:pPr>
      <w:r>
        <w:rPr>
          <w:rFonts w:cs="Times New Roman"/>
        </w:rPr>
        <w:t>提升生命线廊道的综合抗灾能力。基本构建以水、电、气、热、交通等为重点，覆盖全域范围的城镇生命线安全工程主框架，并接入辽宁省城市生命线安全工程监测网，实现生命线安全工程全域覆盖，显著提升城镇安全风险管控能力。</w:t>
      </w:r>
    </w:p>
    <w:p w14:paraId="5992A29D">
      <w:pPr>
        <w:pStyle w:val="4"/>
        <w:numPr>
          <w:ilvl w:val="0"/>
          <w:numId w:val="1"/>
        </w:numPr>
        <w:ind w:left="860" w:firstLine="361" w:firstLineChars="113"/>
      </w:pPr>
      <w:r>
        <w:t>应急避难场所</w:t>
      </w:r>
    </w:p>
    <w:p w14:paraId="697550C0">
      <w:pPr>
        <w:ind w:firstLine="640"/>
        <w:rPr>
          <w:rFonts w:cs="Times New Roman"/>
        </w:rPr>
      </w:pPr>
      <w:r>
        <w:rPr>
          <w:rFonts w:cs="Times New Roman"/>
        </w:rPr>
        <w:t>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2025年底前，全域初步形成乡镇级、村（社区）级应急避难场所布局体系，乡村应急避难场所覆盖范围进一步扩大。2035年底前，实现满足城乡人口避难需求的应急避难场所全覆盖。应急避难场所建设要达到国家《防灾避难场所设计规范》等有关规范、标准要求。2035年，</w:t>
      </w:r>
      <w:r>
        <w:rPr>
          <w:rFonts w:cs="Times New Roman"/>
          <w:u w:val="single"/>
        </w:rPr>
        <w:t>乡中心区人均应急避难场所面积不低于1.5平方米。</w:t>
      </w:r>
      <w:r>
        <w:rPr>
          <w:rFonts w:cs="Times New Roman"/>
        </w:rPr>
        <w:t>按照国家相关标准要求提升避难场所建设水平，提高容灾避险能力，80%以上的应急避难场所配齐配全设备设施，整体提升容灾避险水平。</w:t>
      </w:r>
    </w:p>
    <w:p w14:paraId="54A7CF48">
      <w:pPr>
        <w:pStyle w:val="4"/>
        <w:numPr>
          <w:ilvl w:val="0"/>
          <w:numId w:val="1"/>
        </w:numPr>
        <w:ind w:left="860" w:firstLine="361" w:firstLineChars="113"/>
      </w:pPr>
      <w:r>
        <w:t>防洪规划</w:t>
      </w:r>
    </w:p>
    <w:p w14:paraId="44C7EED3">
      <w:pPr>
        <w:widowControl/>
        <w:adjustRightInd w:val="0"/>
        <w:snapToGrid w:val="0"/>
        <w:ind w:firstLine="640"/>
        <w:rPr>
          <w:rFonts w:cs="Times New Roman"/>
        </w:rPr>
      </w:pPr>
      <w:bookmarkStart w:id="128" w:name="_Hlk131263270"/>
      <w:r>
        <w:rPr>
          <w:rFonts w:cs="Times New Roman"/>
        </w:rPr>
        <w:t>贯彻“全面规划、综合治理、防治结合、以防为主”的方针，高标准建设防洪系统。</w:t>
      </w:r>
      <w:r>
        <w:rPr>
          <w:rFonts w:cs="Times New Roman"/>
          <w:u w:val="single"/>
        </w:rPr>
        <w:t>浑江按照50年一遇防洪标准设防，其他河流防洪标准不低于10年一遇，治理山洪沟防洪标准为10年一遇。</w:t>
      </w:r>
      <w:r>
        <w:rPr>
          <w:rFonts w:cs="Times New Roman"/>
        </w:rPr>
        <w:t>加强堤防建设，建立安全的防洪排涝体系。</w:t>
      </w:r>
    </w:p>
    <w:bookmarkEnd w:id="128"/>
    <w:p w14:paraId="4521DD2F">
      <w:pPr>
        <w:widowControl/>
        <w:adjustRightInd w:val="0"/>
        <w:snapToGrid w:val="0"/>
        <w:ind w:firstLine="640"/>
        <w:rPr>
          <w:rFonts w:cs="Times New Roman"/>
        </w:rPr>
      </w:pPr>
      <w:bookmarkStart w:id="129" w:name="_Hlk131263279"/>
      <w:r>
        <w:rPr>
          <w:rFonts w:cs="Times New Roman"/>
        </w:rPr>
        <w:t>河道整治与改善城镇环境相结合，通过河道整治，使河道畅通，改善水质和生活环境。综合运用挡、排、疏等手段，建立和完善城镇防洪工程体系。做好地势低洼地段的排涝工作，采用垫高地面和设置排涝泵站等措施，提高防洪能力。建立综合防灾体系，做好防洪预案并加强气象和水情预报，最大限度地减少洪涝灾害带来的损失。</w:t>
      </w:r>
    </w:p>
    <w:p w14:paraId="3F2F2752">
      <w:pPr>
        <w:pStyle w:val="4"/>
        <w:numPr>
          <w:ilvl w:val="0"/>
          <w:numId w:val="1"/>
        </w:numPr>
        <w:ind w:left="860" w:firstLine="361" w:firstLineChars="113"/>
      </w:pPr>
      <w:r>
        <w:t>消防规划</w:t>
      </w:r>
    </w:p>
    <w:bookmarkEnd w:id="129"/>
    <w:p w14:paraId="0F044710">
      <w:pPr>
        <w:widowControl/>
        <w:adjustRightInd w:val="0"/>
        <w:snapToGrid w:val="0"/>
        <w:ind w:firstLine="640"/>
        <w:rPr>
          <w:rFonts w:cs="Times New Roman"/>
        </w:rPr>
      </w:pPr>
      <w:r>
        <w:rPr>
          <w:rFonts w:cs="Times New Roman"/>
        </w:rPr>
        <w:t>贯彻“预防为主，防消结合”的消防工作方针，推进消防站建设和市政消防水源建设，合理划分消防责任区。</w:t>
      </w:r>
      <w:r>
        <w:rPr>
          <w:rFonts w:cs="Times New Roman"/>
          <w:u w:val="single"/>
        </w:rPr>
        <w:t>规划乡中心区建设</w:t>
      </w:r>
      <w:r>
        <w:rPr>
          <w:rFonts w:hint="eastAsia" w:cs="Times New Roman"/>
          <w:u w:val="single"/>
        </w:rPr>
        <w:t>二级</w:t>
      </w:r>
      <w:r>
        <w:rPr>
          <w:rFonts w:cs="Times New Roman"/>
          <w:u w:val="single"/>
        </w:rPr>
        <w:t>消防站，</w:t>
      </w:r>
      <w:r>
        <w:rPr>
          <w:rFonts w:cs="Times New Roman"/>
        </w:rPr>
        <w:t>保持相应的人员和车辆的配备，服务于整个镇域及周边地区，同时兼顾森林防火。消防给水系统与城镇给水系统一致，沿路供水管线不超过120米设一处消火栓。在工业区、大型公共建筑和供水低压区内设置消防水池，以保证消防用水所需流量。</w:t>
      </w:r>
    </w:p>
    <w:p w14:paraId="3226F539">
      <w:pPr>
        <w:widowControl/>
        <w:adjustRightInd w:val="0"/>
        <w:snapToGrid w:val="0"/>
        <w:ind w:firstLine="640"/>
        <w:rPr>
          <w:rFonts w:cs="Times New Roman"/>
        </w:rPr>
      </w:pPr>
      <w:r>
        <w:rPr>
          <w:rFonts w:cs="Times New Roman"/>
        </w:rPr>
        <w:t>强化消防通信设施建设。消防通信消防站应与桓仁县消防指挥中心建立可靠的有线通信、无线通信联系；消防无线通信系统应按专用通信网设置，并能与其它通信网连接，设置无线通讯基地台，保证线路、通信信号畅通。</w:t>
      </w:r>
    </w:p>
    <w:p w14:paraId="1B9A5F54">
      <w:pPr>
        <w:widowControl/>
        <w:adjustRightInd w:val="0"/>
        <w:snapToGrid w:val="0"/>
        <w:ind w:firstLine="640"/>
        <w:rPr>
          <w:rFonts w:cs="Times New Roman"/>
        </w:rPr>
      </w:pPr>
      <w:r>
        <w:rPr>
          <w:rFonts w:cs="Times New Roman"/>
        </w:rPr>
        <w:t>消防给水与市政给水为共用系统，加强镇内给水管网系统的建设和改造。在给水主干管和主要道路的绿岛或人行步道附近设置消防水鹤，其放水管对应的路面应有雨水（口）井，消防水鹤间距不应超过1000米。</w:t>
      </w:r>
    </w:p>
    <w:p w14:paraId="0C47E845">
      <w:pPr>
        <w:widowControl/>
        <w:adjustRightInd w:val="0"/>
        <w:snapToGrid w:val="0"/>
        <w:ind w:firstLine="640"/>
        <w:rPr>
          <w:rFonts w:cs="Times New Roman"/>
          <w:u w:val="single"/>
        </w:rPr>
      </w:pPr>
      <w:bookmarkStart w:id="130" w:name="_Hlk184058495"/>
      <w:r>
        <w:rPr>
          <w:rFonts w:cs="Times New Roman"/>
          <w:u w:val="single"/>
        </w:rPr>
        <w:t>加强消防通道建设。居住区道路宽度不应小于</w:t>
      </w:r>
      <w:r>
        <w:rPr>
          <w:rFonts w:hint="eastAsia" w:cs="Times New Roman"/>
          <w:u w:val="single"/>
        </w:rPr>
        <w:t>4</w:t>
      </w:r>
      <w:r>
        <w:rPr>
          <w:rFonts w:cs="Times New Roman"/>
          <w:u w:val="single"/>
        </w:rPr>
        <w:t>米，道路转弯半径不应小于12米，净高不低于4.0米，消防通道间距应小于160米。</w:t>
      </w:r>
      <w:bookmarkEnd w:id="130"/>
      <w:r>
        <w:rPr>
          <w:rFonts w:cs="Times New Roman"/>
          <w:u w:val="single"/>
        </w:rPr>
        <w:t>城镇道路设置消火栓，消火栓间距不大于120米。</w:t>
      </w:r>
    </w:p>
    <w:p w14:paraId="3DA64EDF">
      <w:pPr>
        <w:pStyle w:val="4"/>
        <w:numPr>
          <w:ilvl w:val="0"/>
          <w:numId w:val="1"/>
        </w:numPr>
        <w:ind w:left="860" w:firstLine="361" w:firstLineChars="113"/>
      </w:pPr>
      <w:r>
        <w:t>森林防火</w:t>
      </w:r>
    </w:p>
    <w:p w14:paraId="302C9682">
      <w:pPr>
        <w:widowControl/>
        <w:adjustRightInd w:val="0"/>
        <w:snapToGrid w:val="0"/>
        <w:ind w:firstLine="640"/>
        <w:rPr>
          <w:rFonts w:cs="Times New Roman"/>
        </w:rPr>
      </w:pPr>
      <w:r>
        <w:rPr>
          <w:rFonts w:cs="Times New Roman"/>
        </w:rPr>
        <w:t>全面提高森林火灾防控能力，对森林区实行消防防火分区，加强生物防火林带的建设、维护，完善和优化防火设施布置、植物配置。加强预警监测系统、森林防火通信和信息指挥系统建设，建立森林消防应急联动机制，完善森林消防设施和森林专业消防救援队伍建设，最大限度地减少森林火灾发生和灾害损失。</w:t>
      </w:r>
    </w:p>
    <w:p w14:paraId="3996B65E">
      <w:pPr>
        <w:pStyle w:val="4"/>
        <w:numPr>
          <w:ilvl w:val="0"/>
          <w:numId w:val="1"/>
        </w:numPr>
        <w:ind w:left="860" w:firstLine="361" w:firstLineChars="113"/>
      </w:pPr>
      <w:r>
        <w:t>抗震减灾</w:t>
      </w:r>
    </w:p>
    <w:p w14:paraId="65DF1661">
      <w:pPr>
        <w:widowControl/>
        <w:adjustRightInd w:val="0"/>
        <w:snapToGrid w:val="0"/>
        <w:ind w:firstLine="640"/>
        <w:rPr>
          <w:rFonts w:cs="Times New Roman"/>
        </w:rPr>
      </w:pPr>
      <w:r>
        <w:rPr>
          <w:rFonts w:cs="Times New Roman"/>
        </w:rPr>
        <w:t>根据《中国地震动参数区划图（GB18306—2015）》，</w:t>
      </w:r>
      <w:r>
        <w:rPr>
          <w:rFonts w:cs="Times New Roman"/>
          <w:u w:val="single"/>
        </w:rPr>
        <w:t>向阳乡执行7度设防。对有特殊要求的建筑物和构筑物应执行抗震规范。</w:t>
      </w:r>
      <w:r>
        <w:rPr>
          <w:rFonts w:cs="Times New Roman"/>
        </w:rPr>
        <w:t>向阳乡地质结构复杂，因此在向阳乡域内的重大建设工程和可能发生严重次生灾害的建设工程必须进行地震安全性评价，并根据安评结果，确定抗震设防要求，进行抗震设防。</w:t>
      </w:r>
    </w:p>
    <w:p w14:paraId="3A6A6619">
      <w:pPr>
        <w:widowControl/>
        <w:adjustRightInd w:val="0"/>
        <w:snapToGrid w:val="0"/>
        <w:ind w:firstLine="640"/>
        <w:rPr>
          <w:rFonts w:cs="Times New Roman"/>
        </w:rPr>
      </w:pPr>
      <w:r>
        <w:rPr>
          <w:rFonts w:cs="Times New Roman"/>
        </w:rPr>
        <w:t>各类房屋建筑及其附属设施和城市市政设施等建设工程设计及施工必须执行国家抗震设计规范。</w:t>
      </w:r>
    </w:p>
    <w:p w14:paraId="1EDBA546">
      <w:pPr>
        <w:pStyle w:val="4"/>
        <w:numPr>
          <w:ilvl w:val="0"/>
          <w:numId w:val="1"/>
        </w:numPr>
        <w:ind w:left="860" w:firstLine="361" w:firstLineChars="113"/>
      </w:pPr>
      <w:r>
        <w:t>人防规划</w:t>
      </w:r>
    </w:p>
    <w:p w14:paraId="6B604040">
      <w:pPr>
        <w:ind w:firstLine="640"/>
        <w:rPr>
          <w:rFonts w:cs="Times New Roman"/>
        </w:rPr>
      </w:pPr>
      <w:r>
        <w:rPr>
          <w:rFonts w:cs="Times New Roman"/>
        </w:rPr>
        <w:t>按照以疏散为主、掩蔽为辅的原则，人防工事由掩蔽工事、指挥系统、给水系统、警报通信系统、供电系统、医疗救护系统、人防仓库、工程抢救系统等组成，分别按照《人民防空条例》的规定建设，一般按五级以上工事标准修建。</w:t>
      </w:r>
    </w:p>
    <w:p w14:paraId="668DBE93">
      <w:pPr>
        <w:ind w:firstLine="640"/>
        <w:rPr>
          <w:rFonts w:cs="Times New Roman"/>
        </w:rPr>
      </w:pPr>
      <w:r>
        <w:rPr>
          <w:rFonts w:cs="Times New Roman"/>
        </w:rPr>
        <w:t>乡中心区应建设有线、无线、统控、自控相结合的防空警报网络。乡中心区重点地区必须按照规划要求建设人防工程，在人流集散的车站、大型商场、旅馆、医院、学校、政府机关等处修建一定规模的平战结合的掩蔽工事；车站、桥梁、铁路、对外公路及重要生命线工程要作为重点防护目标，设置专门的工程抢修系统。</w:t>
      </w:r>
    </w:p>
    <w:p w14:paraId="66D4F9D2">
      <w:pPr>
        <w:pStyle w:val="4"/>
        <w:numPr>
          <w:ilvl w:val="0"/>
          <w:numId w:val="1"/>
        </w:numPr>
        <w:ind w:left="860" w:firstLine="361" w:firstLineChars="113"/>
      </w:pPr>
      <w:r>
        <w:t>地质灾害防治</w:t>
      </w:r>
    </w:p>
    <w:p w14:paraId="1380E720">
      <w:pPr>
        <w:widowControl/>
        <w:adjustRightInd w:val="0"/>
        <w:snapToGrid w:val="0"/>
        <w:ind w:firstLine="640"/>
        <w:rPr>
          <w:rFonts w:cs="Times New Roman"/>
        </w:rPr>
      </w:pPr>
      <w:r>
        <w:rPr>
          <w:rFonts w:cs="Times New Roman"/>
        </w:rPr>
        <w:t>提升地质灾害防治能力。增强地质灾害调查研究深度，开展地质灾害风险普查与调查。整合社会资源，配备必要的交通、通讯和专业设备，形成协调联动、反应迅速、组织有力、救援有效的地质灾害应急救援队伍。组建地质灾害应急调查小分队，协助处理突发地质灾害事件，指导和制定应急处置方案。建设信息网络平台，提高处理突发性地质灾害的能力。强化宣传培训与应急演练。健全以村干部和骨干群众为主体的群测群防员队伍，组织群测群防员培训。加强预警信息发布手段建设，确保及时发现险情、及时发出预警。</w:t>
      </w:r>
    </w:p>
    <w:p w14:paraId="532F7770">
      <w:pPr>
        <w:pStyle w:val="4"/>
        <w:numPr>
          <w:ilvl w:val="0"/>
          <w:numId w:val="1"/>
        </w:numPr>
        <w:ind w:left="860" w:firstLine="361" w:firstLineChars="113"/>
      </w:pPr>
      <w:bookmarkStart w:id="131" w:name="_Hlk131266021"/>
      <w:r>
        <w:t>气象灾害防御</w:t>
      </w:r>
    </w:p>
    <w:p w14:paraId="5F05E218">
      <w:pPr>
        <w:widowControl/>
        <w:adjustRightInd w:val="0"/>
        <w:snapToGrid w:val="0"/>
        <w:ind w:firstLine="640"/>
        <w:rPr>
          <w:rFonts w:cs="Times New Roman"/>
        </w:rPr>
      </w:pPr>
      <w:r>
        <w:rPr>
          <w:rFonts w:cs="Times New Roman"/>
        </w:rPr>
        <w:t>完善气象灾害防灾减灾体系，加强重大气象灾害风险区划和评估，尤其做好暴雨、台风、暴雪、大雾、大风、强对流天气等灾害防御。加强气象灾害预警信息传播设施建设，向公众传播气象灾害预警信息。</w:t>
      </w:r>
    </w:p>
    <w:p w14:paraId="7FBFADD3">
      <w:pPr>
        <w:widowControl/>
        <w:adjustRightInd w:val="0"/>
        <w:snapToGrid w:val="0"/>
        <w:ind w:firstLine="640"/>
        <w:rPr>
          <w:rFonts w:cs="Times New Roman"/>
        </w:rPr>
      </w:pPr>
      <w:r>
        <w:rPr>
          <w:rFonts w:cs="Times New Roman"/>
          <w:lang w:bidi="ar"/>
        </w:rPr>
        <w:t>加强气象设施和气象探测环境保护，</w:t>
      </w:r>
      <w:r>
        <w:rPr>
          <w:rFonts w:cs="Times New Roman"/>
          <w:u w:val="single"/>
          <w:lang w:bidi="ar"/>
        </w:rPr>
        <w:t>保障高空气象观测站、天气雷达站、气象卫星地面站、区域气象观测站和单独设立的气象探测设施探测环境的保护，应当严格执行国家规定的保护范围和要求</w:t>
      </w:r>
      <w:r>
        <w:rPr>
          <w:rFonts w:cs="Times New Roman"/>
          <w:lang w:bidi="ar"/>
        </w:rPr>
        <w:t>。</w:t>
      </w:r>
    </w:p>
    <w:bookmarkEnd w:id="131"/>
    <w:p w14:paraId="777C6233">
      <w:pPr>
        <w:pStyle w:val="2"/>
        <w:spacing w:before="312" w:after="312"/>
        <w:rPr>
          <w:rFonts w:ascii="Times New Roman" w:hAnsi="Times New Roman" w:cs="Times New Roman"/>
        </w:rPr>
      </w:pPr>
      <w:bookmarkStart w:id="132" w:name="_Toc185844315"/>
      <w:bookmarkStart w:id="133" w:name="_Toc24001"/>
      <w:r>
        <w:rPr>
          <w:rFonts w:ascii="Times New Roman" w:hAnsi="Times New Roman" w:cs="Times New Roman"/>
        </w:rPr>
        <w:t>第九章 规划传导与近期建设</w:t>
      </w:r>
      <w:bookmarkEnd w:id="132"/>
      <w:bookmarkEnd w:id="133"/>
    </w:p>
    <w:p w14:paraId="79D023C1">
      <w:pPr>
        <w:pStyle w:val="3"/>
        <w:rPr>
          <w:rFonts w:ascii="Times New Roman" w:hAnsi="Times New Roman" w:cs="Times New Roman"/>
        </w:rPr>
      </w:pPr>
      <w:bookmarkStart w:id="134" w:name="_Toc175064695"/>
      <w:bookmarkStart w:id="135" w:name="_Toc27680"/>
      <w:bookmarkStart w:id="136" w:name="_Toc185844316"/>
      <w:r>
        <w:rPr>
          <w:rFonts w:ascii="Times New Roman" w:hAnsi="Times New Roman" w:cs="Times New Roman"/>
        </w:rPr>
        <w:t>第一节 加强党的领导</w:t>
      </w:r>
      <w:bookmarkEnd w:id="134"/>
      <w:bookmarkEnd w:id="135"/>
      <w:bookmarkEnd w:id="136"/>
    </w:p>
    <w:p w14:paraId="40F88C3D">
      <w:pPr>
        <w:pStyle w:val="4"/>
        <w:numPr>
          <w:ilvl w:val="0"/>
          <w:numId w:val="33"/>
        </w:numPr>
        <w:ind w:left="420" w:firstLine="361" w:firstLineChars="113"/>
        <w:rPr>
          <w:rFonts w:eastAsia="楷体"/>
        </w:rPr>
      </w:pPr>
      <w:r>
        <w:t>强化党对国土空间规划的全面领导</w:t>
      </w:r>
    </w:p>
    <w:p w14:paraId="1A28D402">
      <w:pPr>
        <w:widowControl/>
        <w:adjustRightInd w:val="0"/>
        <w:snapToGrid w:val="0"/>
        <w:ind w:firstLine="640"/>
        <w:rPr>
          <w:rFonts w:cs="Times New Roman"/>
        </w:rPr>
      </w:pPr>
      <w:r>
        <w:rPr>
          <w:rFonts w:cs="Times New Roman"/>
          <w:color w:val="000000"/>
          <w:lang w:bidi="ar"/>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p>
    <w:p w14:paraId="2B5A0E05">
      <w:pPr>
        <w:pStyle w:val="4"/>
        <w:numPr>
          <w:ilvl w:val="0"/>
          <w:numId w:val="1"/>
        </w:numPr>
        <w:ind w:left="860" w:firstLine="361" w:firstLineChars="113"/>
      </w:pPr>
      <w:r>
        <w:t>落实地方党委和政府国土空间规划管理主体责任</w:t>
      </w:r>
    </w:p>
    <w:p w14:paraId="38D89F9F">
      <w:pPr>
        <w:widowControl/>
        <w:adjustRightInd w:val="0"/>
        <w:snapToGrid w:val="0"/>
        <w:ind w:firstLine="640"/>
        <w:rPr>
          <w:rFonts w:cs="Times New Roman"/>
        </w:rPr>
      </w:pPr>
      <w:r>
        <w:rPr>
          <w:rFonts w:cs="Times New Roman"/>
          <w:color w:val="000000"/>
          <w:lang w:bidi="ar"/>
        </w:rPr>
        <w:t>坚持“多规合一”，不在国土空间规划体系之外另设其他空间规划。强化规划严肃性，规划一经批准，任何部门和个人不得随意修改、违规变更。规划实施中的重大事项或重大调整，应及时按程序向上级党委政府请示报告。</w:t>
      </w:r>
    </w:p>
    <w:p w14:paraId="69706D60">
      <w:pPr>
        <w:pStyle w:val="4"/>
        <w:numPr>
          <w:ilvl w:val="0"/>
          <w:numId w:val="1"/>
        </w:numPr>
        <w:ind w:left="860" w:firstLine="361" w:firstLineChars="113"/>
      </w:pPr>
      <w:r>
        <w:t>加强部门协同联动</w:t>
      </w:r>
    </w:p>
    <w:p w14:paraId="1920FB2E">
      <w:pPr>
        <w:widowControl/>
        <w:adjustRightInd w:val="0"/>
        <w:snapToGrid w:val="0"/>
        <w:ind w:firstLine="640"/>
        <w:rPr>
          <w:rFonts w:cs="Times New Roman"/>
        </w:rPr>
      </w:pPr>
      <w:r>
        <w:rPr>
          <w:rFonts w:cs="Times New Roman"/>
          <w:color w:val="000000"/>
          <w:lang w:bidi="ar"/>
        </w:rPr>
        <w:t>加强部门协同，进一步完善国土空间规划编制实施管理的配套措施，对镇国土空间规划编制实施管理重大问题进行统筹协调和决策，确保规划各项目标任务落地实施。</w:t>
      </w:r>
    </w:p>
    <w:p w14:paraId="2150DE7E">
      <w:pPr>
        <w:pStyle w:val="3"/>
        <w:rPr>
          <w:rFonts w:ascii="Times New Roman" w:hAnsi="Times New Roman" w:cs="Times New Roman"/>
        </w:rPr>
      </w:pPr>
      <w:bookmarkStart w:id="137" w:name="_Toc9692"/>
      <w:bookmarkStart w:id="138" w:name="_Toc185844317"/>
      <w:r>
        <w:rPr>
          <w:rFonts w:ascii="Times New Roman" w:hAnsi="Times New Roman" w:cs="Times New Roman"/>
        </w:rPr>
        <w:t>第二节 详细规划传导</w:t>
      </w:r>
      <w:bookmarkEnd w:id="137"/>
      <w:bookmarkEnd w:id="138"/>
    </w:p>
    <w:p w14:paraId="367445E4">
      <w:pPr>
        <w:pStyle w:val="4"/>
        <w:numPr>
          <w:ilvl w:val="0"/>
          <w:numId w:val="34"/>
        </w:numPr>
        <w:ind w:left="420" w:firstLine="361" w:firstLineChars="113"/>
      </w:pPr>
      <w:r>
        <w:t>完善规划传导体系</w:t>
      </w:r>
    </w:p>
    <w:p w14:paraId="25AA058F">
      <w:pPr>
        <w:widowControl/>
        <w:adjustRightInd w:val="0"/>
        <w:snapToGrid w:val="0"/>
        <w:ind w:firstLine="640"/>
        <w:rPr>
          <w:rFonts w:cs="Times New Roman"/>
        </w:rPr>
      </w:pPr>
      <w:r>
        <w:rPr>
          <w:rFonts w:cs="Times New Roman"/>
          <w:color w:val="000000"/>
          <w:lang w:bidi="ar"/>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向阳乡的空间发展格局、战略目标、城镇定位与发展方向、重大综合交通布局、重要公共服务与基础设施安排、规划分区深化细化、要素配置等内容导向，统筹安排各类用地结构和空间布局，确保县、乡镇级规划双向衔接。相关专项规划要在总体规划的约束下编制，详细规划要遵循总体规划，不得违背总体规划强制性内容。</w:t>
      </w:r>
    </w:p>
    <w:p w14:paraId="06A40E9A">
      <w:pPr>
        <w:pStyle w:val="4"/>
        <w:numPr>
          <w:ilvl w:val="0"/>
          <w:numId w:val="1"/>
        </w:numPr>
        <w:ind w:left="860" w:firstLine="361" w:firstLineChars="113"/>
      </w:pPr>
      <w:r>
        <w:t>详细规划传导</w:t>
      </w:r>
    </w:p>
    <w:p w14:paraId="5ED0E0A4">
      <w:pPr>
        <w:widowControl/>
        <w:adjustRightInd w:val="0"/>
        <w:snapToGrid w:val="0"/>
        <w:ind w:firstLine="640"/>
        <w:rPr>
          <w:rFonts w:cs="Times New Roman"/>
          <w:color w:val="C00000"/>
          <w:lang w:bidi="ar"/>
        </w:rPr>
      </w:pPr>
      <w:r>
        <w:rPr>
          <w:rFonts w:cs="Times New Roman"/>
          <w:color w:val="000000"/>
          <w:lang w:bidi="ar"/>
        </w:rPr>
        <w:t>落实上位规划划分的城乡详细规划单元，构建面向实施的详</w:t>
      </w:r>
      <w:r>
        <w:rPr>
          <w:rFonts w:cs="Times New Roman"/>
          <w:lang w:bidi="ar"/>
        </w:rPr>
        <w:t>细规划编制体系，在城镇开发边界内通过“城镇单元”传导，编制详细规划，外围乡村地区通过“乡村单元”传导，编制村庄规划。结合详细规划单元划定，对既有详细规划编制情况进行评估，根据评估结果及时开展详细规划的新编和修编工作。</w:t>
      </w:r>
    </w:p>
    <w:p w14:paraId="0E46E459">
      <w:pPr>
        <w:pStyle w:val="4"/>
        <w:numPr>
          <w:ilvl w:val="0"/>
          <w:numId w:val="1"/>
        </w:numPr>
        <w:ind w:left="860" w:firstLine="361" w:firstLineChars="113"/>
      </w:pPr>
      <w:r>
        <w:t>城镇单元划分</w:t>
      </w:r>
    </w:p>
    <w:p w14:paraId="50B2EBF8">
      <w:pPr>
        <w:widowControl/>
        <w:adjustRightInd w:val="0"/>
        <w:snapToGrid w:val="0"/>
        <w:ind w:firstLine="640"/>
        <w:rPr>
          <w:rFonts w:cs="Times New Roman"/>
          <w:lang w:bidi="ar"/>
        </w:rPr>
      </w:pPr>
      <w:r>
        <w:rPr>
          <w:rFonts w:cs="Times New Roman"/>
          <w:lang w:bidi="ar"/>
        </w:rPr>
        <w:t>划分原则：单元边界划分以主导功能同一性、三大设施（公共服务设施、市政设施和安全设施）合理布局、分区完整性为原则，以特殊主导功能、铁路、城镇主干路、河流绿地、社区等为依据，做到乡中心区用地范围全覆盖。单元界限以行政区、社区等行政界线作为参照，结合自然界限、铁路、主要道路，以及乡镇功能与空间结构确定。</w:t>
      </w:r>
    </w:p>
    <w:p w14:paraId="7B13676D">
      <w:pPr>
        <w:widowControl/>
        <w:adjustRightInd w:val="0"/>
        <w:snapToGrid w:val="0"/>
        <w:ind w:firstLine="640"/>
        <w:rPr>
          <w:rFonts w:cs="Times New Roman"/>
          <w:lang w:bidi="ar"/>
        </w:rPr>
      </w:pPr>
      <w:r>
        <w:rPr>
          <w:rFonts w:cs="Times New Roman"/>
          <w:lang w:bidi="ar"/>
        </w:rPr>
        <w:t>单元编码：单元码采用行政区英文字母缩写+阿拉伯数字排序的形式，如XYCZDY-01，即向阳乡1号城镇单元。</w:t>
      </w:r>
    </w:p>
    <w:p w14:paraId="3273B4BD">
      <w:pPr>
        <w:widowControl/>
        <w:adjustRightInd w:val="0"/>
        <w:snapToGrid w:val="0"/>
        <w:ind w:firstLine="640"/>
        <w:rPr>
          <w:rFonts w:cs="Times New Roman"/>
          <w:lang w:bidi="ar"/>
        </w:rPr>
      </w:pPr>
      <w:r>
        <w:rPr>
          <w:rFonts w:cs="Times New Roman"/>
          <w:lang w:bidi="ar"/>
        </w:rPr>
        <w:t>单元划分：向阳乡中心区共划分为1个城镇单元，单元规模不受硬性限制，为一般控制单元。</w:t>
      </w:r>
    </w:p>
    <w:p w14:paraId="1BE97F1E">
      <w:pPr>
        <w:pStyle w:val="4"/>
        <w:numPr>
          <w:ilvl w:val="0"/>
          <w:numId w:val="1"/>
        </w:numPr>
        <w:ind w:left="860" w:firstLine="361" w:firstLineChars="113"/>
      </w:pPr>
      <w:r>
        <w:t>乡村单元划分</w:t>
      </w:r>
    </w:p>
    <w:p w14:paraId="67BE6E2C">
      <w:pPr>
        <w:ind w:firstLine="640"/>
        <w:rPr>
          <w:rFonts w:cs="Times New Roman"/>
        </w:rPr>
      </w:pPr>
      <w:r>
        <w:rPr>
          <w:rFonts w:cs="Times New Roman"/>
        </w:rPr>
        <w:t>划分原则：强化战略布局指引，突出指标管控。通过耕地保有量、建设用地规模等约束性指标，强化对资源总量、结构效率、空间管控底线的控制。</w:t>
      </w:r>
    </w:p>
    <w:p w14:paraId="0F958ABE">
      <w:pPr>
        <w:ind w:firstLine="640"/>
        <w:rPr>
          <w:rFonts w:cs="Times New Roman"/>
        </w:rPr>
      </w:pPr>
      <w:r>
        <w:rPr>
          <w:rFonts w:cs="Times New Roman"/>
        </w:rPr>
        <w:t>单元编码：采用行政区英文字母缩写+阿拉伯数字排序的形式，如XYXCDY-01，即</w:t>
      </w:r>
      <w:r>
        <w:rPr>
          <w:rFonts w:cs="Times New Roman"/>
          <w:lang w:bidi="ar"/>
        </w:rPr>
        <w:t>向阳乡</w:t>
      </w:r>
      <w:r>
        <w:rPr>
          <w:rFonts w:cs="Times New Roman"/>
        </w:rPr>
        <w:t>1号乡村单元。</w:t>
      </w:r>
    </w:p>
    <w:p w14:paraId="76F85F0E">
      <w:pPr>
        <w:widowControl/>
        <w:adjustRightInd w:val="0"/>
        <w:snapToGrid w:val="0"/>
        <w:ind w:firstLine="640"/>
        <w:rPr>
          <w:rFonts w:cs="Times New Roman"/>
          <w:lang w:bidi="ar"/>
        </w:rPr>
      </w:pPr>
      <w:r>
        <w:rPr>
          <w:rFonts w:cs="Times New Roman"/>
        </w:rPr>
        <w:t>单元划分：</w:t>
      </w:r>
      <w:r>
        <w:rPr>
          <w:rFonts w:cs="Times New Roman"/>
          <w:lang w:bidi="ar"/>
        </w:rPr>
        <w:t>向阳乡</w:t>
      </w:r>
      <w:r>
        <w:rPr>
          <w:rFonts w:cs="Times New Roman"/>
        </w:rPr>
        <w:t>镇域共划分为6个乡村单元</w:t>
      </w:r>
      <w:r>
        <w:rPr>
          <w:rFonts w:cs="Times New Roman"/>
          <w:lang w:bidi="ar"/>
        </w:rPr>
        <w:t>。</w:t>
      </w:r>
    </w:p>
    <w:p w14:paraId="31639998">
      <w:pPr>
        <w:pStyle w:val="4"/>
        <w:numPr>
          <w:ilvl w:val="0"/>
          <w:numId w:val="1"/>
        </w:numPr>
        <w:ind w:left="860" w:firstLine="361" w:firstLineChars="113"/>
        <w:rPr>
          <w:lang w:bidi="ar"/>
        </w:rPr>
      </w:pPr>
      <w:r>
        <w:t>特殊单元划分</w:t>
      </w:r>
    </w:p>
    <w:p w14:paraId="55081949">
      <w:pPr>
        <w:widowControl/>
        <w:adjustRightInd w:val="0"/>
        <w:snapToGrid w:val="0"/>
        <w:ind w:firstLine="640"/>
        <w:rPr>
          <w:rFonts w:cs="Times New Roman"/>
        </w:rPr>
      </w:pPr>
      <w:r>
        <w:rPr>
          <w:rFonts w:cs="Times New Roman"/>
          <w:lang w:bidi="ar"/>
        </w:rPr>
        <w:t>向阳乡域内涉及特殊单元2处，为风景名胜区及自然保护地特殊单元。衔接相关专项规划，明确对特殊管理对象的管控要求。</w:t>
      </w:r>
    </w:p>
    <w:p w14:paraId="32BEE0C9">
      <w:pPr>
        <w:pStyle w:val="3"/>
        <w:rPr>
          <w:rFonts w:ascii="Times New Roman" w:hAnsi="Times New Roman" w:cs="Times New Roman"/>
        </w:rPr>
      </w:pPr>
      <w:bookmarkStart w:id="139" w:name="_Toc18130"/>
      <w:bookmarkStart w:id="140" w:name="_Toc185844318"/>
      <w:r>
        <w:rPr>
          <w:rFonts w:ascii="Times New Roman" w:hAnsi="Times New Roman" w:cs="Times New Roman"/>
        </w:rPr>
        <w:t>第三节 近期建设</w:t>
      </w:r>
      <w:bookmarkEnd w:id="139"/>
      <w:bookmarkEnd w:id="140"/>
    </w:p>
    <w:p w14:paraId="5FC23BA3">
      <w:pPr>
        <w:pStyle w:val="4"/>
        <w:numPr>
          <w:ilvl w:val="0"/>
          <w:numId w:val="35"/>
        </w:numPr>
        <w:ind w:left="420" w:firstLine="361" w:firstLineChars="113"/>
      </w:pPr>
      <w:r>
        <w:t>近期重点行动计划</w:t>
      </w:r>
    </w:p>
    <w:p w14:paraId="3976B408">
      <w:pPr>
        <w:adjustRightInd w:val="0"/>
        <w:snapToGrid w:val="0"/>
        <w:ind w:firstLine="640"/>
        <w:rPr>
          <w:rFonts w:cs="Times New Roman"/>
          <w:color w:val="000000"/>
          <w:szCs w:val="32"/>
          <w:lang w:bidi="ar"/>
        </w:rPr>
      </w:pPr>
      <w:r>
        <w:rPr>
          <w:rFonts w:cs="Times New Roman"/>
          <w:color w:val="000000"/>
          <w:szCs w:val="32"/>
          <w:lang w:bidi="ar"/>
        </w:rPr>
        <w:t>以国土空间规划为引领，坚持“生态优先、绿色发展、功能完善、特色鲜明”的原则，推动乡中心区与和平村乡村建设高质量发展。通过城镇更新与建设、优化空间布局、完善基础设施、提升公共服务、强化产业支撑等措施，打造宜居宜业宜游的生态旅游小城镇。</w:t>
      </w:r>
    </w:p>
    <w:p w14:paraId="19E56C41">
      <w:pPr>
        <w:adjustRightInd w:val="0"/>
        <w:snapToGrid w:val="0"/>
        <w:ind w:firstLine="640"/>
        <w:rPr>
          <w:rFonts w:cs="Times New Roman"/>
          <w:color w:val="000000"/>
          <w:szCs w:val="32"/>
          <w:lang w:bidi="ar"/>
        </w:rPr>
      </w:pPr>
      <w:r>
        <w:rPr>
          <w:rFonts w:cs="Times New Roman"/>
          <w:color w:val="000000"/>
          <w:szCs w:val="32"/>
          <w:lang w:bidi="ar"/>
        </w:rPr>
        <w:t>——城镇更新与建设</w:t>
      </w:r>
    </w:p>
    <w:p w14:paraId="1176A8D2">
      <w:pPr>
        <w:adjustRightInd w:val="0"/>
        <w:snapToGrid w:val="0"/>
        <w:ind w:firstLine="640"/>
        <w:rPr>
          <w:rFonts w:cs="Times New Roman"/>
          <w:color w:val="000000"/>
          <w:szCs w:val="32"/>
          <w:lang w:bidi="ar"/>
        </w:rPr>
      </w:pPr>
      <w:r>
        <w:rPr>
          <w:rFonts w:cs="Times New Roman"/>
          <w:color w:val="000000"/>
          <w:szCs w:val="32"/>
          <w:lang w:bidi="ar"/>
        </w:rPr>
        <w:t>对老旧住宅区和商业街区进行风貌整治，统一建筑风格，提升街区品质。升级旅游服务设施，提升旅游服务水平。增加公共绿地面积，建设更多绿地景观园，提升乡中心区绿化覆盖率。对沿街建筑进行立面改造，统一风格，美化乡中心区环境。引入智慧城市管理系统，实现旅游信息智能化管理，包括智慧导览、智慧停车、智慧安防等功能。</w:t>
      </w:r>
    </w:p>
    <w:p w14:paraId="10374467">
      <w:pPr>
        <w:adjustRightInd w:val="0"/>
        <w:snapToGrid w:val="0"/>
        <w:ind w:firstLine="640"/>
        <w:rPr>
          <w:rFonts w:cs="Times New Roman"/>
          <w:color w:val="000000"/>
          <w:szCs w:val="32"/>
          <w:lang w:bidi="ar"/>
        </w:rPr>
      </w:pPr>
      <w:r>
        <w:rPr>
          <w:rFonts w:cs="Times New Roman"/>
          <w:color w:val="000000"/>
          <w:szCs w:val="32"/>
          <w:lang w:bidi="ar"/>
        </w:rPr>
        <w:t>——基础设施改造</w:t>
      </w:r>
    </w:p>
    <w:p w14:paraId="3347DB2A">
      <w:pPr>
        <w:adjustRightInd w:val="0"/>
        <w:snapToGrid w:val="0"/>
        <w:ind w:firstLine="640"/>
        <w:rPr>
          <w:rFonts w:cs="Times New Roman"/>
          <w:color w:val="000000"/>
          <w:szCs w:val="32"/>
          <w:lang w:bidi="ar"/>
        </w:rPr>
      </w:pPr>
      <w:r>
        <w:rPr>
          <w:rFonts w:cs="Times New Roman"/>
          <w:color w:val="000000"/>
          <w:szCs w:val="32"/>
          <w:lang w:bidi="ar"/>
        </w:rPr>
        <w:t>对乡中心区内主要道路进行拓宽和硬化，提升道路等级，确保交通顺畅。加强公共交通设施建设，提高居民出行便利性。对乡中心区内的给排水管网进行全面检修和升级，解决排水不畅、水质不佳等问题。特别是要对洗浴排污、冷热水管网进行重点改造，提高水质综合合格率。加强水利设施建设和管理维护工作力度，提高防洪排涝能力和水资源利用效率。加强饮用水源地保护和供水设施建设，确保居民饮水安全。推进信息化建设，提升政府服务效率和居民生活质量。加强互联网、大数据、云计算等新技术在政务、民生等领域的应用。</w:t>
      </w:r>
    </w:p>
    <w:p w14:paraId="66AFB97D">
      <w:pPr>
        <w:adjustRightInd w:val="0"/>
        <w:snapToGrid w:val="0"/>
        <w:ind w:firstLine="640"/>
        <w:rPr>
          <w:rFonts w:cs="Times New Roman"/>
          <w:color w:val="000000"/>
          <w:szCs w:val="32"/>
          <w:lang w:bidi="ar"/>
        </w:rPr>
      </w:pPr>
      <w:r>
        <w:rPr>
          <w:rFonts w:cs="Times New Roman"/>
          <w:color w:val="000000"/>
          <w:szCs w:val="32"/>
          <w:lang w:bidi="ar"/>
        </w:rPr>
        <w:t>——公共服务提升</w:t>
      </w:r>
    </w:p>
    <w:p w14:paraId="7E6BEB70">
      <w:pPr>
        <w:adjustRightInd w:val="0"/>
        <w:snapToGrid w:val="0"/>
        <w:ind w:firstLine="640"/>
        <w:rPr>
          <w:rFonts w:cs="Times New Roman"/>
          <w:color w:val="000000"/>
          <w:szCs w:val="32"/>
          <w:lang w:bidi="ar"/>
        </w:rPr>
      </w:pPr>
      <w:r>
        <w:rPr>
          <w:rFonts w:cs="Times New Roman"/>
          <w:color w:val="000000"/>
          <w:szCs w:val="32"/>
          <w:lang w:bidi="ar"/>
        </w:rPr>
        <w:t>加大教育医疗投入力度，改善教育医疗设施条件和服务水平。加强师资力量建设和医疗队伍建设，提高教育教学质量和医疗服务水平。加强文化体育设施建设和管理维护工作力度，丰富居民文化生活和精神文化生活，组织开展各类文化体育活动和体育赛事活动。</w:t>
      </w:r>
    </w:p>
    <w:p w14:paraId="0D3431A2">
      <w:pPr>
        <w:adjustRightInd w:val="0"/>
        <w:snapToGrid w:val="0"/>
        <w:ind w:firstLine="640"/>
        <w:rPr>
          <w:rFonts w:cs="Times New Roman"/>
          <w:color w:val="000000"/>
          <w:szCs w:val="32"/>
          <w:lang w:bidi="ar"/>
        </w:rPr>
      </w:pPr>
      <w:r>
        <w:rPr>
          <w:rFonts w:cs="Times New Roman"/>
          <w:color w:val="000000"/>
          <w:szCs w:val="32"/>
          <w:lang w:bidi="ar"/>
        </w:rPr>
        <w:t>——防灾减灾基础设施建设</w:t>
      </w:r>
    </w:p>
    <w:p w14:paraId="2660D6C4">
      <w:pPr>
        <w:adjustRightInd w:val="0"/>
        <w:snapToGrid w:val="0"/>
        <w:ind w:firstLine="640"/>
        <w:rPr>
          <w:rFonts w:cs="Times New Roman"/>
          <w:color w:val="000000"/>
          <w:szCs w:val="32"/>
          <w:lang w:bidi="ar"/>
        </w:rPr>
      </w:pPr>
      <w:r>
        <w:rPr>
          <w:rFonts w:cs="Times New Roman"/>
          <w:color w:val="000000"/>
          <w:szCs w:val="32"/>
          <w:lang w:bidi="ar"/>
        </w:rPr>
        <w:t>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旅游应急救援机制。</w:t>
      </w:r>
    </w:p>
    <w:p w14:paraId="6C1BD88B">
      <w:pPr>
        <w:adjustRightInd w:val="0"/>
        <w:snapToGrid w:val="0"/>
        <w:ind w:firstLine="640"/>
        <w:rPr>
          <w:rFonts w:cs="Times New Roman"/>
          <w:color w:val="000000"/>
          <w:szCs w:val="32"/>
          <w:lang w:bidi="ar"/>
        </w:rPr>
      </w:pPr>
      <w:r>
        <w:rPr>
          <w:rFonts w:cs="Times New Roman"/>
          <w:color w:val="000000"/>
          <w:szCs w:val="32"/>
          <w:lang w:bidi="ar"/>
        </w:rPr>
        <w:t>——国土综合整治和生态修复</w:t>
      </w:r>
    </w:p>
    <w:p w14:paraId="034F474F">
      <w:pPr>
        <w:adjustRightInd w:val="0"/>
        <w:snapToGrid w:val="0"/>
        <w:ind w:firstLine="640"/>
        <w:rPr>
          <w:rFonts w:cs="Times New Roman"/>
          <w:color w:val="000000"/>
          <w:szCs w:val="32"/>
          <w:lang w:bidi="ar"/>
        </w:rPr>
      </w:pPr>
      <w:r>
        <w:rPr>
          <w:rFonts w:cs="Times New Roman"/>
          <w:color w:val="000000"/>
          <w:szCs w:val="32"/>
          <w:lang w:bidi="ar"/>
        </w:rPr>
        <w:t>结合发展现状，近期主要安排高标准农田建设、农村生态环境修复、森林生态修复、水土流失生态修复、土壤污染生态修复、水环境和水生态修复、湿地生态修复、矿山生态修复。至2025年，向阳乡耕地质量进一步提升，农村建设用地逐步集约，生态环境质量不断优化，山水林田湖草沙得到系统治理，人与自然和谐共生。</w:t>
      </w:r>
    </w:p>
    <w:p w14:paraId="136F4A17">
      <w:pPr>
        <w:adjustRightInd w:val="0"/>
        <w:snapToGrid w:val="0"/>
        <w:ind w:firstLine="640"/>
        <w:rPr>
          <w:rFonts w:cs="Times New Roman"/>
          <w:color w:val="000000"/>
          <w:szCs w:val="32"/>
          <w:lang w:bidi="ar"/>
        </w:rPr>
      </w:pPr>
      <w:r>
        <w:rPr>
          <w:rFonts w:cs="Times New Roman"/>
          <w:color w:val="000000"/>
          <w:szCs w:val="32"/>
          <w:lang w:bidi="ar"/>
        </w:rPr>
        <w:t>——历史文化保护传承</w:t>
      </w:r>
    </w:p>
    <w:p w14:paraId="2F7A042A">
      <w:pPr>
        <w:adjustRightInd w:val="0"/>
        <w:snapToGrid w:val="0"/>
        <w:ind w:firstLine="640"/>
        <w:rPr>
          <w:rFonts w:cs="Times New Roman"/>
          <w:color w:val="000000"/>
          <w:szCs w:val="32"/>
          <w:lang w:bidi="ar"/>
        </w:rPr>
      </w:pPr>
      <w:r>
        <w:rPr>
          <w:rFonts w:cs="Times New Roman"/>
          <w:color w:val="000000"/>
          <w:szCs w:val="32"/>
          <w:lang w:bidi="ar"/>
        </w:rPr>
        <w:t>对抗战时期遗址等各类历史环境要素进行修缮、保护与传承，充分挖掘、整理、记录，使历史文化遗存得到保护和利用。在有效保护的基础上，结合旅游业发展进行合理的开发利用，挖掘其旅游观光、文化教育价值。弘扬传承民俗文化，发掘老百姓记忆中的节庆、建筑、农耕、饮食、礼仪文化等，形成本土文化特色旅游项目。</w:t>
      </w:r>
    </w:p>
    <w:p w14:paraId="76FE8563">
      <w:pPr>
        <w:pStyle w:val="4"/>
        <w:numPr>
          <w:ilvl w:val="0"/>
          <w:numId w:val="1"/>
        </w:numPr>
        <w:ind w:left="860" w:firstLine="361" w:firstLineChars="113"/>
      </w:pPr>
      <w:r>
        <w:t>近期重点项目空间保障</w:t>
      </w:r>
    </w:p>
    <w:p w14:paraId="1D5027C5">
      <w:pPr>
        <w:widowControl/>
        <w:adjustRightInd w:val="0"/>
        <w:snapToGrid w:val="0"/>
        <w:ind w:firstLine="640"/>
        <w:rPr>
          <w:rFonts w:cs="Times New Roman"/>
          <w:lang w:bidi="ar"/>
        </w:rPr>
      </w:pPr>
      <w:r>
        <w:rPr>
          <w:rFonts w:cs="Times New Roman"/>
          <w:color w:val="000000"/>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保障国家级、省级、</w:t>
      </w:r>
      <w:r>
        <w:rPr>
          <w:rFonts w:cs="Times New Roman"/>
          <w:lang w:bidi="ar"/>
        </w:rPr>
        <w:t>市县级重大工程项目落地实施。</w:t>
      </w:r>
    </w:p>
    <w:p w14:paraId="27126D56">
      <w:pPr>
        <w:widowControl/>
        <w:adjustRightInd w:val="0"/>
        <w:snapToGrid w:val="0"/>
        <w:ind w:firstLine="640"/>
        <w:rPr>
          <w:rFonts w:cs="Times New Roman"/>
          <w:lang w:bidi="ar"/>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312"/>
        <w:gridCol w:w="5912"/>
      </w:tblGrid>
      <w:tr w14:paraId="3160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Align w:val="center"/>
          </w:tcPr>
          <w:p w14:paraId="08F93BA3">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项目大类</w:t>
            </w:r>
          </w:p>
        </w:tc>
        <w:tc>
          <w:tcPr>
            <w:tcW w:w="769" w:type="pct"/>
            <w:vAlign w:val="center"/>
          </w:tcPr>
          <w:p w14:paraId="5C7182F4">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项目中类</w:t>
            </w:r>
          </w:p>
        </w:tc>
        <w:tc>
          <w:tcPr>
            <w:tcW w:w="3466" w:type="pct"/>
            <w:vAlign w:val="center"/>
          </w:tcPr>
          <w:p w14:paraId="09B9A0F6">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项目名称</w:t>
            </w:r>
          </w:p>
        </w:tc>
      </w:tr>
      <w:tr w14:paraId="6ED7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restart"/>
            <w:vAlign w:val="center"/>
          </w:tcPr>
          <w:p w14:paraId="66DD0F96">
            <w:pPr>
              <w:spacing w:line="240" w:lineRule="auto"/>
              <w:ind w:firstLine="199" w:firstLineChars="95"/>
              <w:rPr>
                <w:rFonts w:cs="Times New Roman"/>
                <w:kern w:val="0"/>
                <w:sz w:val="21"/>
                <w:szCs w:val="21"/>
              </w:rPr>
            </w:pPr>
            <w:r>
              <w:rPr>
                <w:rFonts w:cs="Times New Roman"/>
                <w:kern w:val="0"/>
                <w:sz w:val="21"/>
                <w:szCs w:val="21"/>
              </w:rPr>
              <w:t>交通</w:t>
            </w:r>
          </w:p>
        </w:tc>
        <w:tc>
          <w:tcPr>
            <w:tcW w:w="769" w:type="pct"/>
            <w:vAlign w:val="center"/>
          </w:tcPr>
          <w:p w14:paraId="49ABD079">
            <w:pPr>
              <w:spacing w:line="240" w:lineRule="auto"/>
              <w:ind w:firstLine="0" w:firstLineChars="0"/>
              <w:jc w:val="center"/>
              <w:rPr>
                <w:rFonts w:cs="Times New Roman"/>
                <w:kern w:val="0"/>
                <w:sz w:val="21"/>
                <w:szCs w:val="21"/>
              </w:rPr>
            </w:pPr>
            <w:r>
              <w:rPr>
                <w:rFonts w:hint="eastAsia" w:cs="Times New Roman"/>
                <w:kern w:val="0"/>
                <w:sz w:val="21"/>
                <w:szCs w:val="21"/>
              </w:rPr>
              <w:t>铁路</w:t>
            </w:r>
          </w:p>
        </w:tc>
        <w:tc>
          <w:tcPr>
            <w:tcW w:w="3466" w:type="pct"/>
            <w:vAlign w:val="center"/>
          </w:tcPr>
          <w:p w14:paraId="5F6989C5">
            <w:pPr>
              <w:spacing w:line="240" w:lineRule="auto"/>
              <w:ind w:firstLine="0" w:firstLineChars="0"/>
              <w:rPr>
                <w:rFonts w:cs="Times New Roman"/>
                <w:kern w:val="0"/>
                <w:sz w:val="21"/>
                <w:szCs w:val="21"/>
              </w:rPr>
            </w:pPr>
            <w:r>
              <w:rPr>
                <w:rFonts w:hint="eastAsia" w:cs="Times New Roman"/>
                <w:kern w:val="0"/>
                <w:sz w:val="21"/>
                <w:szCs w:val="21"/>
              </w:rPr>
              <w:t>通化至丹东高速铁路客运专线</w:t>
            </w:r>
          </w:p>
        </w:tc>
      </w:tr>
      <w:tr w14:paraId="3F27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53AFC0FF">
            <w:pPr>
              <w:spacing w:line="240" w:lineRule="auto"/>
              <w:ind w:firstLine="0" w:firstLineChars="0"/>
              <w:jc w:val="center"/>
              <w:rPr>
                <w:rFonts w:cs="Times New Roman"/>
                <w:kern w:val="0"/>
                <w:sz w:val="21"/>
                <w:szCs w:val="21"/>
              </w:rPr>
            </w:pPr>
          </w:p>
        </w:tc>
        <w:tc>
          <w:tcPr>
            <w:tcW w:w="769" w:type="pct"/>
            <w:vAlign w:val="center"/>
          </w:tcPr>
          <w:p w14:paraId="188BE143">
            <w:pPr>
              <w:spacing w:line="240" w:lineRule="auto"/>
              <w:ind w:firstLine="0" w:firstLineChars="0"/>
              <w:jc w:val="center"/>
              <w:rPr>
                <w:rFonts w:cs="Times New Roman"/>
                <w:kern w:val="0"/>
                <w:sz w:val="21"/>
                <w:szCs w:val="21"/>
              </w:rPr>
            </w:pPr>
            <w:r>
              <w:rPr>
                <w:rFonts w:cs="Times New Roman"/>
                <w:kern w:val="0"/>
                <w:sz w:val="21"/>
                <w:szCs w:val="21"/>
              </w:rPr>
              <w:t>公路</w:t>
            </w:r>
          </w:p>
        </w:tc>
        <w:tc>
          <w:tcPr>
            <w:tcW w:w="3466" w:type="pct"/>
            <w:vAlign w:val="center"/>
          </w:tcPr>
          <w:p w14:paraId="494D8D06">
            <w:pPr>
              <w:spacing w:line="240" w:lineRule="auto"/>
              <w:ind w:firstLine="0" w:firstLineChars="0"/>
              <w:rPr>
                <w:rFonts w:cs="Times New Roman"/>
                <w:kern w:val="0"/>
                <w:sz w:val="21"/>
                <w:szCs w:val="21"/>
              </w:rPr>
            </w:pPr>
            <w:r>
              <w:rPr>
                <w:rFonts w:cs="Times New Roman"/>
                <w:kern w:val="0"/>
                <w:sz w:val="21"/>
                <w:szCs w:val="21"/>
              </w:rPr>
              <w:t>向阳双合至沙尖子闹枝沟连接线工程</w:t>
            </w:r>
            <w:r>
              <w:rPr>
                <w:rFonts w:hint="eastAsia" w:cs="Times New Roman"/>
                <w:kern w:val="0"/>
                <w:sz w:val="21"/>
                <w:szCs w:val="21"/>
              </w:rPr>
              <w:t>、如意岛外环路</w:t>
            </w:r>
          </w:p>
        </w:tc>
      </w:tr>
      <w:tr w14:paraId="646A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7B1BCB66">
            <w:pPr>
              <w:spacing w:line="240" w:lineRule="auto"/>
              <w:ind w:firstLine="0" w:firstLineChars="0"/>
              <w:jc w:val="center"/>
              <w:rPr>
                <w:rFonts w:cs="Times New Roman"/>
                <w:kern w:val="0"/>
                <w:sz w:val="21"/>
                <w:szCs w:val="21"/>
              </w:rPr>
            </w:pPr>
          </w:p>
        </w:tc>
        <w:tc>
          <w:tcPr>
            <w:tcW w:w="769" w:type="pct"/>
            <w:vAlign w:val="center"/>
          </w:tcPr>
          <w:p w14:paraId="74570AF4">
            <w:pPr>
              <w:spacing w:line="240" w:lineRule="auto"/>
              <w:ind w:firstLine="0" w:firstLineChars="0"/>
              <w:jc w:val="center"/>
              <w:rPr>
                <w:rFonts w:cs="Times New Roman"/>
                <w:kern w:val="0"/>
                <w:sz w:val="21"/>
                <w:szCs w:val="21"/>
              </w:rPr>
            </w:pPr>
          </w:p>
        </w:tc>
        <w:tc>
          <w:tcPr>
            <w:tcW w:w="3466" w:type="pct"/>
            <w:vAlign w:val="center"/>
          </w:tcPr>
          <w:p w14:paraId="4A4C1911">
            <w:pPr>
              <w:spacing w:line="240" w:lineRule="auto"/>
              <w:ind w:firstLine="0" w:firstLineChars="0"/>
              <w:rPr>
                <w:rFonts w:cs="Times New Roman"/>
                <w:kern w:val="0"/>
                <w:sz w:val="21"/>
                <w:szCs w:val="21"/>
              </w:rPr>
            </w:pPr>
            <w:r>
              <w:rPr>
                <w:rFonts w:hint="eastAsia" w:cs="Times New Roman"/>
                <w:kern w:val="0"/>
                <w:sz w:val="21"/>
                <w:szCs w:val="21"/>
              </w:rPr>
              <w:t>回龙湖码头二期建设工程</w:t>
            </w:r>
          </w:p>
        </w:tc>
      </w:tr>
      <w:tr w14:paraId="3F44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Align w:val="center"/>
          </w:tcPr>
          <w:p w14:paraId="65BE85F3">
            <w:pPr>
              <w:spacing w:line="240" w:lineRule="auto"/>
              <w:ind w:firstLine="0" w:firstLineChars="0"/>
              <w:jc w:val="center"/>
              <w:rPr>
                <w:rFonts w:cs="Times New Roman"/>
                <w:kern w:val="0"/>
                <w:sz w:val="21"/>
                <w:szCs w:val="21"/>
              </w:rPr>
            </w:pPr>
            <w:r>
              <w:rPr>
                <w:rFonts w:cs="Times New Roman"/>
                <w:kern w:val="0"/>
                <w:sz w:val="21"/>
                <w:szCs w:val="21"/>
              </w:rPr>
              <w:t>水利</w:t>
            </w:r>
          </w:p>
        </w:tc>
        <w:tc>
          <w:tcPr>
            <w:tcW w:w="769" w:type="pct"/>
            <w:vAlign w:val="center"/>
          </w:tcPr>
          <w:p w14:paraId="59259DF5">
            <w:pPr>
              <w:spacing w:line="240" w:lineRule="auto"/>
              <w:ind w:firstLine="0" w:firstLineChars="0"/>
              <w:jc w:val="center"/>
              <w:rPr>
                <w:rFonts w:cs="Times New Roman"/>
                <w:kern w:val="0"/>
                <w:sz w:val="21"/>
                <w:szCs w:val="21"/>
              </w:rPr>
            </w:pPr>
            <w:r>
              <w:rPr>
                <w:rFonts w:cs="Times New Roman"/>
                <w:kern w:val="0"/>
                <w:sz w:val="21"/>
                <w:szCs w:val="21"/>
              </w:rPr>
              <w:t>河道治理</w:t>
            </w:r>
          </w:p>
        </w:tc>
        <w:tc>
          <w:tcPr>
            <w:tcW w:w="3466" w:type="pct"/>
            <w:vAlign w:val="center"/>
          </w:tcPr>
          <w:p w14:paraId="1329A250">
            <w:pPr>
              <w:spacing w:line="240" w:lineRule="auto"/>
              <w:ind w:firstLine="0" w:firstLineChars="0"/>
              <w:rPr>
                <w:rFonts w:cs="Times New Roman"/>
                <w:kern w:val="0"/>
                <w:sz w:val="21"/>
                <w:szCs w:val="21"/>
              </w:rPr>
            </w:pPr>
            <w:r>
              <w:rPr>
                <w:rFonts w:cs="Times New Roman"/>
                <w:kern w:val="0"/>
                <w:sz w:val="21"/>
                <w:szCs w:val="21"/>
              </w:rPr>
              <w:t>向阳河向阳段治理工程</w:t>
            </w:r>
          </w:p>
        </w:tc>
      </w:tr>
      <w:tr w14:paraId="05CD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Align w:val="center"/>
          </w:tcPr>
          <w:p w14:paraId="454F8D1D">
            <w:pPr>
              <w:spacing w:line="240" w:lineRule="auto"/>
              <w:ind w:firstLine="0" w:firstLineChars="0"/>
              <w:jc w:val="center"/>
              <w:rPr>
                <w:rFonts w:cs="Times New Roman"/>
                <w:kern w:val="0"/>
                <w:sz w:val="21"/>
                <w:szCs w:val="21"/>
              </w:rPr>
            </w:pPr>
            <w:r>
              <w:rPr>
                <w:rFonts w:cs="Times New Roman"/>
                <w:kern w:val="0"/>
                <w:sz w:val="21"/>
                <w:szCs w:val="21"/>
              </w:rPr>
              <w:t>能源</w:t>
            </w:r>
          </w:p>
        </w:tc>
        <w:tc>
          <w:tcPr>
            <w:tcW w:w="769" w:type="pct"/>
            <w:vAlign w:val="center"/>
          </w:tcPr>
          <w:p w14:paraId="17E563BC">
            <w:pPr>
              <w:spacing w:line="240" w:lineRule="auto"/>
              <w:ind w:firstLine="0" w:firstLineChars="0"/>
              <w:jc w:val="center"/>
              <w:rPr>
                <w:rFonts w:cs="Times New Roman"/>
                <w:kern w:val="0"/>
                <w:sz w:val="21"/>
                <w:szCs w:val="21"/>
              </w:rPr>
            </w:pPr>
            <w:r>
              <w:rPr>
                <w:rFonts w:cs="Times New Roman"/>
                <w:kern w:val="0"/>
                <w:sz w:val="21"/>
                <w:szCs w:val="21"/>
              </w:rPr>
              <w:t>电力</w:t>
            </w:r>
          </w:p>
        </w:tc>
        <w:tc>
          <w:tcPr>
            <w:tcW w:w="3466" w:type="pct"/>
            <w:vAlign w:val="center"/>
          </w:tcPr>
          <w:p w14:paraId="562FE0BD">
            <w:pPr>
              <w:spacing w:line="240" w:lineRule="auto"/>
              <w:ind w:firstLine="0" w:firstLineChars="0"/>
              <w:rPr>
                <w:rFonts w:cs="Times New Roman"/>
                <w:kern w:val="0"/>
                <w:sz w:val="21"/>
                <w:szCs w:val="21"/>
              </w:rPr>
            </w:pPr>
            <w:r>
              <w:rPr>
                <w:rFonts w:cs="Times New Roman"/>
                <w:kern w:val="0"/>
                <w:sz w:val="21"/>
                <w:szCs w:val="21"/>
              </w:rPr>
              <w:t>村庄光伏电站项目、向阳风力发电</w:t>
            </w:r>
            <w:r>
              <w:rPr>
                <w:rFonts w:hint="eastAsia" w:cs="Times New Roman"/>
                <w:kern w:val="0"/>
                <w:sz w:val="21"/>
                <w:szCs w:val="21"/>
              </w:rPr>
              <w:t>、本溪66kV向阳变电站改造工程</w:t>
            </w:r>
          </w:p>
        </w:tc>
      </w:tr>
      <w:tr w14:paraId="2713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Align w:val="center"/>
          </w:tcPr>
          <w:p w14:paraId="39435FCB">
            <w:pPr>
              <w:spacing w:line="240" w:lineRule="auto"/>
              <w:ind w:firstLine="0" w:firstLineChars="0"/>
              <w:jc w:val="center"/>
              <w:rPr>
                <w:rFonts w:cs="Times New Roman"/>
                <w:kern w:val="0"/>
                <w:sz w:val="21"/>
                <w:szCs w:val="21"/>
              </w:rPr>
            </w:pPr>
            <w:r>
              <w:rPr>
                <w:rFonts w:cs="Times New Roman"/>
                <w:kern w:val="0"/>
                <w:sz w:val="21"/>
                <w:szCs w:val="21"/>
              </w:rPr>
              <w:t>矿山</w:t>
            </w:r>
          </w:p>
        </w:tc>
        <w:tc>
          <w:tcPr>
            <w:tcW w:w="769" w:type="pct"/>
            <w:vAlign w:val="center"/>
          </w:tcPr>
          <w:p w14:paraId="68BEC86F">
            <w:pPr>
              <w:spacing w:line="240" w:lineRule="auto"/>
              <w:ind w:firstLine="0" w:firstLineChars="0"/>
              <w:jc w:val="center"/>
              <w:rPr>
                <w:rFonts w:cs="Times New Roman"/>
                <w:kern w:val="0"/>
                <w:sz w:val="21"/>
                <w:szCs w:val="21"/>
              </w:rPr>
            </w:pPr>
            <w:r>
              <w:rPr>
                <w:rFonts w:cs="Times New Roman"/>
                <w:kern w:val="0"/>
                <w:sz w:val="21"/>
                <w:szCs w:val="21"/>
              </w:rPr>
              <w:t>采矿</w:t>
            </w:r>
          </w:p>
        </w:tc>
        <w:tc>
          <w:tcPr>
            <w:tcW w:w="3466" w:type="pct"/>
            <w:vAlign w:val="center"/>
          </w:tcPr>
          <w:p w14:paraId="7A1C346B">
            <w:pPr>
              <w:spacing w:line="240" w:lineRule="auto"/>
              <w:ind w:firstLine="0" w:firstLineChars="0"/>
              <w:rPr>
                <w:rFonts w:cs="Times New Roman"/>
                <w:kern w:val="0"/>
                <w:sz w:val="21"/>
                <w:szCs w:val="21"/>
              </w:rPr>
            </w:pPr>
            <w:r>
              <w:rPr>
                <w:rFonts w:cs="Times New Roman"/>
                <w:kern w:val="0"/>
                <w:sz w:val="21"/>
                <w:szCs w:val="21"/>
              </w:rPr>
              <w:t>正大方解石矿业</w:t>
            </w:r>
            <w:r>
              <w:rPr>
                <w:rFonts w:hint="eastAsia" w:cs="Times New Roman"/>
                <w:kern w:val="0"/>
                <w:sz w:val="21"/>
                <w:szCs w:val="21"/>
              </w:rPr>
              <w:t>开发</w:t>
            </w:r>
            <w:r>
              <w:rPr>
                <w:rFonts w:cs="Times New Roman"/>
                <w:kern w:val="0"/>
                <w:sz w:val="21"/>
                <w:szCs w:val="21"/>
              </w:rPr>
              <w:t>、同辉矿业矿产加工项目</w:t>
            </w:r>
          </w:p>
        </w:tc>
      </w:tr>
      <w:tr w14:paraId="347F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restart"/>
            <w:vAlign w:val="center"/>
          </w:tcPr>
          <w:p w14:paraId="43A5B633">
            <w:pPr>
              <w:spacing w:line="240" w:lineRule="auto"/>
              <w:ind w:firstLine="0" w:firstLineChars="0"/>
              <w:jc w:val="center"/>
              <w:rPr>
                <w:rFonts w:cs="Times New Roman"/>
                <w:kern w:val="0"/>
                <w:sz w:val="21"/>
                <w:szCs w:val="21"/>
              </w:rPr>
            </w:pPr>
            <w:r>
              <w:rPr>
                <w:rFonts w:cs="Times New Roman"/>
                <w:kern w:val="0"/>
                <w:sz w:val="21"/>
                <w:szCs w:val="21"/>
              </w:rPr>
              <w:t>基础设施</w:t>
            </w:r>
          </w:p>
        </w:tc>
        <w:tc>
          <w:tcPr>
            <w:tcW w:w="769" w:type="pct"/>
            <w:vAlign w:val="center"/>
          </w:tcPr>
          <w:p w14:paraId="474B9C4B">
            <w:pPr>
              <w:spacing w:line="240" w:lineRule="auto"/>
              <w:ind w:firstLine="0" w:firstLineChars="0"/>
              <w:jc w:val="center"/>
              <w:rPr>
                <w:rFonts w:cs="Times New Roman"/>
                <w:kern w:val="0"/>
                <w:sz w:val="21"/>
                <w:szCs w:val="21"/>
              </w:rPr>
            </w:pPr>
            <w:r>
              <w:rPr>
                <w:rFonts w:cs="Times New Roman"/>
                <w:kern w:val="0"/>
                <w:sz w:val="21"/>
                <w:szCs w:val="21"/>
              </w:rPr>
              <w:t>给水工程</w:t>
            </w:r>
          </w:p>
        </w:tc>
        <w:tc>
          <w:tcPr>
            <w:tcW w:w="3466" w:type="pct"/>
            <w:vAlign w:val="center"/>
          </w:tcPr>
          <w:p w14:paraId="3AB7B3F3">
            <w:pPr>
              <w:spacing w:line="240" w:lineRule="auto"/>
              <w:ind w:firstLine="0" w:firstLineChars="0"/>
              <w:rPr>
                <w:rFonts w:cs="Times New Roman"/>
                <w:kern w:val="0"/>
                <w:sz w:val="21"/>
                <w:szCs w:val="21"/>
              </w:rPr>
            </w:pPr>
            <w:r>
              <w:rPr>
                <w:rFonts w:cs="Times New Roman"/>
                <w:kern w:val="0"/>
                <w:sz w:val="21"/>
                <w:szCs w:val="21"/>
              </w:rPr>
              <w:t>向阳乡自来水工程、农村供水工程、农村饮用水安全巩固提升工程、新建水厂及配套管网工程</w:t>
            </w:r>
          </w:p>
        </w:tc>
      </w:tr>
      <w:tr w14:paraId="3B02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12FE693D">
            <w:pPr>
              <w:spacing w:line="240" w:lineRule="auto"/>
              <w:ind w:firstLine="0" w:firstLineChars="0"/>
              <w:jc w:val="center"/>
              <w:rPr>
                <w:rFonts w:cs="Times New Roman"/>
                <w:kern w:val="0"/>
                <w:sz w:val="21"/>
                <w:szCs w:val="21"/>
              </w:rPr>
            </w:pPr>
          </w:p>
        </w:tc>
        <w:tc>
          <w:tcPr>
            <w:tcW w:w="769" w:type="pct"/>
            <w:vAlign w:val="center"/>
          </w:tcPr>
          <w:p w14:paraId="4517F212">
            <w:pPr>
              <w:spacing w:line="240" w:lineRule="auto"/>
              <w:ind w:firstLine="0" w:firstLineChars="0"/>
              <w:jc w:val="center"/>
              <w:rPr>
                <w:rFonts w:cs="Times New Roman"/>
                <w:kern w:val="0"/>
                <w:sz w:val="21"/>
                <w:szCs w:val="21"/>
              </w:rPr>
            </w:pPr>
            <w:r>
              <w:rPr>
                <w:rFonts w:cs="Times New Roman"/>
                <w:kern w:val="0"/>
                <w:sz w:val="21"/>
                <w:szCs w:val="21"/>
              </w:rPr>
              <w:t>排水工程</w:t>
            </w:r>
          </w:p>
        </w:tc>
        <w:tc>
          <w:tcPr>
            <w:tcW w:w="3466" w:type="pct"/>
            <w:vAlign w:val="center"/>
          </w:tcPr>
          <w:p w14:paraId="42AE7D1F">
            <w:pPr>
              <w:spacing w:line="240" w:lineRule="auto"/>
              <w:ind w:firstLine="0" w:firstLineChars="0"/>
              <w:rPr>
                <w:rFonts w:cs="Times New Roman"/>
                <w:kern w:val="0"/>
                <w:sz w:val="21"/>
                <w:szCs w:val="21"/>
              </w:rPr>
            </w:pPr>
            <w:r>
              <w:rPr>
                <w:rFonts w:cs="Times New Roman"/>
                <w:kern w:val="0"/>
                <w:sz w:val="21"/>
                <w:szCs w:val="21"/>
              </w:rPr>
              <w:t>向阳乡污水处理厂新建建设项目</w:t>
            </w:r>
          </w:p>
        </w:tc>
      </w:tr>
      <w:tr w14:paraId="42B6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7A555631">
            <w:pPr>
              <w:spacing w:line="240" w:lineRule="auto"/>
              <w:ind w:firstLine="0" w:firstLineChars="0"/>
              <w:jc w:val="center"/>
              <w:rPr>
                <w:rFonts w:cs="Times New Roman"/>
                <w:kern w:val="0"/>
                <w:sz w:val="21"/>
                <w:szCs w:val="21"/>
              </w:rPr>
            </w:pPr>
          </w:p>
        </w:tc>
        <w:tc>
          <w:tcPr>
            <w:tcW w:w="769" w:type="pct"/>
            <w:vAlign w:val="center"/>
          </w:tcPr>
          <w:p w14:paraId="36D885BF">
            <w:pPr>
              <w:spacing w:line="240" w:lineRule="auto"/>
              <w:ind w:firstLine="0" w:firstLineChars="0"/>
              <w:jc w:val="center"/>
              <w:rPr>
                <w:rFonts w:cs="Times New Roman"/>
                <w:kern w:val="0"/>
                <w:sz w:val="21"/>
                <w:szCs w:val="21"/>
              </w:rPr>
            </w:pPr>
            <w:r>
              <w:rPr>
                <w:rFonts w:hint="eastAsia" w:cs="Times New Roman"/>
                <w:kern w:val="0"/>
                <w:sz w:val="21"/>
                <w:szCs w:val="21"/>
              </w:rPr>
              <w:t>消防工程</w:t>
            </w:r>
          </w:p>
        </w:tc>
        <w:tc>
          <w:tcPr>
            <w:tcW w:w="3466" w:type="pct"/>
            <w:vAlign w:val="center"/>
          </w:tcPr>
          <w:p w14:paraId="2B8FB240">
            <w:pPr>
              <w:spacing w:line="240" w:lineRule="auto"/>
              <w:ind w:firstLine="0" w:firstLineChars="0"/>
              <w:rPr>
                <w:rFonts w:cs="Times New Roman"/>
                <w:kern w:val="0"/>
                <w:sz w:val="21"/>
                <w:szCs w:val="21"/>
              </w:rPr>
            </w:pPr>
            <w:r>
              <w:rPr>
                <w:rFonts w:hint="eastAsia" w:cs="Times New Roman"/>
                <w:kern w:val="0"/>
                <w:sz w:val="21"/>
                <w:szCs w:val="21"/>
              </w:rPr>
              <w:t>向阳乡二级消防站建设</w:t>
            </w:r>
          </w:p>
        </w:tc>
      </w:tr>
      <w:tr w14:paraId="7795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restart"/>
            <w:vAlign w:val="center"/>
          </w:tcPr>
          <w:p w14:paraId="5D48C966">
            <w:pPr>
              <w:spacing w:line="240" w:lineRule="auto"/>
              <w:ind w:firstLine="0" w:firstLineChars="0"/>
              <w:jc w:val="center"/>
              <w:rPr>
                <w:rFonts w:cs="Times New Roman"/>
                <w:kern w:val="0"/>
                <w:sz w:val="21"/>
                <w:szCs w:val="21"/>
              </w:rPr>
            </w:pPr>
            <w:r>
              <w:rPr>
                <w:rFonts w:cs="Times New Roman"/>
                <w:kern w:val="0"/>
                <w:sz w:val="21"/>
                <w:szCs w:val="21"/>
              </w:rPr>
              <w:t>公共服务</w:t>
            </w:r>
          </w:p>
        </w:tc>
        <w:tc>
          <w:tcPr>
            <w:tcW w:w="769" w:type="pct"/>
            <w:vAlign w:val="center"/>
          </w:tcPr>
          <w:p w14:paraId="4C633DD9">
            <w:pPr>
              <w:spacing w:line="240" w:lineRule="auto"/>
              <w:ind w:firstLine="0" w:firstLineChars="0"/>
              <w:jc w:val="center"/>
              <w:rPr>
                <w:rFonts w:cs="Times New Roman"/>
                <w:kern w:val="0"/>
                <w:sz w:val="21"/>
                <w:szCs w:val="21"/>
              </w:rPr>
            </w:pPr>
            <w:r>
              <w:rPr>
                <w:rFonts w:cs="Times New Roman"/>
                <w:kern w:val="0"/>
                <w:sz w:val="21"/>
                <w:szCs w:val="21"/>
              </w:rPr>
              <w:t>活动广场</w:t>
            </w:r>
          </w:p>
        </w:tc>
        <w:tc>
          <w:tcPr>
            <w:tcW w:w="3466" w:type="pct"/>
            <w:vAlign w:val="center"/>
          </w:tcPr>
          <w:p w14:paraId="164887F9">
            <w:pPr>
              <w:spacing w:line="240" w:lineRule="auto"/>
              <w:ind w:firstLine="0" w:firstLineChars="0"/>
              <w:rPr>
                <w:rFonts w:cs="Times New Roman"/>
                <w:kern w:val="0"/>
                <w:sz w:val="21"/>
                <w:szCs w:val="21"/>
              </w:rPr>
            </w:pPr>
            <w:r>
              <w:rPr>
                <w:rFonts w:cs="Times New Roman"/>
                <w:kern w:val="0"/>
                <w:sz w:val="21"/>
                <w:szCs w:val="21"/>
              </w:rPr>
              <w:t>向阳乡镇区各村组新建广场项目</w:t>
            </w:r>
          </w:p>
        </w:tc>
      </w:tr>
      <w:tr w14:paraId="34EB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5" w:type="pct"/>
            <w:vMerge w:val="continue"/>
            <w:vAlign w:val="center"/>
          </w:tcPr>
          <w:p w14:paraId="2F5EB67C">
            <w:pPr>
              <w:spacing w:line="240" w:lineRule="auto"/>
              <w:ind w:firstLine="0" w:firstLineChars="0"/>
              <w:jc w:val="center"/>
              <w:rPr>
                <w:rFonts w:cs="Times New Roman"/>
                <w:kern w:val="0"/>
                <w:sz w:val="21"/>
                <w:szCs w:val="21"/>
              </w:rPr>
            </w:pPr>
          </w:p>
        </w:tc>
        <w:tc>
          <w:tcPr>
            <w:tcW w:w="769" w:type="pct"/>
            <w:vAlign w:val="center"/>
          </w:tcPr>
          <w:p w14:paraId="5F8B82D8">
            <w:pPr>
              <w:spacing w:line="240" w:lineRule="auto"/>
              <w:ind w:firstLine="0" w:firstLineChars="0"/>
              <w:jc w:val="center"/>
              <w:rPr>
                <w:rFonts w:cs="Times New Roman"/>
                <w:kern w:val="0"/>
                <w:sz w:val="21"/>
                <w:szCs w:val="21"/>
              </w:rPr>
            </w:pPr>
            <w:r>
              <w:rPr>
                <w:rFonts w:cs="Times New Roman"/>
                <w:kern w:val="0"/>
                <w:sz w:val="21"/>
                <w:szCs w:val="21"/>
              </w:rPr>
              <w:t>美丽乡村</w:t>
            </w:r>
          </w:p>
        </w:tc>
        <w:tc>
          <w:tcPr>
            <w:tcW w:w="3466" w:type="pct"/>
            <w:vAlign w:val="center"/>
          </w:tcPr>
          <w:p w14:paraId="06278378">
            <w:pPr>
              <w:spacing w:line="240" w:lineRule="auto"/>
              <w:ind w:firstLine="0" w:firstLineChars="0"/>
              <w:rPr>
                <w:rFonts w:cs="Times New Roman"/>
                <w:kern w:val="0"/>
                <w:sz w:val="21"/>
                <w:szCs w:val="21"/>
              </w:rPr>
            </w:pPr>
            <w:r>
              <w:rPr>
                <w:rFonts w:cs="Times New Roman"/>
                <w:kern w:val="0"/>
                <w:sz w:val="21"/>
                <w:szCs w:val="21"/>
              </w:rPr>
              <w:t>向阳乡镇美丽乡村项目</w:t>
            </w:r>
          </w:p>
        </w:tc>
      </w:tr>
      <w:tr w14:paraId="0BFE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431F58DD">
            <w:pPr>
              <w:spacing w:line="240" w:lineRule="auto"/>
              <w:ind w:firstLine="0" w:firstLineChars="0"/>
              <w:jc w:val="center"/>
              <w:rPr>
                <w:rFonts w:cs="Times New Roman"/>
                <w:kern w:val="0"/>
                <w:sz w:val="21"/>
                <w:szCs w:val="21"/>
              </w:rPr>
            </w:pPr>
          </w:p>
        </w:tc>
        <w:tc>
          <w:tcPr>
            <w:tcW w:w="769" w:type="pct"/>
            <w:vAlign w:val="center"/>
          </w:tcPr>
          <w:p w14:paraId="24A0ED94">
            <w:pPr>
              <w:spacing w:line="240" w:lineRule="auto"/>
              <w:ind w:firstLine="0" w:firstLineChars="0"/>
              <w:jc w:val="center"/>
              <w:rPr>
                <w:rFonts w:cs="Times New Roman"/>
                <w:kern w:val="0"/>
                <w:sz w:val="21"/>
                <w:szCs w:val="21"/>
              </w:rPr>
            </w:pPr>
            <w:r>
              <w:rPr>
                <w:rFonts w:cs="Times New Roman"/>
                <w:kern w:val="0"/>
                <w:sz w:val="21"/>
                <w:szCs w:val="21"/>
              </w:rPr>
              <w:t>公益性公墓</w:t>
            </w:r>
          </w:p>
        </w:tc>
        <w:tc>
          <w:tcPr>
            <w:tcW w:w="3466" w:type="pct"/>
            <w:vAlign w:val="center"/>
          </w:tcPr>
          <w:p w14:paraId="4CC711B2">
            <w:pPr>
              <w:spacing w:line="240" w:lineRule="auto"/>
              <w:ind w:firstLine="0" w:firstLineChars="0"/>
              <w:rPr>
                <w:rFonts w:cs="Times New Roman"/>
                <w:kern w:val="0"/>
                <w:sz w:val="21"/>
                <w:szCs w:val="21"/>
              </w:rPr>
            </w:pPr>
            <w:r>
              <w:rPr>
                <w:rFonts w:cs="Times New Roman"/>
                <w:kern w:val="0"/>
                <w:sz w:val="21"/>
                <w:szCs w:val="21"/>
              </w:rPr>
              <w:t>向阳乡</w:t>
            </w:r>
            <w:r>
              <w:rPr>
                <w:rFonts w:hint="eastAsia" w:cs="Times New Roman"/>
                <w:kern w:val="0"/>
                <w:sz w:val="21"/>
                <w:szCs w:val="21"/>
              </w:rPr>
              <w:t>村庄公益性</w:t>
            </w:r>
            <w:r>
              <w:rPr>
                <w:rFonts w:cs="Times New Roman"/>
                <w:kern w:val="0"/>
                <w:sz w:val="21"/>
                <w:szCs w:val="21"/>
              </w:rPr>
              <w:t>公墓</w:t>
            </w:r>
          </w:p>
        </w:tc>
      </w:tr>
      <w:tr w14:paraId="6A82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restart"/>
            <w:vAlign w:val="center"/>
          </w:tcPr>
          <w:p w14:paraId="43284555">
            <w:pPr>
              <w:spacing w:line="240" w:lineRule="auto"/>
              <w:ind w:firstLine="0" w:firstLineChars="0"/>
              <w:jc w:val="center"/>
              <w:rPr>
                <w:rFonts w:cs="Times New Roman"/>
                <w:kern w:val="0"/>
                <w:sz w:val="21"/>
                <w:szCs w:val="21"/>
              </w:rPr>
            </w:pPr>
            <w:r>
              <w:rPr>
                <w:rFonts w:cs="Times New Roman"/>
                <w:kern w:val="0"/>
                <w:sz w:val="21"/>
                <w:szCs w:val="21"/>
              </w:rPr>
              <w:t>产业</w:t>
            </w:r>
          </w:p>
        </w:tc>
        <w:tc>
          <w:tcPr>
            <w:tcW w:w="769" w:type="pct"/>
            <w:vAlign w:val="center"/>
          </w:tcPr>
          <w:p w14:paraId="7AF89E46">
            <w:pPr>
              <w:spacing w:line="240" w:lineRule="auto"/>
              <w:ind w:firstLine="0" w:firstLineChars="0"/>
              <w:jc w:val="center"/>
              <w:rPr>
                <w:rFonts w:cs="Times New Roman"/>
                <w:kern w:val="0"/>
                <w:sz w:val="21"/>
                <w:szCs w:val="21"/>
              </w:rPr>
            </w:pPr>
            <w:r>
              <w:rPr>
                <w:rFonts w:cs="Times New Roman"/>
                <w:kern w:val="0"/>
                <w:sz w:val="21"/>
                <w:szCs w:val="21"/>
              </w:rPr>
              <w:t>一产</w:t>
            </w:r>
          </w:p>
        </w:tc>
        <w:tc>
          <w:tcPr>
            <w:tcW w:w="3466" w:type="pct"/>
            <w:vAlign w:val="center"/>
          </w:tcPr>
          <w:p w14:paraId="2EDCDFD0">
            <w:pPr>
              <w:spacing w:line="240" w:lineRule="auto"/>
              <w:ind w:firstLine="0" w:firstLineChars="0"/>
              <w:rPr>
                <w:rFonts w:cs="Times New Roman"/>
                <w:kern w:val="0"/>
                <w:sz w:val="21"/>
                <w:szCs w:val="21"/>
              </w:rPr>
            </w:pPr>
            <w:r>
              <w:rPr>
                <w:rFonts w:cs="Times New Roman"/>
                <w:kern w:val="0"/>
                <w:sz w:val="21"/>
                <w:szCs w:val="21"/>
              </w:rPr>
              <w:t>向阳乡农产品仓储基地新建项目、向阳乡农产品交易与集散基地建设项目、农业采摘园建设项目</w:t>
            </w:r>
          </w:p>
        </w:tc>
      </w:tr>
      <w:tr w14:paraId="64C2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3D28C8A5">
            <w:pPr>
              <w:spacing w:line="240" w:lineRule="auto"/>
              <w:ind w:firstLine="0" w:firstLineChars="0"/>
              <w:jc w:val="center"/>
              <w:rPr>
                <w:rFonts w:cs="Times New Roman"/>
                <w:kern w:val="0"/>
                <w:sz w:val="21"/>
                <w:szCs w:val="21"/>
              </w:rPr>
            </w:pPr>
          </w:p>
        </w:tc>
        <w:tc>
          <w:tcPr>
            <w:tcW w:w="769" w:type="pct"/>
            <w:vAlign w:val="center"/>
          </w:tcPr>
          <w:p w14:paraId="60A6436C">
            <w:pPr>
              <w:spacing w:line="240" w:lineRule="auto"/>
              <w:ind w:firstLine="0" w:firstLineChars="0"/>
              <w:jc w:val="center"/>
              <w:rPr>
                <w:rFonts w:cs="Times New Roman"/>
                <w:kern w:val="0"/>
                <w:sz w:val="21"/>
                <w:szCs w:val="21"/>
              </w:rPr>
            </w:pPr>
            <w:r>
              <w:rPr>
                <w:rFonts w:cs="Times New Roman"/>
                <w:kern w:val="0"/>
                <w:sz w:val="21"/>
                <w:szCs w:val="21"/>
              </w:rPr>
              <w:t>二产</w:t>
            </w:r>
          </w:p>
        </w:tc>
        <w:tc>
          <w:tcPr>
            <w:tcW w:w="3466" w:type="pct"/>
            <w:vAlign w:val="center"/>
          </w:tcPr>
          <w:p w14:paraId="65756C23">
            <w:pPr>
              <w:spacing w:line="240" w:lineRule="auto"/>
              <w:ind w:firstLine="0" w:firstLineChars="0"/>
              <w:rPr>
                <w:rFonts w:cs="Times New Roman"/>
                <w:kern w:val="0"/>
                <w:sz w:val="21"/>
                <w:szCs w:val="21"/>
              </w:rPr>
            </w:pPr>
            <w:r>
              <w:rPr>
                <w:rFonts w:cs="Times New Roman"/>
                <w:kern w:val="0"/>
                <w:sz w:val="21"/>
                <w:szCs w:val="21"/>
              </w:rPr>
              <w:t>向阳乡特色农产品加工项目</w:t>
            </w:r>
          </w:p>
        </w:tc>
      </w:tr>
      <w:tr w14:paraId="25CD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Merge w:val="continue"/>
            <w:vAlign w:val="center"/>
          </w:tcPr>
          <w:p w14:paraId="0E609B31">
            <w:pPr>
              <w:spacing w:line="240" w:lineRule="auto"/>
              <w:ind w:firstLine="0" w:firstLineChars="0"/>
              <w:jc w:val="center"/>
              <w:rPr>
                <w:rFonts w:cs="Times New Roman"/>
                <w:kern w:val="0"/>
                <w:sz w:val="21"/>
                <w:szCs w:val="21"/>
              </w:rPr>
            </w:pPr>
          </w:p>
        </w:tc>
        <w:tc>
          <w:tcPr>
            <w:tcW w:w="769" w:type="pct"/>
            <w:vAlign w:val="center"/>
          </w:tcPr>
          <w:p w14:paraId="2B2E649E">
            <w:pPr>
              <w:spacing w:line="240" w:lineRule="auto"/>
              <w:ind w:firstLine="0" w:firstLineChars="0"/>
              <w:jc w:val="center"/>
              <w:rPr>
                <w:rFonts w:cs="Times New Roman"/>
                <w:kern w:val="0"/>
                <w:sz w:val="21"/>
                <w:szCs w:val="21"/>
              </w:rPr>
            </w:pPr>
            <w:r>
              <w:rPr>
                <w:rFonts w:cs="Times New Roman"/>
                <w:kern w:val="0"/>
                <w:sz w:val="21"/>
                <w:szCs w:val="21"/>
              </w:rPr>
              <w:t>三产</w:t>
            </w:r>
          </w:p>
        </w:tc>
        <w:tc>
          <w:tcPr>
            <w:tcW w:w="3466" w:type="pct"/>
            <w:vAlign w:val="center"/>
          </w:tcPr>
          <w:p w14:paraId="2DD6D59F">
            <w:pPr>
              <w:spacing w:line="240" w:lineRule="auto"/>
              <w:ind w:firstLine="0" w:firstLineChars="0"/>
              <w:rPr>
                <w:rFonts w:cs="Times New Roman"/>
                <w:kern w:val="0"/>
                <w:sz w:val="21"/>
                <w:szCs w:val="21"/>
              </w:rPr>
            </w:pPr>
            <w:r>
              <w:rPr>
                <w:rFonts w:cs="Times New Roman"/>
                <w:kern w:val="0"/>
                <w:sz w:val="21"/>
                <w:szCs w:val="21"/>
              </w:rPr>
              <w:t>旅游设施相关配套项目、和平村枫旅小镇建设项目</w:t>
            </w:r>
            <w:r>
              <w:rPr>
                <w:rFonts w:hint="eastAsia" w:cs="Times New Roman"/>
                <w:kern w:val="0"/>
                <w:sz w:val="21"/>
                <w:szCs w:val="21"/>
              </w:rPr>
              <w:t>、滑雪场建设项目、如意岛生态园建设项目、辽宁奉天民宿建设项目、砬门旅游接待服务站、向阳乡康养养老服务中心、门东岔民宿、枫韵溪镜旅游开发、桓仁龙祥庄园二期、向阳乡龙泽山生态园、鼻子沟生态园开发项目、如意岛温泉项目、向阳乡狩猎场建设项目、回龙湖苍鹭栖息地观赏区、奉天民宿建设项目、枫林谷景区基础设施建设项目、枫林谷景区旅游服务设施建设项目如意岛高端民宿建设项目、虎谷峡景区基础设施提升建设项目</w:t>
            </w:r>
          </w:p>
        </w:tc>
      </w:tr>
      <w:tr w14:paraId="60C6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vAlign w:val="center"/>
          </w:tcPr>
          <w:p w14:paraId="6844B2F7">
            <w:pPr>
              <w:spacing w:line="240" w:lineRule="auto"/>
              <w:ind w:firstLine="0" w:firstLineChars="0"/>
              <w:jc w:val="center"/>
              <w:rPr>
                <w:rFonts w:cs="Times New Roman"/>
                <w:kern w:val="0"/>
                <w:sz w:val="21"/>
                <w:szCs w:val="21"/>
              </w:rPr>
            </w:pPr>
            <w:r>
              <w:rPr>
                <w:rFonts w:cs="Times New Roman"/>
                <w:kern w:val="0"/>
                <w:sz w:val="21"/>
                <w:szCs w:val="21"/>
              </w:rPr>
              <w:t>文化</w:t>
            </w:r>
          </w:p>
        </w:tc>
        <w:tc>
          <w:tcPr>
            <w:tcW w:w="769" w:type="pct"/>
            <w:vAlign w:val="center"/>
          </w:tcPr>
          <w:p w14:paraId="2E92AC96">
            <w:pPr>
              <w:spacing w:line="240" w:lineRule="auto"/>
              <w:ind w:firstLine="0" w:firstLineChars="0"/>
              <w:jc w:val="center"/>
              <w:rPr>
                <w:rFonts w:cs="Times New Roman"/>
                <w:kern w:val="0"/>
                <w:sz w:val="21"/>
                <w:szCs w:val="21"/>
              </w:rPr>
            </w:pPr>
          </w:p>
        </w:tc>
        <w:tc>
          <w:tcPr>
            <w:tcW w:w="3466" w:type="pct"/>
            <w:vAlign w:val="center"/>
          </w:tcPr>
          <w:p w14:paraId="4BF3BDD3">
            <w:pPr>
              <w:spacing w:line="240" w:lineRule="auto"/>
              <w:ind w:firstLine="0" w:firstLineChars="0"/>
              <w:rPr>
                <w:rFonts w:cs="Times New Roman"/>
                <w:kern w:val="0"/>
                <w:sz w:val="21"/>
                <w:szCs w:val="21"/>
              </w:rPr>
            </w:pPr>
            <w:r>
              <w:rPr>
                <w:rFonts w:cs="Times New Roman"/>
                <w:kern w:val="0"/>
                <w:sz w:val="21"/>
                <w:szCs w:val="21"/>
              </w:rPr>
              <w:t>向阳烈士陵园</w:t>
            </w:r>
            <w:r>
              <w:rPr>
                <w:rFonts w:hint="eastAsia" w:cs="Times New Roman"/>
                <w:kern w:val="0"/>
                <w:sz w:val="21"/>
                <w:szCs w:val="21"/>
              </w:rPr>
              <w:t>、向阳乡高句丽墓群开发项目</w:t>
            </w:r>
          </w:p>
        </w:tc>
      </w:tr>
    </w:tbl>
    <w:p w14:paraId="2B8CB59F">
      <w:pPr>
        <w:widowControl/>
        <w:adjustRightInd w:val="0"/>
        <w:snapToGrid w:val="0"/>
        <w:ind w:firstLine="640"/>
        <w:rPr>
          <w:rFonts w:cs="Times New Roman"/>
          <w:lang w:bidi="ar"/>
        </w:rPr>
      </w:pPr>
    </w:p>
    <w:p w14:paraId="5020532D">
      <w:pPr>
        <w:pStyle w:val="3"/>
        <w:rPr>
          <w:rFonts w:ascii="Times New Roman" w:hAnsi="Times New Roman" w:cs="Times New Roman"/>
        </w:rPr>
      </w:pPr>
      <w:bookmarkStart w:id="141" w:name="_Toc185844319"/>
      <w:bookmarkStart w:id="142" w:name="_Toc175064698"/>
      <w:bookmarkStart w:id="143" w:name="_Toc17249"/>
      <w:r>
        <w:rPr>
          <w:rFonts w:ascii="Times New Roman" w:hAnsi="Times New Roman" w:cs="Times New Roman"/>
        </w:rPr>
        <w:t>第四节 “一张图”建设与实施监督</w:t>
      </w:r>
      <w:bookmarkEnd w:id="141"/>
      <w:bookmarkEnd w:id="142"/>
      <w:bookmarkEnd w:id="143"/>
    </w:p>
    <w:p w14:paraId="0323CAF4">
      <w:pPr>
        <w:pStyle w:val="4"/>
        <w:numPr>
          <w:ilvl w:val="0"/>
          <w:numId w:val="36"/>
        </w:numPr>
        <w:ind w:left="420" w:firstLine="361" w:firstLineChars="113"/>
      </w:pPr>
      <w:r>
        <w:rPr>
          <w:rFonts w:hint="eastAsia"/>
        </w:rPr>
        <w:t>强化国土空间规划“一张图”管理</w:t>
      </w:r>
    </w:p>
    <w:p w14:paraId="0F2DB1CF">
      <w:pPr>
        <w:adjustRightInd w:val="0"/>
        <w:snapToGrid w:val="0"/>
        <w:ind w:firstLine="640"/>
        <w:rPr>
          <w:rFonts w:cs="Times New Roman"/>
          <w:color w:val="000000"/>
          <w:szCs w:val="32"/>
        </w:rPr>
      </w:pPr>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670B0A65">
      <w:pPr>
        <w:pStyle w:val="4"/>
        <w:numPr>
          <w:ilvl w:val="0"/>
          <w:numId w:val="1"/>
        </w:numPr>
        <w:ind w:left="860" w:firstLine="361" w:firstLineChars="113"/>
      </w:pPr>
      <w:r>
        <w:t>完善社会监督机制</w:t>
      </w:r>
    </w:p>
    <w:p w14:paraId="2D9ABE60">
      <w:pPr>
        <w:adjustRightInd w:val="0"/>
        <w:snapToGrid w:val="0"/>
        <w:ind w:firstLine="640"/>
        <w:rPr>
          <w:rFonts w:cs="Times New Roman"/>
        </w:rPr>
      </w:pPr>
      <w:r>
        <w:rPr>
          <w:rFonts w:cs="Times New Roman"/>
          <w:color w:val="000000"/>
          <w:szCs w:val="32"/>
          <w:lang w:bidi="ar"/>
        </w:rPr>
        <w:t>坚持开门编规划，建立全流程、多渠道的公众参与和社会协同机制，调动公众和专家参与到规划编制—实施—监督—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p w14:paraId="1C21AC27">
      <w:pPr>
        <w:ind w:firstLine="640"/>
        <w:rPr>
          <w:rFonts w:cs="Times New Roman"/>
        </w:rPr>
      </w:pPr>
    </w:p>
    <w:p w14:paraId="604222A0">
      <w:pPr>
        <w:spacing w:line="560" w:lineRule="exact"/>
        <w:ind w:firstLine="0" w:firstLineChars="0"/>
        <w:rPr>
          <w:rFonts w:cs="Times New Roman"/>
          <w:szCs w:val="36"/>
        </w:rPr>
      </w:pPr>
    </w:p>
    <w:sectPr>
      <w:footerReference r:id="rId12" w:type="default"/>
      <w:pgSz w:w="11906" w:h="16838"/>
      <w:pgMar w:top="1440" w:right="1797" w:bottom="1440"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5EBDE">
    <w:pPr>
      <w:pStyle w:val="9"/>
      <w:ind w:firstLine="360"/>
      <w:jc w:val="center"/>
      <w:rPr>
        <w:rFonts w:hint="eastAsia"/>
      </w:rPr>
    </w:pPr>
  </w:p>
  <w:p w14:paraId="0EC65C5F">
    <w:pPr>
      <w:pStyle w:val="9"/>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4E90A">
    <w:pPr>
      <w:pStyle w:val="9"/>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D1386">
    <w:pPr>
      <w:pStyle w:val="9"/>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768989"/>
    </w:sdtPr>
    <w:sdtContent>
      <w:p w14:paraId="32946563">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2025305">
    <w:pPr>
      <w:pStyle w:val="9"/>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269648"/>
    </w:sdtPr>
    <w:sdtContent>
      <w:p w14:paraId="284088BD">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ECA8151">
    <w:pPr>
      <w:pStyle w:val="9"/>
      <w:ind w:firstLine="0" w:firstLineChars="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80450">
    <w:pPr>
      <w:pStyle w:val="10"/>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E5AA2">
    <w:pPr>
      <w:pStyle w:val="10"/>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28959">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43FE2"/>
    <w:multiLevelType w:val="singleLevel"/>
    <w:tmpl w:val="CB743FE2"/>
    <w:lvl w:ilvl="0" w:tentative="0">
      <w:start w:val="1"/>
      <w:numFmt w:val="decimal"/>
      <w:pStyle w:val="7"/>
      <w:suff w:val="space"/>
      <w:lvlText w:val="专栏%1"/>
      <w:lvlJc w:val="left"/>
      <w:pPr>
        <w:tabs>
          <w:tab w:val="left" w:pos="5530"/>
        </w:tabs>
      </w:pPr>
      <w:rPr>
        <w:rFonts w:hint="default" w:ascii="黑体" w:hAnsi="黑体" w:eastAsia="黑体" w:cs="仿宋"/>
        <w:b w:val="0"/>
        <w:bCs/>
        <w:color w:val="auto"/>
        <w:sz w:val="30"/>
        <w:szCs w:val="24"/>
      </w:rPr>
    </w:lvl>
  </w:abstractNum>
  <w:abstractNum w:abstractNumId="1">
    <w:nsid w:val="6BF617DD"/>
    <w:multiLevelType w:val="multilevel"/>
    <w:tmpl w:val="6BF617DD"/>
    <w:lvl w:ilvl="0" w:tentative="0">
      <w:start w:val="1"/>
      <w:numFmt w:val="chineseCountingThousand"/>
      <w:pStyle w:val="4"/>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1"/>
  </w:num>
  <w:num w:numId="2">
    <w:abstractNumId w:val="0"/>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起">
    <w15:presenceInfo w15:providerId="WPS Office" w15:userId="3193713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0MWRmYWVjNjJmOTQ3NDZlNDBmNDI5MTkzMjg0MTcifQ=="/>
  </w:docVars>
  <w:rsids>
    <w:rsidRoot w:val="001C0E5E"/>
    <w:rsid w:val="00001FC3"/>
    <w:rsid w:val="00007D9C"/>
    <w:rsid w:val="00007FD3"/>
    <w:rsid w:val="00022B12"/>
    <w:rsid w:val="00022F7A"/>
    <w:rsid w:val="00025FCC"/>
    <w:rsid w:val="00031192"/>
    <w:rsid w:val="00031970"/>
    <w:rsid w:val="00037E7C"/>
    <w:rsid w:val="00041058"/>
    <w:rsid w:val="00055D9A"/>
    <w:rsid w:val="00057CC3"/>
    <w:rsid w:val="00070A1C"/>
    <w:rsid w:val="00082AB3"/>
    <w:rsid w:val="000924E1"/>
    <w:rsid w:val="00096FA1"/>
    <w:rsid w:val="000A5615"/>
    <w:rsid w:val="000A7B00"/>
    <w:rsid w:val="000B3590"/>
    <w:rsid w:val="000B69A8"/>
    <w:rsid w:val="000C0F2A"/>
    <w:rsid w:val="000C17B9"/>
    <w:rsid w:val="000C2F2E"/>
    <w:rsid w:val="000C5F2D"/>
    <w:rsid w:val="000C686C"/>
    <w:rsid w:val="000C6E55"/>
    <w:rsid w:val="000D181B"/>
    <w:rsid w:val="000D5B51"/>
    <w:rsid w:val="000D6C45"/>
    <w:rsid w:val="000E259F"/>
    <w:rsid w:val="000E2F5F"/>
    <w:rsid w:val="000E338F"/>
    <w:rsid w:val="000F332C"/>
    <w:rsid w:val="000F5FAB"/>
    <w:rsid w:val="001012F1"/>
    <w:rsid w:val="00102517"/>
    <w:rsid w:val="00103A83"/>
    <w:rsid w:val="0010482B"/>
    <w:rsid w:val="00111C52"/>
    <w:rsid w:val="00117B4A"/>
    <w:rsid w:val="00122868"/>
    <w:rsid w:val="00135583"/>
    <w:rsid w:val="00142A9B"/>
    <w:rsid w:val="00143DC8"/>
    <w:rsid w:val="00145F64"/>
    <w:rsid w:val="00147A69"/>
    <w:rsid w:val="00152208"/>
    <w:rsid w:val="00153C89"/>
    <w:rsid w:val="00155787"/>
    <w:rsid w:val="00157ECA"/>
    <w:rsid w:val="001601D2"/>
    <w:rsid w:val="00171CD5"/>
    <w:rsid w:val="00184DB4"/>
    <w:rsid w:val="00187EFC"/>
    <w:rsid w:val="0019192C"/>
    <w:rsid w:val="001B1B42"/>
    <w:rsid w:val="001B2481"/>
    <w:rsid w:val="001C0E5E"/>
    <w:rsid w:val="001E2866"/>
    <w:rsid w:val="001E663B"/>
    <w:rsid w:val="001F0F9C"/>
    <w:rsid w:val="00205D04"/>
    <w:rsid w:val="00207115"/>
    <w:rsid w:val="00210367"/>
    <w:rsid w:val="0021192B"/>
    <w:rsid w:val="00211C35"/>
    <w:rsid w:val="00214CF0"/>
    <w:rsid w:val="00227375"/>
    <w:rsid w:val="002306DA"/>
    <w:rsid w:val="00230D0D"/>
    <w:rsid w:val="0023608B"/>
    <w:rsid w:val="00243424"/>
    <w:rsid w:val="00245EDB"/>
    <w:rsid w:val="00263A07"/>
    <w:rsid w:val="00270BB9"/>
    <w:rsid w:val="00271F11"/>
    <w:rsid w:val="00285EA1"/>
    <w:rsid w:val="0029630B"/>
    <w:rsid w:val="002A1A0A"/>
    <w:rsid w:val="002A4982"/>
    <w:rsid w:val="002A60D6"/>
    <w:rsid w:val="002A68DD"/>
    <w:rsid w:val="002C0A61"/>
    <w:rsid w:val="002C0A99"/>
    <w:rsid w:val="002D10A9"/>
    <w:rsid w:val="002E21F4"/>
    <w:rsid w:val="002E3568"/>
    <w:rsid w:val="002F3FF7"/>
    <w:rsid w:val="002F54E3"/>
    <w:rsid w:val="00302F6E"/>
    <w:rsid w:val="00307AD5"/>
    <w:rsid w:val="003126C0"/>
    <w:rsid w:val="00316E30"/>
    <w:rsid w:val="00333E3F"/>
    <w:rsid w:val="00334414"/>
    <w:rsid w:val="00337813"/>
    <w:rsid w:val="00341E9C"/>
    <w:rsid w:val="0035199A"/>
    <w:rsid w:val="0035298B"/>
    <w:rsid w:val="003542BF"/>
    <w:rsid w:val="00357373"/>
    <w:rsid w:val="00360776"/>
    <w:rsid w:val="00363255"/>
    <w:rsid w:val="00372006"/>
    <w:rsid w:val="00374735"/>
    <w:rsid w:val="00374DFB"/>
    <w:rsid w:val="00384FD2"/>
    <w:rsid w:val="003907A1"/>
    <w:rsid w:val="0039272E"/>
    <w:rsid w:val="00396B02"/>
    <w:rsid w:val="003A28AC"/>
    <w:rsid w:val="003A4B38"/>
    <w:rsid w:val="003A578B"/>
    <w:rsid w:val="003A6260"/>
    <w:rsid w:val="003A6A51"/>
    <w:rsid w:val="003B00D8"/>
    <w:rsid w:val="003B1397"/>
    <w:rsid w:val="003B1764"/>
    <w:rsid w:val="003B1A90"/>
    <w:rsid w:val="003B35C9"/>
    <w:rsid w:val="003B70AF"/>
    <w:rsid w:val="003C4D3B"/>
    <w:rsid w:val="003D233D"/>
    <w:rsid w:val="003D2E3D"/>
    <w:rsid w:val="003D4A2D"/>
    <w:rsid w:val="003E0CEB"/>
    <w:rsid w:val="003E1DA7"/>
    <w:rsid w:val="00403B8C"/>
    <w:rsid w:val="00410049"/>
    <w:rsid w:val="004110B5"/>
    <w:rsid w:val="00411307"/>
    <w:rsid w:val="00411D48"/>
    <w:rsid w:val="00412AE9"/>
    <w:rsid w:val="00416835"/>
    <w:rsid w:val="0042041C"/>
    <w:rsid w:val="004211F2"/>
    <w:rsid w:val="00423C5E"/>
    <w:rsid w:val="004321CB"/>
    <w:rsid w:val="00435F1B"/>
    <w:rsid w:val="00437141"/>
    <w:rsid w:val="004403F8"/>
    <w:rsid w:val="00451BCA"/>
    <w:rsid w:val="00456128"/>
    <w:rsid w:val="00460D1C"/>
    <w:rsid w:val="004709B3"/>
    <w:rsid w:val="004730C2"/>
    <w:rsid w:val="00474EF0"/>
    <w:rsid w:val="004751C2"/>
    <w:rsid w:val="00493CBF"/>
    <w:rsid w:val="004A3B61"/>
    <w:rsid w:val="004B4DCB"/>
    <w:rsid w:val="004B79CE"/>
    <w:rsid w:val="004C4E71"/>
    <w:rsid w:val="004C61AB"/>
    <w:rsid w:val="004D4842"/>
    <w:rsid w:val="004D5F22"/>
    <w:rsid w:val="004D67FC"/>
    <w:rsid w:val="004F0534"/>
    <w:rsid w:val="004F353A"/>
    <w:rsid w:val="004F3F1A"/>
    <w:rsid w:val="004F7815"/>
    <w:rsid w:val="00505CC8"/>
    <w:rsid w:val="00505E74"/>
    <w:rsid w:val="00513BB7"/>
    <w:rsid w:val="005220A9"/>
    <w:rsid w:val="00525830"/>
    <w:rsid w:val="0053516F"/>
    <w:rsid w:val="0053534D"/>
    <w:rsid w:val="0054002C"/>
    <w:rsid w:val="00543D64"/>
    <w:rsid w:val="0054494A"/>
    <w:rsid w:val="005506FD"/>
    <w:rsid w:val="00560FDC"/>
    <w:rsid w:val="00571EE5"/>
    <w:rsid w:val="0057287C"/>
    <w:rsid w:val="005747AD"/>
    <w:rsid w:val="00576997"/>
    <w:rsid w:val="00577DF2"/>
    <w:rsid w:val="005805B1"/>
    <w:rsid w:val="005838BD"/>
    <w:rsid w:val="00584BBA"/>
    <w:rsid w:val="005938A1"/>
    <w:rsid w:val="00594494"/>
    <w:rsid w:val="005952BE"/>
    <w:rsid w:val="005A24DD"/>
    <w:rsid w:val="005B0714"/>
    <w:rsid w:val="005C62FF"/>
    <w:rsid w:val="005C6CDE"/>
    <w:rsid w:val="005C7A48"/>
    <w:rsid w:val="005D3B87"/>
    <w:rsid w:val="005D71F5"/>
    <w:rsid w:val="005E42F7"/>
    <w:rsid w:val="005E4E62"/>
    <w:rsid w:val="005E7F23"/>
    <w:rsid w:val="005F09C4"/>
    <w:rsid w:val="005F2AB6"/>
    <w:rsid w:val="005F44A1"/>
    <w:rsid w:val="005F6CE7"/>
    <w:rsid w:val="0060036A"/>
    <w:rsid w:val="00605C51"/>
    <w:rsid w:val="006068C8"/>
    <w:rsid w:val="00607D00"/>
    <w:rsid w:val="006102A7"/>
    <w:rsid w:val="00620199"/>
    <w:rsid w:val="00620546"/>
    <w:rsid w:val="006212DE"/>
    <w:rsid w:val="00622F52"/>
    <w:rsid w:val="00624DDC"/>
    <w:rsid w:val="00634140"/>
    <w:rsid w:val="00640245"/>
    <w:rsid w:val="00640A6A"/>
    <w:rsid w:val="00643405"/>
    <w:rsid w:val="0064419B"/>
    <w:rsid w:val="006748B5"/>
    <w:rsid w:val="00680438"/>
    <w:rsid w:val="00693A95"/>
    <w:rsid w:val="00695434"/>
    <w:rsid w:val="00696139"/>
    <w:rsid w:val="00697FAC"/>
    <w:rsid w:val="006A7613"/>
    <w:rsid w:val="006B00E8"/>
    <w:rsid w:val="006B1932"/>
    <w:rsid w:val="006B322A"/>
    <w:rsid w:val="006B3A07"/>
    <w:rsid w:val="006B4B5C"/>
    <w:rsid w:val="006B6C91"/>
    <w:rsid w:val="006B77D9"/>
    <w:rsid w:val="006B7FA7"/>
    <w:rsid w:val="006C4275"/>
    <w:rsid w:val="006D7F1A"/>
    <w:rsid w:val="006E38B1"/>
    <w:rsid w:val="006E3BEC"/>
    <w:rsid w:val="006E5063"/>
    <w:rsid w:val="006E7845"/>
    <w:rsid w:val="006F2A5A"/>
    <w:rsid w:val="006F79B9"/>
    <w:rsid w:val="00710C67"/>
    <w:rsid w:val="00710E27"/>
    <w:rsid w:val="0071759C"/>
    <w:rsid w:val="00723F44"/>
    <w:rsid w:val="0072475B"/>
    <w:rsid w:val="00727415"/>
    <w:rsid w:val="00735CCE"/>
    <w:rsid w:val="00741935"/>
    <w:rsid w:val="00746E28"/>
    <w:rsid w:val="0075357E"/>
    <w:rsid w:val="00755E3E"/>
    <w:rsid w:val="00757DFD"/>
    <w:rsid w:val="00761152"/>
    <w:rsid w:val="00761A9A"/>
    <w:rsid w:val="00764819"/>
    <w:rsid w:val="00772D48"/>
    <w:rsid w:val="0077422B"/>
    <w:rsid w:val="00775F40"/>
    <w:rsid w:val="0079019D"/>
    <w:rsid w:val="00792659"/>
    <w:rsid w:val="00796C1B"/>
    <w:rsid w:val="007A1E81"/>
    <w:rsid w:val="007A5463"/>
    <w:rsid w:val="007A649E"/>
    <w:rsid w:val="007B128C"/>
    <w:rsid w:val="007B56AA"/>
    <w:rsid w:val="007C3FD3"/>
    <w:rsid w:val="007C5AF9"/>
    <w:rsid w:val="007D1014"/>
    <w:rsid w:val="007F5054"/>
    <w:rsid w:val="008011CC"/>
    <w:rsid w:val="00801E86"/>
    <w:rsid w:val="00802F7D"/>
    <w:rsid w:val="008107D5"/>
    <w:rsid w:val="00811484"/>
    <w:rsid w:val="0082228B"/>
    <w:rsid w:val="008265F6"/>
    <w:rsid w:val="00832200"/>
    <w:rsid w:val="00832E39"/>
    <w:rsid w:val="008334FA"/>
    <w:rsid w:val="00833590"/>
    <w:rsid w:val="00833B8D"/>
    <w:rsid w:val="00842EB3"/>
    <w:rsid w:val="008437EE"/>
    <w:rsid w:val="00856FF7"/>
    <w:rsid w:val="00870077"/>
    <w:rsid w:val="008768BD"/>
    <w:rsid w:val="00880B0F"/>
    <w:rsid w:val="00882CA8"/>
    <w:rsid w:val="008910F6"/>
    <w:rsid w:val="008A0083"/>
    <w:rsid w:val="008A1876"/>
    <w:rsid w:val="008B3FE0"/>
    <w:rsid w:val="008B431C"/>
    <w:rsid w:val="008C3E92"/>
    <w:rsid w:val="008C41CD"/>
    <w:rsid w:val="008C4476"/>
    <w:rsid w:val="008C5EE2"/>
    <w:rsid w:val="008D15A5"/>
    <w:rsid w:val="008D4060"/>
    <w:rsid w:val="008D4B1D"/>
    <w:rsid w:val="008D6BB4"/>
    <w:rsid w:val="008E17C9"/>
    <w:rsid w:val="008E20B4"/>
    <w:rsid w:val="008E2E4E"/>
    <w:rsid w:val="008E4685"/>
    <w:rsid w:val="008F151D"/>
    <w:rsid w:val="0090055B"/>
    <w:rsid w:val="00904171"/>
    <w:rsid w:val="009054BA"/>
    <w:rsid w:val="00906C1F"/>
    <w:rsid w:val="00906EF1"/>
    <w:rsid w:val="009154C2"/>
    <w:rsid w:val="0091770E"/>
    <w:rsid w:val="00924C10"/>
    <w:rsid w:val="009264C4"/>
    <w:rsid w:val="00936C1B"/>
    <w:rsid w:val="0093726F"/>
    <w:rsid w:val="0094170C"/>
    <w:rsid w:val="009426AA"/>
    <w:rsid w:val="0094336D"/>
    <w:rsid w:val="00950B3D"/>
    <w:rsid w:val="00955F01"/>
    <w:rsid w:val="00963142"/>
    <w:rsid w:val="009653BC"/>
    <w:rsid w:val="00966DA5"/>
    <w:rsid w:val="0097205F"/>
    <w:rsid w:val="00981250"/>
    <w:rsid w:val="0098333F"/>
    <w:rsid w:val="00985D45"/>
    <w:rsid w:val="0099034B"/>
    <w:rsid w:val="009A0D95"/>
    <w:rsid w:val="009B15CE"/>
    <w:rsid w:val="009B2CE0"/>
    <w:rsid w:val="009C13BF"/>
    <w:rsid w:val="009C2417"/>
    <w:rsid w:val="009C2DF6"/>
    <w:rsid w:val="009C684F"/>
    <w:rsid w:val="009D5F1B"/>
    <w:rsid w:val="009E0AD9"/>
    <w:rsid w:val="009E141E"/>
    <w:rsid w:val="009E3332"/>
    <w:rsid w:val="009E420B"/>
    <w:rsid w:val="009F03E9"/>
    <w:rsid w:val="009F55BF"/>
    <w:rsid w:val="009F5D6E"/>
    <w:rsid w:val="00A0068B"/>
    <w:rsid w:val="00A01FD2"/>
    <w:rsid w:val="00A02BD0"/>
    <w:rsid w:val="00A04C5A"/>
    <w:rsid w:val="00A101CD"/>
    <w:rsid w:val="00A147DD"/>
    <w:rsid w:val="00A36F3D"/>
    <w:rsid w:val="00A43459"/>
    <w:rsid w:val="00A43698"/>
    <w:rsid w:val="00A54DC0"/>
    <w:rsid w:val="00A7081F"/>
    <w:rsid w:val="00A74F2D"/>
    <w:rsid w:val="00A873AE"/>
    <w:rsid w:val="00A90D92"/>
    <w:rsid w:val="00A9406F"/>
    <w:rsid w:val="00A97E8E"/>
    <w:rsid w:val="00AA1CB3"/>
    <w:rsid w:val="00AA26F3"/>
    <w:rsid w:val="00AA3BB1"/>
    <w:rsid w:val="00AA44B2"/>
    <w:rsid w:val="00AB1AEF"/>
    <w:rsid w:val="00AB4626"/>
    <w:rsid w:val="00AB4B3C"/>
    <w:rsid w:val="00AC5C6E"/>
    <w:rsid w:val="00AD1B48"/>
    <w:rsid w:val="00AE3205"/>
    <w:rsid w:val="00AF6F8D"/>
    <w:rsid w:val="00B01059"/>
    <w:rsid w:val="00B04B2E"/>
    <w:rsid w:val="00B25D6C"/>
    <w:rsid w:val="00B308F6"/>
    <w:rsid w:val="00B3177A"/>
    <w:rsid w:val="00B33FC4"/>
    <w:rsid w:val="00B358EB"/>
    <w:rsid w:val="00B3645E"/>
    <w:rsid w:val="00B4021C"/>
    <w:rsid w:val="00B45B0C"/>
    <w:rsid w:val="00B47975"/>
    <w:rsid w:val="00B50C60"/>
    <w:rsid w:val="00B51E97"/>
    <w:rsid w:val="00B65C27"/>
    <w:rsid w:val="00B71211"/>
    <w:rsid w:val="00B75BF0"/>
    <w:rsid w:val="00B76925"/>
    <w:rsid w:val="00B845F5"/>
    <w:rsid w:val="00B84EC5"/>
    <w:rsid w:val="00B900DD"/>
    <w:rsid w:val="00B9355B"/>
    <w:rsid w:val="00B93D2E"/>
    <w:rsid w:val="00BA1E28"/>
    <w:rsid w:val="00BA4A50"/>
    <w:rsid w:val="00BA6E2E"/>
    <w:rsid w:val="00BB1287"/>
    <w:rsid w:val="00BB4D6A"/>
    <w:rsid w:val="00BC2AC2"/>
    <w:rsid w:val="00BD10AD"/>
    <w:rsid w:val="00BD65F0"/>
    <w:rsid w:val="00BE1D71"/>
    <w:rsid w:val="00BF4097"/>
    <w:rsid w:val="00C031CE"/>
    <w:rsid w:val="00C04498"/>
    <w:rsid w:val="00C04ACB"/>
    <w:rsid w:val="00C04F14"/>
    <w:rsid w:val="00C0593B"/>
    <w:rsid w:val="00C072BF"/>
    <w:rsid w:val="00C17A89"/>
    <w:rsid w:val="00C2089C"/>
    <w:rsid w:val="00C20EE0"/>
    <w:rsid w:val="00C22E93"/>
    <w:rsid w:val="00C410E9"/>
    <w:rsid w:val="00C423EF"/>
    <w:rsid w:val="00C44E8B"/>
    <w:rsid w:val="00C453CE"/>
    <w:rsid w:val="00C62264"/>
    <w:rsid w:val="00C62B08"/>
    <w:rsid w:val="00C80C19"/>
    <w:rsid w:val="00C83534"/>
    <w:rsid w:val="00C83B31"/>
    <w:rsid w:val="00C849D7"/>
    <w:rsid w:val="00C90BE7"/>
    <w:rsid w:val="00C93107"/>
    <w:rsid w:val="00CA36CF"/>
    <w:rsid w:val="00CA66E7"/>
    <w:rsid w:val="00CB19C1"/>
    <w:rsid w:val="00CD5C1C"/>
    <w:rsid w:val="00CD5ECA"/>
    <w:rsid w:val="00D0051D"/>
    <w:rsid w:val="00D038B8"/>
    <w:rsid w:val="00D07875"/>
    <w:rsid w:val="00D100EE"/>
    <w:rsid w:val="00D352F1"/>
    <w:rsid w:val="00D42478"/>
    <w:rsid w:val="00D5086D"/>
    <w:rsid w:val="00D5720D"/>
    <w:rsid w:val="00D62E38"/>
    <w:rsid w:val="00D63662"/>
    <w:rsid w:val="00D648F2"/>
    <w:rsid w:val="00D66651"/>
    <w:rsid w:val="00D670FB"/>
    <w:rsid w:val="00D74983"/>
    <w:rsid w:val="00D81471"/>
    <w:rsid w:val="00D835B6"/>
    <w:rsid w:val="00D835C2"/>
    <w:rsid w:val="00D84386"/>
    <w:rsid w:val="00D866B0"/>
    <w:rsid w:val="00D9282C"/>
    <w:rsid w:val="00D9313E"/>
    <w:rsid w:val="00D97F0C"/>
    <w:rsid w:val="00DB0E81"/>
    <w:rsid w:val="00DB2959"/>
    <w:rsid w:val="00DB5965"/>
    <w:rsid w:val="00DC1CF2"/>
    <w:rsid w:val="00DC61F7"/>
    <w:rsid w:val="00DC7828"/>
    <w:rsid w:val="00DD3248"/>
    <w:rsid w:val="00DD5D12"/>
    <w:rsid w:val="00DF01D1"/>
    <w:rsid w:val="00DF03DD"/>
    <w:rsid w:val="00E01371"/>
    <w:rsid w:val="00E0287D"/>
    <w:rsid w:val="00E040EA"/>
    <w:rsid w:val="00E06D2E"/>
    <w:rsid w:val="00E1263D"/>
    <w:rsid w:val="00E15C4E"/>
    <w:rsid w:val="00E3342C"/>
    <w:rsid w:val="00E35EF7"/>
    <w:rsid w:val="00E372D8"/>
    <w:rsid w:val="00E521A9"/>
    <w:rsid w:val="00E6146B"/>
    <w:rsid w:val="00E6513B"/>
    <w:rsid w:val="00E65C2C"/>
    <w:rsid w:val="00E723DF"/>
    <w:rsid w:val="00E7460B"/>
    <w:rsid w:val="00E760A4"/>
    <w:rsid w:val="00E82FAB"/>
    <w:rsid w:val="00E86A1C"/>
    <w:rsid w:val="00E875BB"/>
    <w:rsid w:val="00E92F24"/>
    <w:rsid w:val="00E953B3"/>
    <w:rsid w:val="00EA245E"/>
    <w:rsid w:val="00EA5866"/>
    <w:rsid w:val="00EB3388"/>
    <w:rsid w:val="00ED3DDE"/>
    <w:rsid w:val="00EE2180"/>
    <w:rsid w:val="00EE4C13"/>
    <w:rsid w:val="00EF05C1"/>
    <w:rsid w:val="00EF57D9"/>
    <w:rsid w:val="00F02065"/>
    <w:rsid w:val="00F17870"/>
    <w:rsid w:val="00F231C9"/>
    <w:rsid w:val="00F2703E"/>
    <w:rsid w:val="00F31717"/>
    <w:rsid w:val="00F317E8"/>
    <w:rsid w:val="00F338DC"/>
    <w:rsid w:val="00F5219A"/>
    <w:rsid w:val="00F5267E"/>
    <w:rsid w:val="00F70C61"/>
    <w:rsid w:val="00F842DB"/>
    <w:rsid w:val="00F86BC3"/>
    <w:rsid w:val="00F950B1"/>
    <w:rsid w:val="00FA0CF9"/>
    <w:rsid w:val="00FB2003"/>
    <w:rsid w:val="00FB336D"/>
    <w:rsid w:val="00FB5F8D"/>
    <w:rsid w:val="00FC0DDA"/>
    <w:rsid w:val="00FE38D8"/>
    <w:rsid w:val="00FF1492"/>
    <w:rsid w:val="00FF37A2"/>
    <w:rsid w:val="011253ED"/>
    <w:rsid w:val="02B349AE"/>
    <w:rsid w:val="04137DFA"/>
    <w:rsid w:val="05812B41"/>
    <w:rsid w:val="07452155"/>
    <w:rsid w:val="08EC7572"/>
    <w:rsid w:val="0A9C153F"/>
    <w:rsid w:val="0B28415D"/>
    <w:rsid w:val="0C0C4A61"/>
    <w:rsid w:val="0C236700"/>
    <w:rsid w:val="0DB64363"/>
    <w:rsid w:val="0DC76953"/>
    <w:rsid w:val="0E477E59"/>
    <w:rsid w:val="0F9D54EB"/>
    <w:rsid w:val="10F10355"/>
    <w:rsid w:val="127E6D86"/>
    <w:rsid w:val="131865CD"/>
    <w:rsid w:val="13531FC1"/>
    <w:rsid w:val="152C7A41"/>
    <w:rsid w:val="15D53161"/>
    <w:rsid w:val="16E73D9E"/>
    <w:rsid w:val="17C26CBC"/>
    <w:rsid w:val="189E3CDE"/>
    <w:rsid w:val="18B76B43"/>
    <w:rsid w:val="19FB70F6"/>
    <w:rsid w:val="1C492226"/>
    <w:rsid w:val="1C8C6544"/>
    <w:rsid w:val="1CAF32C0"/>
    <w:rsid w:val="1F903C55"/>
    <w:rsid w:val="1FD74821"/>
    <w:rsid w:val="256E37EE"/>
    <w:rsid w:val="2641277C"/>
    <w:rsid w:val="26926505"/>
    <w:rsid w:val="29F574D6"/>
    <w:rsid w:val="2BB1567F"/>
    <w:rsid w:val="2C1D4AC2"/>
    <w:rsid w:val="2D3E73E6"/>
    <w:rsid w:val="2D5704A8"/>
    <w:rsid w:val="2DC003FB"/>
    <w:rsid w:val="30EC6D90"/>
    <w:rsid w:val="346E24D8"/>
    <w:rsid w:val="35F22A9F"/>
    <w:rsid w:val="368E4F3A"/>
    <w:rsid w:val="3A5C5FF0"/>
    <w:rsid w:val="3AA34D2C"/>
    <w:rsid w:val="3BE45621"/>
    <w:rsid w:val="3CAA05F4"/>
    <w:rsid w:val="3D08103A"/>
    <w:rsid w:val="3EC712FD"/>
    <w:rsid w:val="3F836EDA"/>
    <w:rsid w:val="3FF545AA"/>
    <w:rsid w:val="445C5837"/>
    <w:rsid w:val="45211C6D"/>
    <w:rsid w:val="4BBE19C6"/>
    <w:rsid w:val="4BC66ACD"/>
    <w:rsid w:val="4D9724CF"/>
    <w:rsid w:val="4E307207"/>
    <w:rsid w:val="4E6F6FA8"/>
    <w:rsid w:val="4EB206DF"/>
    <w:rsid w:val="513D692C"/>
    <w:rsid w:val="542C6FAC"/>
    <w:rsid w:val="547B3A4E"/>
    <w:rsid w:val="558A1BCA"/>
    <w:rsid w:val="573135F9"/>
    <w:rsid w:val="57C540DC"/>
    <w:rsid w:val="58647451"/>
    <w:rsid w:val="592B66BC"/>
    <w:rsid w:val="59753FF8"/>
    <w:rsid w:val="5A2570B4"/>
    <w:rsid w:val="5B9718EC"/>
    <w:rsid w:val="5E4D6FA5"/>
    <w:rsid w:val="5EFD0FD7"/>
    <w:rsid w:val="604E23F4"/>
    <w:rsid w:val="626C4CEF"/>
    <w:rsid w:val="62FF66F4"/>
    <w:rsid w:val="64274B71"/>
    <w:rsid w:val="6753700F"/>
    <w:rsid w:val="68D26659"/>
    <w:rsid w:val="6A0D7FC3"/>
    <w:rsid w:val="6A687275"/>
    <w:rsid w:val="6B5308C4"/>
    <w:rsid w:val="6D1338DD"/>
    <w:rsid w:val="6F094A29"/>
    <w:rsid w:val="6FE93BB9"/>
    <w:rsid w:val="70930DA5"/>
    <w:rsid w:val="71A14E1B"/>
    <w:rsid w:val="71C15F5C"/>
    <w:rsid w:val="71E42AB5"/>
    <w:rsid w:val="73455909"/>
    <w:rsid w:val="7C686CB0"/>
    <w:rsid w:val="7EBA5412"/>
    <w:rsid w:val="7F1B4E52"/>
    <w:rsid w:val="7F2D7CEE"/>
    <w:rsid w:val="7FB56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next w:val="1"/>
    <w:link w:val="22"/>
    <w:qFormat/>
    <w:uiPriority w:val="9"/>
    <w:pPr>
      <w:keepNext/>
      <w:keepLines/>
      <w:pageBreakBefore/>
      <w:spacing w:before="100" w:beforeLines="100" w:after="100" w:afterLines="100"/>
      <w:jc w:val="center"/>
      <w:outlineLvl w:val="0"/>
    </w:pPr>
    <w:rPr>
      <w:rFonts w:ascii="方正小标宋简体" w:hAnsi="黑体" w:eastAsia="方正小标宋简体" w:cs="黑体"/>
      <w:color w:val="000000"/>
      <w:kern w:val="2"/>
      <w:sz w:val="36"/>
      <w:szCs w:val="22"/>
      <w:lang w:val="en-US" w:eastAsia="zh-CN" w:bidi="ar-SA"/>
    </w:rPr>
  </w:style>
  <w:style w:type="paragraph" w:styleId="3">
    <w:name w:val="heading 2"/>
    <w:next w:val="1"/>
    <w:link w:val="23"/>
    <w:unhideWhenUsed/>
    <w:qFormat/>
    <w:uiPriority w:val="9"/>
    <w:pPr>
      <w:keepNext/>
      <w:keepLines/>
      <w:spacing w:before="12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24"/>
    <w:unhideWhenUsed/>
    <w:qFormat/>
    <w:uiPriority w:val="9"/>
    <w:pPr>
      <w:keepNext/>
      <w:keepLines/>
      <w:numPr>
        <w:ilvl w:val="0"/>
        <w:numId w:val="1"/>
      </w:numPr>
      <w:spacing w:before="120" w:after="120"/>
      <w:ind w:left="420" w:firstLine="113" w:firstLineChars="113"/>
      <w:outlineLvl w:val="2"/>
      <w:pPrChange w:id="0" w:author="起 杨" w:date="2026-02-10T10:21:00Z">
        <w:pPr>
          <w:keepNext/>
          <w:keepLines/>
          <w:widowControl w:val="0"/>
          <w:numPr>
            <w:numId w:val="1"/>
          </w:numPr>
          <w:spacing w:before="120" w:after="120" w:line="600" w:lineRule="exact"/>
          <w:ind w:left="860" w:hanging="440" w:firstLineChars="200"/>
          <w:jc w:val="both"/>
          <w:outlineLvl w:val="2"/>
        </w:pPr>
      </w:pPrChange>
    </w:pPr>
    <w:rPr>
      <w:rFonts w:eastAsia="楷体_GB2312"/>
      <w:bCs/>
      <w:szCs w:val="32"/>
      <w:rPrChange w:id="1" w:author="起 杨" w:date="2026-02-10T10:21:00Z">
        <w:rPr>
          <w:rFonts w:eastAsia="楷体_GB2312" w:cstheme="minorBidi"/>
          <w:bCs/>
          <w:kern w:val="2"/>
          <w:sz w:val="32"/>
          <w:szCs w:val="32"/>
          <w:lang w:val="en-US" w:eastAsia="zh-CN" w:bidi="ar-SA"/>
        </w:rPr>
      </w:rPrChange>
    </w:rPr>
  </w:style>
  <w:style w:type="paragraph" w:styleId="6">
    <w:name w:val="heading 4"/>
    <w:basedOn w:val="1"/>
    <w:next w:val="1"/>
    <w:link w:val="27"/>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7">
    <w:name w:val="caption"/>
    <w:basedOn w:val="1"/>
    <w:next w:val="1"/>
    <w:qFormat/>
    <w:uiPriority w:val="35"/>
    <w:pPr>
      <w:numPr>
        <w:ilvl w:val="0"/>
        <w:numId w:val="2"/>
      </w:numPr>
      <w:tabs>
        <w:tab w:val="left" w:pos="0"/>
      </w:tabs>
      <w:spacing w:line="500" w:lineRule="exact"/>
      <w:ind w:firstLine="0" w:firstLineChars="0"/>
      <w:jc w:val="center"/>
    </w:pPr>
    <w:rPr>
      <w:rFonts w:ascii="黑体" w:hAnsi="黑体" w:eastAsia="黑体" w:cs="黑体"/>
      <w:sz w:val="28"/>
      <w:szCs w:val="30"/>
    </w:rPr>
  </w:style>
  <w:style w:type="paragraph" w:styleId="8">
    <w:name w:val="annotation text"/>
    <w:basedOn w:val="1"/>
    <w:link w:val="25"/>
    <w:semiHidden/>
    <w:unhideWhenUsed/>
    <w:qFormat/>
    <w:uiPriority w:val="99"/>
    <w:pPr>
      <w:jc w:val="left"/>
    </w:pPr>
  </w:style>
  <w:style w:type="paragraph" w:styleId="9">
    <w:name w:val="footer"/>
    <w:basedOn w:val="1"/>
    <w:link w:val="30"/>
    <w:unhideWhenUsed/>
    <w:qFormat/>
    <w:uiPriority w:val="99"/>
    <w:pPr>
      <w:widowControl/>
      <w:tabs>
        <w:tab w:val="center" w:pos="4153"/>
        <w:tab w:val="right" w:pos="8306"/>
      </w:tabs>
      <w:adjustRightInd w:val="0"/>
      <w:snapToGrid w:val="0"/>
      <w:spacing w:line="240" w:lineRule="auto"/>
    </w:pPr>
    <w:rPr>
      <w:rFonts w:ascii="仿宋_GB2312" w:hAnsi="仿宋" w:cs="仿宋"/>
      <w:color w:val="000000"/>
      <w:sz w:val="18"/>
      <w:szCs w:val="18"/>
    </w:rPr>
  </w:style>
  <w:style w:type="paragraph" w:styleId="10">
    <w:name w:val="header"/>
    <w:basedOn w:val="1"/>
    <w:link w:val="31"/>
    <w:unhideWhenUsed/>
    <w:qFormat/>
    <w:uiPriority w:val="99"/>
    <w:pPr>
      <w:widowControl/>
      <w:pBdr>
        <w:bottom w:val="single" w:color="auto" w:sz="6" w:space="1"/>
      </w:pBdr>
      <w:tabs>
        <w:tab w:val="center" w:pos="4153"/>
        <w:tab w:val="right" w:pos="8306"/>
      </w:tabs>
      <w:adjustRightInd w:val="0"/>
      <w:snapToGrid w:val="0"/>
      <w:spacing w:line="240" w:lineRule="auto"/>
      <w:jc w:val="center"/>
    </w:pPr>
    <w:rPr>
      <w:rFonts w:ascii="仿宋_GB2312" w:hAnsi="仿宋" w:cs="仿宋"/>
      <w:color w:val="000000"/>
      <w:sz w:val="18"/>
      <w:szCs w:val="18"/>
    </w:rPr>
  </w:style>
  <w:style w:type="paragraph" w:styleId="11">
    <w:name w:val="toc 1"/>
    <w:basedOn w:val="1"/>
    <w:next w:val="1"/>
    <w:unhideWhenUsed/>
    <w:qFormat/>
    <w:uiPriority w:val="39"/>
    <w:pPr>
      <w:tabs>
        <w:tab w:val="right" w:leader="dot" w:pos="8302"/>
      </w:tabs>
      <w:ind w:firstLine="640" w:firstLineChars="0"/>
    </w:pPr>
    <w:rPr>
      <w:rFonts w:eastAsia="黑体" w:asciiTheme="majorHAnsi" w:hAnsiTheme="majorHAnsi"/>
    </w:rPr>
  </w:style>
  <w:style w:type="paragraph" w:styleId="12">
    <w:name w:val="toc 2"/>
    <w:basedOn w:val="1"/>
    <w:next w:val="1"/>
    <w:unhideWhenUsed/>
    <w:qFormat/>
    <w:uiPriority w:val="39"/>
    <w:pPr>
      <w:ind w:left="200" w:leftChars="200"/>
    </w:pPr>
  </w:style>
  <w:style w:type="paragraph" w:styleId="13">
    <w:name w:val="Normal (Web)"/>
    <w:basedOn w:val="1"/>
    <w:unhideWhenUsed/>
    <w:qFormat/>
    <w:uiPriority w:val="99"/>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4">
    <w:name w:val="annotation subject"/>
    <w:basedOn w:val="8"/>
    <w:next w:val="8"/>
    <w:link w:val="26"/>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封面"/>
    <w:basedOn w:val="1"/>
    <w:link w:val="21"/>
    <w:qFormat/>
    <w:uiPriority w:val="0"/>
    <w:pPr>
      <w:ind w:firstLine="640"/>
      <w:jc w:val="center"/>
    </w:pPr>
    <w:rPr>
      <w:rFonts w:eastAsia="方正小标宋简体"/>
      <w:sz w:val="52"/>
    </w:rPr>
  </w:style>
  <w:style w:type="character" w:customStyle="1" w:styleId="21">
    <w:name w:val="封面 字符"/>
    <w:basedOn w:val="17"/>
    <w:link w:val="20"/>
    <w:qFormat/>
    <w:uiPriority w:val="0"/>
    <w:rPr>
      <w:rFonts w:ascii="Times New Roman" w:hAnsi="Times New Roman" w:eastAsia="方正小标宋简体"/>
      <w:sz w:val="52"/>
    </w:rPr>
  </w:style>
  <w:style w:type="character" w:customStyle="1" w:styleId="22">
    <w:name w:val="标题 1 字符"/>
    <w:basedOn w:val="17"/>
    <w:link w:val="2"/>
    <w:qFormat/>
    <w:uiPriority w:val="9"/>
    <w:rPr>
      <w:rFonts w:ascii="方正小标宋简体" w:hAnsi="黑体" w:eastAsia="方正小标宋简体" w:cs="黑体"/>
      <w:color w:val="000000"/>
      <w:sz w:val="36"/>
    </w:rPr>
  </w:style>
  <w:style w:type="character" w:customStyle="1" w:styleId="23">
    <w:name w:val="标题 2 字符"/>
    <w:basedOn w:val="17"/>
    <w:link w:val="3"/>
    <w:qFormat/>
    <w:uiPriority w:val="9"/>
    <w:rPr>
      <w:rFonts w:ascii="黑体" w:hAnsi="黑体" w:eastAsia="黑体" w:cs="黑体"/>
      <w:color w:val="000000"/>
      <w:sz w:val="32"/>
    </w:rPr>
  </w:style>
  <w:style w:type="character" w:customStyle="1" w:styleId="24">
    <w:name w:val="标题 3 字符"/>
    <w:basedOn w:val="17"/>
    <w:link w:val="4"/>
    <w:qFormat/>
    <w:uiPriority w:val="9"/>
    <w:rPr>
      <w:rFonts w:eastAsia="楷体_GB2312" w:cstheme="minorBidi"/>
      <w:bCs/>
      <w:kern w:val="2"/>
      <w:sz w:val="32"/>
      <w:szCs w:val="32"/>
    </w:rPr>
  </w:style>
  <w:style w:type="character" w:customStyle="1" w:styleId="25">
    <w:name w:val="批注文字 字符"/>
    <w:basedOn w:val="17"/>
    <w:link w:val="8"/>
    <w:semiHidden/>
    <w:qFormat/>
    <w:uiPriority w:val="99"/>
    <w:rPr>
      <w:rFonts w:ascii="Times New Roman" w:hAnsi="Times New Roman" w:eastAsia="仿宋_GB2312"/>
      <w:sz w:val="32"/>
    </w:rPr>
  </w:style>
  <w:style w:type="character" w:customStyle="1" w:styleId="26">
    <w:name w:val="批注主题 字符"/>
    <w:basedOn w:val="25"/>
    <w:link w:val="14"/>
    <w:semiHidden/>
    <w:qFormat/>
    <w:uiPriority w:val="99"/>
    <w:rPr>
      <w:rFonts w:ascii="Times New Roman" w:hAnsi="Times New Roman" w:eastAsia="仿宋_GB2312"/>
      <w:b/>
      <w:bCs/>
      <w:sz w:val="32"/>
    </w:rPr>
  </w:style>
  <w:style w:type="character" w:customStyle="1" w:styleId="27">
    <w:name w:val="标题 4 字符"/>
    <w:basedOn w:val="17"/>
    <w:link w:val="6"/>
    <w:qFormat/>
    <w:uiPriority w:val="9"/>
    <w:rPr>
      <w:rFonts w:asciiTheme="majorHAnsi" w:hAnsiTheme="majorHAnsi" w:eastAsiaTheme="majorEastAsia" w:cstheme="majorBidi"/>
      <w:b/>
      <w:bCs/>
      <w:sz w:val="28"/>
      <w:szCs w:val="28"/>
    </w:rPr>
  </w:style>
  <w:style w:type="table" w:customStyle="1" w:styleId="28">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29">
    <w:name w:val="Table Paragraph"/>
    <w:basedOn w:val="1"/>
    <w:qFormat/>
    <w:uiPriority w:val="1"/>
    <w:pPr>
      <w:spacing w:line="240" w:lineRule="auto"/>
      <w:ind w:firstLine="0" w:firstLineChars="0"/>
      <w:jc w:val="left"/>
    </w:pPr>
    <w:rPr>
      <w:rFonts w:asciiTheme="minorHAnsi" w:hAnsiTheme="minorHAnsi" w:eastAsiaTheme="minorEastAsia"/>
      <w:kern w:val="0"/>
      <w:sz w:val="22"/>
      <w:lang w:eastAsia="en-US"/>
    </w:rPr>
  </w:style>
  <w:style w:type="character" w:customStyle="1" w:styleId="30">
    <w:name w:val="页脚 字符"/>
    <w:basedOn w:val="17"/>
    <w:link w:val="9"/>
    <w:qFormat/>
    <w:uiPriority w:val="99"/>
    <w:rPr>
      <w:rFonts w:ascii="仿宋_GB2312" w:hAnsi="仿宋" w:eastAsia="仿宋_GB2312" w:cs="仿宋"/>
      <w:color w:val="000000"/>
      <w:sz w:val="18"/>
      <w:szCs w:val="18"/>
    </w:rPr>
  </w:style>
  <w:style w:type="character" w:customStyle="1" w:styleId="31">
    <w:name w:val="页眉 字符"/>
    <w:basedOn w:val="17"/>
    <w:link w:val="10"/>
    <w:qFormat/>
    <w:uiPriority w:val="99"/>
    <w:rPr>
      <w:rFonts w:ascii="仿宋_GB2312" w:hAnsi="仿宋" w:eastAsia="仿宋_GB2312" w:cs="仿宋"/>
      <w:color w:val="000000"/>
      <w:sz w:val="18"/>
      <w:szCs w:val="18"/>
    </w:rPr>
  </w:style>
  <w:style w:type="paragraph" w:customStyle="1" w:styleId="32">
    <w:name w:val="font7"/>
    <w:basedOn w:val="1"/>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3">
    <w:name w:val="专栏正文"/>
    <w:basedOn w:val="1"/>
    <w:link w:val="34"/>
    <w:qFormat/>
    <w:uiPriority w:val="0"/>
    <w:pPr>
      <w:widowControl/>
      <w:adjustRightInd w:val="0"/>
      <w:snapToGrid w:val="0"/>
      <w:spacing w:line="240" w:lineRule="auto"/>
      <w:jc w:val="left"/>
    </w:pPr>
    <w:rPr>
      <w:sz w:val="24"/>
      <w:szCs w:val="20"/>
    </w:rPr>
  </w:style>
  <w:style w:type="character" w:customStyle="1" w:styleId="34">
    <w:name w:val="专栏正文 字符"/>
    <w:basedOn w:val="17"/>
    <w:link w:val="33"/>
    <w:qFormat/>
    <w:uiPriority w:val="0"/>
    <w:rPr>
      <w:rFonts w:ascii="Times New Roman" w:hAnsi="Times New Roman" w:eastAsia="仿宋_GB2312"/>
      <w:sz w:val="24"/>
      <w:szCs w:val="20"/>
    </w:rPr>
  </w:style>
  <w:style w:type="table" w:customStyle="1" w:styleId="35">
    <w:name w:val="网格型1"/>
    <w:basedOn w:val="15"/>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font11"/>
    <w:basedOn w:val="17"/>
    <w:qFormat/>
    <w:uiPriority w:val="0"/>
    <w:rPr>
      <w:rFonts w:hint="eastAsia" w:ascii="仿宋" w:hAnsi="仿宋" w:eastAsia="仿宋" w:cs="仿宋"/>
      <w:b/>
      <w:bCs/>
      <w:color w:val="000000"/>
      <w:sz w:val="21"/>
      <w:szCs w:val="21"/>
      <w:u w:val="none"/>
    </w:rPr>
  </w:style>
  <w:style w:type="character" w:customStyle="1" w:styleId="37">
    <w:name w:val="font21"/>
    <w:basedOn w:val="17"/>
    <w:qFormat/>
    <w:uiPriority w:val="0"/>
    <w:rPr>
      <w:rFonts w:hint="eastAsia" w:ascii="仿宋" w:hAnsi="仿宋" w:eastAsia="仿宋" w:cs="仿宋"/>
      <w:color w:val="000000"/>
      <w:sz w:val="21"/>
      <w:szCs w:val="21"/>
      <w:u w:val="none"/>
    </w:rPr>
  </w:style>
  <w:style w:type="paragraph" w:customStyle="1" w:styleId="38">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character" w:customStyle="1" w:styleId="39">
    <w:name w:val="font41"/>
    <w:basedOn w:val="17"/>
    <w:qFormat/>
    <w:uiPriority w:val="0"/>
    <w:rPr>
      <w:rFonts w:hint="eastAsia" w:ascii="仿宋_GB2312" w:eastAsia="仿宋_GB2312" w:cs="仿宋_GB2312"/>
      <w:color w:val="000000"/>
      <w:sz w:val="20"/>
      <w:szCs w:val="20"/>
      <w:u w:val="none"/>
    </w:rPr>
  </w:style>
  <w:style w:type="paragraph" w:customStyle="1" w:styleId="40">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1">
    <w:name w:val="font0"/>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2"/>
    </w:rPr>
  </w:style>
  <w:style w:type="paragraph" w:customStyle="1" w:styleId="42">
    <w:name w:val="font1"/>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43">
    <w:name w:val="font2"/>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1"/>
      <w:szCs w:val="21"/>
    </w:rPr>
  </w:style>
  <w:style w:type="paragraph" w:customStyle="1" w:styleId="44">
    <w:name w:val="font3"/>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5">
    <w:name w:val="font4"/>
    <w:basedOn w:val="1"/>
    <w:qFormat/>
    <w:uiPriority w:val="0"/>
    <w:pPr>
      <w:widowControl/>
      <w:spacing w:before="100" w:beforeAutospacing="1" w:after="100" w:afterAutospacing="1" w:line="240" w:lineRule="auto"/>
      <w:ind w:firstLine="0" w:firstLineChars="0"/>
      <w:jc w:val="left"/>
    </w:pPr>
    <w:rPr>
      <w:rFonts w:ascii="仿宋_GB2312" w:hAnsi="宋体" w:cs="宋体"/>
      <w:color w:val="FF0000"/>
      <w:kern w:val="0"/>
      <w:sz w:val="20"/>
      <w:szCs w:val="20"/>
    </w:rPr>
  </w:style>
  <w:style w:type="paragraph" w:customStyle="1" w:styleId="46">
    <w:name w:val="font5"/>
    <w:basedOn w:val="1"/>
    <w:qFormat/>
    <w:uiPriority w:val="0"/>
    <w:pPr>
      <w:widowControl/>
      <w:spacing w:before="100" w:beforeAutospacing="1" w:after="100" w:afterAutospacing="1" w:line="240" w:lineRule="auto"/>
      <w:ind w:firstLine="0" w:firstLineChars="0"/>
      <w:jc w:val="left"/>
    </w:pPr>
    <w:rPr>
      <w:rFonts w:ascii="黑体" w:hAnsi="黑体" w:eastAsia="黑体" w:cs="宋体"/>
      <w:color w:val="000000"/>
      <w:kern w:val="0"/>
      <w:sz w:val="24"/>
      <w:szCs w:val="24"/>
    </w:rPr>
  </w:style>
  <w:style w:type="paragraph" w:customStyle="1" w:styleId="47">
    <w:name w:val="et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8">
    <w:name w:val="et3"/>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9">
    <w:name w:val="et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0">
    <w:name w:val="et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1">
    <w:name w:val="et6"/>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2">
    <w:name w:val="et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3">
    <w:name w:val="et8"/>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4">
    <w:name w:val="et9"/>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仿宋" w:hAnsi="仿宋" w:eastAsia="仿宋" w:cs="宋体"/>
      <w:kern w:val="0"/>
      <w:sz w:val="21"/>
      <w:szCs w:val="21"/>
    </w:rPr>
  </w:style>
  <w:style w:type="paragraph" w:customStyle="1" w:styleId="55">
    <w:name w:val="et10"/>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仿宋" w:hAnsi="仿宋" w:eastAsia="仿宋" w:cs="宋体"/>
      <w:kern w:val="0"/>
      <w:sz w:val="21"/>
      <w:szCs w:val="21"/>
    </w:rPr>
  </w:style>
  <w:style w:type="paragraph" w:customStyle="1" w:styleId="56">
    <w:name w:val="et11"/>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7">
    <w:name w:val="et13"/>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8">
    <w:name w:val="et14"/>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FF0000"/>
      <w:kern w:val="0"/>
      <w:sz w:val="20"/>
      <w:szCs w:val="20"/>
    </w:rPr>
  </w:style>
  <w:style w:type="paragraph" w:customStyle="1" w:styleId="59">
    <w:name w:val="et1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仿宋" w:hAnsi="仿宋" w:eastAsia="仿宋" w:cs="宋体"/>
      <w:kern w:val="0"/>
      <w:sz w:val="21"/>
      <w:szCs w:val="21"/>
    </w:rPr>
  </w:style>
  <w:style w:type="paragraph" w:customStyle="1" w:styleId="60">
    <w:name w:val="et16"/>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黑体" w:hAnsi="黑体" w:eastAsia="黑体" w:cs="宋体"/>
      <w:color w:val="000000"/>
      <w:kern w:val="0"/>
      <w:sz w:val="24"/>
      <w:szCs w:val="24"/>
    </w:rPr>
  </w:style>
  <w:style w:type="character" w:customStyle="1" w:styleId="61">
    <w:name w:val="font31"/>
    <w:basedOn w:val="17"/>
    <w:qFormat/>
    <w:uiPriority w:val="0"/>
    <w:rPr>
      <w:rFonts w:hint="eastAsia" w:ascii="仿宋_GB2312" w:eastAsia="仿宋_GB2312"/>
      <w:color w:val="000000"/>
      <w:sz w:val="20"/>
      <w:szCs w:val="20"/>
      <w:u w:val="none"/>
    </w:rPr>
  </w:style>
  <w:style w:type="paragraph" w:customStyle="1" w:styleId="62">
    <w:name w:val="修订1"/>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63">
    <w:name w:val="Revision"/>
    <w:hidden/>
    <w:unhideWhenUsed/>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A115-4580-4BBC-98C7-80FD0C53F79E}">
  <ds:schemaRefs/>
</ds:datastoreItem>
</file>

<file path=docProps/app.xml><?xml version="1.0" encoding="utf-8"?>
<Properties xmlns="http://schemas.openxmlformats.org/officeDocument/2006/extended-properties" xmlns:vt="http://schemas.openxmlformats.org/officeDocument/2006/docPropsVTypes">
  <Template>Normal.dotm</Template>
  <Pages>97</Pages>
  <Words>11980</Words>
  <Characters>12705</Characters>
  <Lines>393</Lines>
  <Paragraphs>110</Paragraphs>
  <TotalTime>21</TotalTime>
  <ScaleCrop>false</ScaleCrop>
  <LinksUpToDate>false</LinksUpToDate>
  <CharactersWithSpaces>12860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2025-01-08T01:12:00Z</dcterms:created>
  <dc:creator>zxn</dc:creator>
  <cp:lastModifiedBy>杨起</cp:lastModifiedBy>
  <cp:lastPrinted>2025-08-08T01:28:00Z</cp:lastPrinted>
  <dcterms:modified xsi:type="dcterms:W3CDTF">2026-03-24T07:56:04Z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971A45F9CEAF46B6A8742173440168CE_12</vt:lpwstr>
  </property>
  <property fmtid="{D5CDD505-2E9C-101B-9397-08002B2CF9AE}" pid="4" name="KSOTemplateDocerSaveRecord">
    <vt:lpwstr>eyJoZGlkIjoiOGQzMDYwYTU2NDdjMDE1YjIxNmRiZGU2ZDFkZmVlNmYiLCJ1c2VySWQiOiIxNDkzNjE0MzUyIn0=</vt:lpwstr>
  </property>
</Properties>
</file>