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455206">
      <w:pPr>
        <w:keepNext w:val="0"/>
        <w:keepLines w:val="0"/>
        <w:pageBreakBefore w:val="0"/>
        <w:widowControl w:val="0"/>
        <w:kinsoku/>
        <w:overflowPunct/>
        <w:topLinePunct w:val="0"/>
        <w:autoSpaceDE/>
        <w:autoSpaceDN/>
        <w:bidi w:val="0"/>
        <w:spacing w:line="240" w:lineRule="auto"/>
        <w:ind w:firstLine="0" w:firstLineChars="0"/>
        <w:jc w:val="center"/>
        <w:textAlignment w:val="auto"/>
        <w:rPr>
          <w:rFonts w:hint="eastAsia" w:ascii="方正小标宋简体" w:hAnsi="方正小标宋简体" w:eastAsia="方正小标宋简体" w:cs="方正小标宋简体"/>
          <w:color w:val="auto"/>
          <w:kern w:val="0"/>
          <w:sz w:val="44"/>
          <w:szCs w:val="44"/>
          <w:u w:val="none"/>
          <w:lang w:val="en-US" w:eastAsia="zh-CN"/>
        </w:rPr>
      </w:pPr>
    </w:p>
    <w:p w14:paraId="6792252A">
      <w:pPr>
        <w:keepNext w:val="0"/>
        <w:keepLines w:val="0"/>
        <w:pageBreakBefore w:val="0"/>
        <w:widowControl w:val="0"/>
        <w:kinsoku/>
        <w:overflowPunct/>
        <w:topLinePunct w:val="0"/>
        <w:autoSpaceDE/>
        <w:autoSpaceDN/>
        <w:bidi w:val="0"/>
        <w:spacing w:line="240" w:lineRule="auto"/>
        <w:ind w:firstLine="0" w:firstLineChars="0"/>
        <w:jc w:val="center"/>
        <w:textAlignment w:val="auto"/>
        <w:rPr>
          <w:rFonts w:hint="eastAsia" w:ascii="方正小标宋简体" w:hAnsi="方正小标宋简体" w:eastAsia="方正小标宋简体" w:cs="方正小标宋简体"/>
          <w:color w:val="auto"/>
          <w:kern w:val="0"/>
          <w:sz w:val="44"/>
          <w:szCs w:val="44"/>
          <w:u w:val="none"/>
        </w:rPr>
      </w:pPr>
    </w:p>
    <w:p w14:paraId="6CA8AA2D">
      <w:pPr>
        <w:keepNext w:val="0"/>
        <w:keepLines w:val="0"/>
        <w:pageBreakBefore w:val="0"/>
        <w:widowControl w:val="0"/>
        <w:kinsoku/>
        <w:overflowPunct/>
        <w:topLinePunct w:val="0"/>
        <w:autoSpaceDE/>
        <w:autoSpaceDN/>
        <w:bidi w:val="0"/>
        <w:spacing w:line="240" w:lineRule="auto"/>
        <w:ind w:firstLine="0" w:firstLineChars="0"/>
        <w:jc w:val="center"/>
        <w:textAlignment w:val="auto"/>
        <w:rPr>
          <w:rFonts w:hint="eastAsia" w:ascii="方正小标宋简体" w:hAnsi="方正小标宋简体" w:eastAsia="方正小标宋简体" w:cs="方正小标宋简体"/>
          <w:color w:val="auto"/>
          <w:kern w:val="0"/>
          <w:sz w:val="44"/>
          <w:szCs w:val="44"/>
          <w:u w:val="none"/>
        </w:rPr>
      </w:pPr>
    </w:p>
    <w:p w14:paraId="1EE932C8">
      <w:pPr>
        <w:keepNext w:val="0"/>
        <w:keepLines w:val="0"/>
        <w:pageBreakBefore w:val="0"/>
        <w:widowControl w:val="0"/>
        <w:kinsoku/>
        <w:overflowPunct/>
        <w:topLinePunct w:val="0"/>
        <w:autoSpaceDE/>
        <w:autoSpaceDN/>
        <w:bidi w:val="0"/>
        <w:spacing w:line="240" w:lineRule="auto"/>
        <w:ind w:firstLine="0" w:firstLineChars="0"/>
        <w:jc w:val="center"/>
        <w:textAlignment w:val="auto"/>
        <w:rPr>
          <w:rFonts w:hint="eastAsia" w:ascii="方正小标宋简体" w:hAnsi="方正小标宋简体" w:eastAsia="方正小标宋简体" w:cs="方正小标宋简体"/>
          <w:color w:val="auto"/>
          <w:kern w:val="0"/>
          <w:sz w:val="44"/>
          <w:szCs w:val="44"/>
          <w:u w:val="none"/>
        </w:rPr>
      </w:pPr>
      <w:r>
        <w:rPr>
          <w:rFonts w:hint="eastAsia" w:ascii="方正小标宋简体" w:hAnsi="方正小标宋简体" w:eastAsia="方正小标宋简体" w:cs="方正小标宋简体"/>
          <w:color w:val="auto"/>
          <w:kern w:val="0"/>
          <w:sz w:val="44"/>
          <w:szCs w:val="44"/>
          <w:u w:val="none"/>
        </w:rPr>
        <w:t>桓仁满族自治县古城镇国土空间总体规划</w:t>
      </w:r>
    </w:p>
    <w:p w14:paraId="734DF17B">
      <w:pPr>
        <w:keepNext w:val="0"/>
        <w:keepLines w:val="0"/>
        <w:pageBreakBefore w:val="0"/>
        <w:widowControl w:val="0"/>
        <w:kinsoku/>
        <w:overflowPunct/>
        <w:topLinePunct w:val="0"/>
        <w:autoSpaceDE/>
        <w:autoSpaceDN/>
        <w:bidi w:val="0"/>
        <w:spacing w:line="240" w:lineRule="auto"/>
        <w:ind w:firstLine="0" w:firstLineChars="0"/>
        <w:jc w:val="center"/>
        <w:textAlignment w:val="auto"/>
        <w:rPr>
          <w:rFonts w:hint="eastAsia" w:ascii="方正小标宋简体" w:hAnsi="方正小标宋简体" w:eastAsia="方正小标宋简体" w:cs="方正小标宋简体"/>
          <w:color w:val="auto"/>
          <w:kern w:val="0"/>
          <w:sz w:val="44"/>
          <w:szCs w:val="44"/>
          <w:u w:val="none"/>
        </w:rPr>
      </w:pPr>
      <w:r>
        <w:rPr>
          <w:rFonts w:hint="eastAsia" w:ascii="方正小标宋简体" w:hAnsi="方正小标宋简体" w:eastAsia="方正小标宋简体" w:cs="方正小标宋简体"/>
          <w:color w:val="auto"/>
          <w:kern w:val="0"/>
          <w:sz w:val="44"/>
          <w:szCs w:val="44"/>
          <w:u w:val="none"/>
        </w:rPr>
        <w:t>（2021—2035年）</w:t>
      </w:r>
    </w:p>
    <w:p w14:paraId="1035E453">
      <w:pPr>
        <w:keepNext w:val="0"/>
        <w:keepLines w:val="0"/>
        <w:pageBreakBefore w:val="0"/>
        <w:widowControl w:val="0"/>
        <w:kinsoku/>
        <w:overflowPunct/>
        <w:topLinePunct w:val="0"/>
        <w:autoSpaceDE/>
        <w:autoSpaceDN/>
        <w:bidi w:val="0"/>
        <w:spacing w:line="240" w:lineRule="auto"/>
        <w:ind w:firstLine="0" w:firstLineChars="0"/>
        <w:jc w:val="center"/>
        <w:textAlignment w:val="auto"/>
        <w:rPr>
          <w:rFonts w:hint="eastAsia" w:ascii="方正小标宋简体" w:hAnsi="方正小标宋简体" w:eastAsia="方正小标宋简体" w:cs="方正小标宋简体"/>
          <w:color w:val="auto"/>
          <w:kern w:val="0"/>
          <w:sz w:val="44"/>
          <w:szCs w:val="44"/>
          <w:u w:val="none"/>
          <w:lang w:val="en-US" w:eastAsia="zh-CN"/>
        </w:rPr>
      </w:pPr>
      <w:r>
        <w:rPr>
          <w:rFonts w:hint="eastAsia" w:ascii="方正小标宋简体" w:hAnsi="方正小标宋简体" w:eastAsia="方正小标宋简体" w:cs="方正小标宋简体"/>
          <w:color w:val="auto"/>
          <w:kern w:val="0"/>
          <w:sz w:val="44"/>
          <w:szCs w:val="44"/>
          <w:u w:val="none"/>
          <w:lang w:val="en-US" w:eastAsia="zh-CN"/>
        </w:rPr>
        <w:t>说  明</w:t>
      </w:r>
    </w:p>
    <w:p w14:paraId="4F0E224C">
      <w:pPr>
        <w:keepNext w:val="0"/>
        <w:keepLines w:val="0"/>
        <w:pageBreakBefore w:val="0"/>
        <w:widowControl w:val="0"/>
        <w:kinsoku/>
        <w:overflowPunct/>
        <w:topLinePunct w:val="0"/>
        <w:autoSpaceDE/>
        <w:autoSpaceDN/>
        <w:bidi w:val="0"/>
        <w:spacing w:line="240" w:lineRule="auto"/>
        <w:ind w:firstLine="0" w:firstLineChars="0"/>
        <w:jc w:val="center"/>
        <w:textAlignment w:val="auto"/>
        <w:rPr>
          <w:rFonts w:hint="eastAsia" w:ascii="方正小标宋简体" w:hAnsi="方正小标宋简体" w:eastAsia="方正小标宋简体" w:cs="方正小标宋简体"/>
          <w:color w:val="auto"/>
          <w:kern w:val="0"/>
          <w:sz w:val="44"/>
          <w:szCs w:val="44"/>
          <w:u w:val="none"/>
        </w:rPr>
      </w:pPr>
    </w:p>
    <w:p w14:paraId="6C46963F">
      <w:pPr>
        <w:keepNext w:val="0"/>
        <w:keepLines w:val="0"/>
        <w:pageBreakBefore w:val="0"/>
        <w:widowControl w:val="0"/>
        <w:kinsoku/>
        <w:overflowPunct/>
        <w:topLinePunct w:val="0"/>
        <w:autoSpaceDE/>
        <w:autoSpaceDN/>
        <w:bidi w:val="0"/>
        <w:spacing w:line="240" w:lineRule="auto"/>
        <w:ind w:firstLine="0" w:firstLineChars="0"/>
        <w:jc w:val="center"/>
        <w:textAlignment w:val="auto"/>
        <w:rPr>
          <w:rFonts w:hint="eastAsia" w:ascii="方正小标宋简体" w:hAnsi="方正小标宋简体" w:eastAsia="方正小标宋简体" w:cs="方正小标宋简体"/>
          <w:color w:val="auto"/>
          <w:kern w:val="0"/>
          <w:sz w:val="44"/>
          <w:szCs w:val="44"/>
          <w:u w:val="none"/>
        </w:rPr>
      </w:pPr>
    </w:p>
    <w:p w14:paraId="5077BF11">
      <w:pPr>
        <w:keepNext w:val="0"/>
        <w:keepLines w:val="0"/>
        <w:pageBreakBefore w:val="0"/>
        <w:widowControl w:val="0"/>
        <w:kinsoku/>
        <w:overflowPunct/>
        <w:topLinePunct w:val="0"/>
        <w:autoSpaceDE/>
        <w:autoSpaceDN/>
        <w:bidi w:val="0"/>
        <w:spacing w:line="240" w:lineRule="auto"/>
        <w:ind w:firstLine="0" w:firstLineChars="0"/>
        <w:jc w:val="center"/>
        <w:textAlignment w:val="auto"/>
        <w:rPr>
          <w:rFonts w:hint="eastAsia" w:ascii="方正小标宋简体" w:hAnsi="方正小标宋简体" w:eastAsia="方正小标宋简体" w:cs="方正小标宋简体"/>
          <w:color w:val="auto"/>
          <w:kern w:val="0"/>
          <w:sz w:val="44"/>
          <w:szCs w:val="44"/>
          <w:u w:val="none"/>
        </w:rPr>
      </w:pPr>
    </w:p>
    <w:p w14:paraId="1CE9C56C">
      <w:pPr>
        <w:keepNext w:val="0"/>
        <w:keepLines w:val="0"/>
        <w:pageBreakBefore w:val="0"/>
        <w:widowControl w:val="0"/>
        <w:kinsoku/>
        <w:overflowPunct/>
        <w:topLinePunct w:val="0"/>
        <w:autoSpaceDE/>
        <w:autoSpaceDN/>
        <w:bidi w:val="0"/>
        <w:spacing w:line="240" w:lineRule="auto"/>
        <w:ind w:firstLine="0" w:firstLineChars="0"/>
        <w:jc w:val="center"/>
        <w:textAlignment w:val="auto"/>
        <w:rPr>
          <w:rFonts w:hint="eastAsia" w:ascii="方正小标宋简体" w:hAnsi="方正小标宋简体" w:eastAsia="方正小标宋简体" w:cs="方正小标宋简体"/>
          <w:color w:val="auto"/>
          <w:kern w:val="0"/>
          <w:sz w:val="44"/>
          <w:szCs w:val="44"/>
          <w:u w:val="none"/>
        </w:rPr>
      </w:pPr>
    </w:p>
    <w:p w14:paraId="4F477655">
      <w:pPr>
        <w:keepNext w:val="0"/>
        <w:keepLines w:val="0"/>
        <w:pageBreakBefore w:val="0"/>
        <w:widowControl w:val="0"/>
        <w:kinsoku/>
        <w:overflowPunct/>
        <w:topLinePunct w:val="0"/>
        <w:autoSpaceDE/>
        <w:autoSpaceDN/>
        <w:bidi w:val="0"/>
        <w:spacing w:line="240" w:lineRule="auto"/>
        <w:ind w:firstLine="0" w:firstLineChars="0"/>
        <w:jc w:val="center"/>
        <w:textAlignment w:val="auto"/>
        <w:rPr>
          <w:rFonts w:hint="eastAsia" w:ascii="方正小标宋简体" w:hAnsi="方正小标宋简体" w:eastAsia="方正小标宋简体" w:cs="方正小标宋简体"/>
          <w:color w:val="auto"/>
          <w:kern w:val="0"/>
          <w:sz w:val="44"/>
          <w:szCs w:val="44"/>
          <w:u w:val="none"/>
        </w:rPr>
      </w:pPr>
    </w:p>
    <w:p w14:paraId="03937A44">
      <w:pPr>
        <w:keepNext w:val="0"/>
        <w:keepLines w:val="0"/>
        <w:pageBreakBefore w:val="0"/>
        <w:widowControl w:val="0"/>
        <w:kinsoku/>
        <w:overflowPunct/>
        <w:topLinePunct w:val="0"/>
        <w:autoSpaceDE/>
        <w:autoSpaceDN/>
        <w:bidi w:val="0"/>
        <w:spacing w:line="240" w:lineRule="auto"/>
        <w:ind w:firstLine="0" w:firstLineChars="0"/>
        <w:jc w:val="center"/>
        <w:textAlignment w:val="auto"/>
        <w:rPr>
          <w:rFonts w:hint="eastAsia" w:ascii="方正小标宋简体" w:hAnsi="方正小标宋简体" w:eastAsia="方正小标宋简体" w:cs="方正小标宋简体"/>
          <w:color w:val="auto"/>
          <w:kern w:val="0"/>
          <w:sz w:val="44"/>
          <w:szCs w:val="44"/>
          <w:u w:val="none"/>
        </w:rPr>
      </w:pPr>
    </w:p>
    <w:p w14:paraId="4BC63EF2">
      <w:pPr>
        <w:keepNext w:val="0"/>
        <w:keepLines w:val="0"/>
        <w:pageBreakBefore w:val="0"/>
        <w:widowControl w:val="0"/>
        <w:kinsoku/>
        <w:overflowPunct/>
        <w:topLinePunct w:val="0"/>
        <w:autoSpaceDE/>
        <w:autoSpaceDN/>
        <w:bidi w:val="0"/>
        <w:spacing w:line="240" w:lineRule="auto"/>
        <w:ind w:firstLine="0" w:firstLineChars="0"/>
        <w:jc w:val="center"/>
        <w:textAlignment w:val="auto"/>
        <w:rPr>
          <w:rFonts w:hint="eastAsia" w:ascii="方正小标宋简体" w:hAnsi="方正小标宋简体" w:eastAsia="方正小标宋简体" w:cs="方正小标宋简体"/>
          <w:color w:val="auto"/>
          <w:kern w:val="0"/>
          <w:sz w:val="44"/>
          <w:szCs w:val="44"/>
          <w:u w:val="none"/>
        </w:rPr>
      </w:pPr>
    </w:p>
    <w:p w14:paraId="0F69A541">
      <w:pPr>
        <w:keepNext w:val="0"/>
        <w:keepLines w:val="0"/>
        <w:pageBreakBefore w:val="0"/>
        <w:widowControl w:val="0"/>
        <w:kinsoku/>
        <w:overflowPunct/>
        <w:topLinePunct w:val="0"/>
        <w:autoSpaceDE/>
        <w:autoSpaceDN/>
        <w:bidi w:val="0"/>
        <w:spacing w:line="240" w:lineRule="auto"/>
        <w:ind w:firstLine="0" w:firstLineChars="0"/>
        <w:jc w:val="center"/>
        <w:textAlignment w:val="auto"/>
        <w:rPr>
          <w:rFonts w:hint="eastAsia" w:ascii="方正小标宋简体" w:hAnsi="方正小标宋简体" w:eastAsia="方正小标宋简体" w:cs="方正小标宋简体"/>
          <w:color w:val="auto"/>
          <w:kern w:val="0"/>
          <w:sz w:val="44"/>
          <w:szCs w:val="44"/>
          <w:u w:val="none"/>
        </w:rPr>
      </w:pPr>
    </w:p>
    <w:p w14:paraId="62F57232">
      <w:pPr>
        <w:keepNext w:val="0"/>
        <w:keepLines w:val="0"/>
        <w:pageBreakBefore w:val="0"/>
        <w:widowControl w:val="0"/>
        <w:kinsoku/>
        <w:overflowPunct/>
        <w:topLinePunct w:val="0"/>
        <w:autoSpaceDE/>
        <w:autoSpaceDN/>
        <w:bidi w:val="0"/>
        <w:spacing w:line="240" w:lineRule="auto"/>
        <w:ind w:firstLine="0" w:firstLineChars="0"/>
        <w:jc w:val="center"/>
        <w:textAlignment w:val="auto"/>
        <w:rPr>
          <w:rFonts w:hint="eastAsia" w:ascii="方正小标宋简体" w:hAnsi="方正小标宋简体" w:eastAsia="方正小标宋简体" w:cs="方正小标宋简体"/>
          <w:color w:val="auto"/>
          <w:kern w:val="0"/>
          <w:sz w:val="44"/>
          <w:szCs w:val="44"/>
          <w:u w:val="none"/>
        </w:rPr>
      </w:pPr>
    </w:p>
    <w:p w14:paraId="7D2AE238">
      <w:pPr>
        <w:keepNext w:val="0"/>
        <w:keepLines w:val="0"/>
        <w:pageBreakBefore w:val="0"/>
        <w:widowControl w:val="0"/>
        <w:kinsoku/>
        <w:overflowPunct/>
        <w:topLinePunct w:val="0"/>
        <w:autoSpaceDE/>
        <w:autoSpaceDN/>
        <w:bidi w:val="0"/>
        <w:spacing w:line="240" w:lineRule="auto"/>
        <w:ind w:firstLine="0" w:firstLineChars="0"/>
        <w:jc w:val="center"/>
        <w:textAlignment w:val="auto"/>
        <w:rPr>
          <w:rFonts w:hint="eastAsia" w:ascii="方正小标宋简体" w:hAnsi="方正小标宋简体" w:eastAsia="方正小标宋简体" w:cs="方正小标宋简体"/>
          <w:color w:val="auto"/>
          <w:kern w:val="0"/>
          <w:sz w:val="44"/>
          <w:szCs w:val="44"/>
          <w:u w:val="none"/>
        </w:rPr>
      </w:pPr>
    </w:p>
    <w:p w14:paraId="30790D8C">
      <w:pPr>
        <w:keepNext w:val="0"/>
        <w:keepLines w:val="0"/>
        <w:pageBreakBefore w:val="0"/>
        <w:widowControl w:val="0"/>
        <w:kinsoku/>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楷体_GB2312" w:cs="Times New Roman"/>
          <w:b w:val="0"/>
          <w:bCs w:val="0"/>
          <w:color w:val="000000"/>
          <w:szCs w:val="32"/>
          <w:u w:val="none"/>
          <w:lang w:val="en-US" w:eastAsia="zh-CN" w:bidi="ar-SA"/>
        </w:rPr>
      </w:pPr>
      <w:r>
        <w:rPr>
          <w:rFonts w:hint="eastAsia" w:ascii="Times New Roman" w:hAnsi="Times New Roman" w:eastAsia="楷体_GB2312" w:cs="Times New Roman"/>
          <w:b w:val="0"/>
          <w:bCs w:val="0"/>
          <w:color w:val="000000"/>
          <w:szCs w:val="32"/>
          <w:u w:val="none"/>
          <w:lang w:val="en-US" w:eastAsia="zh-CN" w:bidi="ar-SA"/>
        </w:rPr>
        <w:t>桓仁满族自治县古城镇人民政府</w:t>
      </w:r>
    </w:p>
    <w:p w14:paraId="42DFDDE8">
      <w:pPr>
        <w:keepNext w:val="0"/>
        <w:keepLines w:val="0"/>
        <w:pageBreakBefore w:val="0"/>
        <w:widowControl w:val="0"/>
        <w:kinsoku/>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楷体_GB2312" w:cs="Times New Roman"/>
          <w:b w:val="0"/>
          <w:bCs w:val="0"/>
          <w:color w:val="000000"/>
          <w:szCs w:val="32"/>
          <w:u w:val="none"/>
          <w:lang w:val="en-US" w:eastAsia="zh-CN" w:bidi="ar-SA"/>
        </w:rPr>
      </w:pPr>
      <w:r>
        <w:rPr>
          <w:rFonts w:hint="eastAsia" w:ascii="Times New Roman" w:hAnsi="Times New Roman" w:eastAsia="楷体_GB2312" w:cs="Times New Roman"/>
          <w:b w:val="0"/>
          <w:bCs w:val="0"/>
          <w:color w:val="000000"/>
          <w:szCs w:val="32"/>
          <w:u w:val="none"/>
          <w:lang w:val="en-US" w:eastAsia="zh-CN" w:bidi="ar-SA"/>
        </w:rPr>
        <w:t>2025年12月</w:t>
      </w:r>
    </w:p>
    <w:p w14:paraId="4C231797">
      <w:pPr>
        <w:keepNext w:val="0"/>
        <w:keepLines w:val="0"/>
        <w:pageBreakBefore w:val="0"/>
        <w:widowControl w:val="0"/>
        <w:kinsoku/>
        <w:overflowPunct/>
        <w:topLinePunct w:val="0"/>
        <w:autoSpaceDE/>
        <w:autoSpaceDN/>
        <w:bidi w:val="0"/>
        <w:ind w:firstLine="0" w:firstLineChars="0"/>
        <w:textAlignment w:val="auto"/>
        <w:rPr>
          <w:u w:val="none"/>
        </w:rPr>
        <w:sectPr>
          <w:headerReference r:id="rId5" w:type="first"/>
          <w:footerReference r:id="rId6" w:type="first"/>
          <w:pgSz w:w="11906" w:h="16838"/>
          <w:pgMar w:top="1491" w:right="1809" w:bottom="991" w:left="1800" w:header="850" w:footer="850" w:gutter="0"/>
          <w:cols w:space="720" w:num="1"/>
          <w:docGrid w:linePitch="435" w:charSpace="0"/>
        </w:sectPr>
      </w:pPr>
    </w:p>
    <w:sdt>
      <w:sdtPr>
        <w:rPr>
          <w:rFonts w:ascii="Times New Roman" w:hAnsi="Times New Roman" w:eastAsia="黑体" w:cs="Times New Roman"/>
          <w:kern w:val="2"/>
          <w:sz w:val="32"/>
          <w:szCs w:val="22"/>
          <w:u w:val="none"/>
          <w:lang w:val="en-US" w:eastAsia="zh-CN" w:bidi="ar-SA"/>
        </w:rPr>
        <w:id w:val="147474843"/>
        <w15:color w:val="DBDBDB"/>
        <w:docPartObj>
          <w:docPartGallery w:val="Table of Contents"/>
          <w:docPartUnique/>
        </w:docPartObj>
      </w:sdtPr>
      <w:sdtEndPr>
        <w:rPr>
          <w:rFonts w:ascii="宋体" w:hAnsi="宋体" w:eastAsia="宋体" w:cs="Times New Roman"/>
          <w:kern w:val="2"/>
          <w:sz w:val="21"/>
          <w:szCs w:val="22"/>
          <w:u w:val="none"/>
          <w:lang w:val="en-US" w:eastAsia="zh-CN" w:bidi="ar-SA"/>
        </w:rPr>
      </w:sdtEndPr>
      <w:sdtContent>
        <w:p w14:paraId="34ECA17D">
          <w:pPr>
            <w:keepNext w:val="0"/>
            <w:keepLines w:val="0"/>
            <w:pageBreakBefore w:val="0"/>
            <w:widowControl w:val="0"/>
            <w:kinsoku/>
            <w:overflowPunct/>
            <w:topLinePunct w:val="0"/>
            <w:autoSpaceDE/>
            <w:autoSpaceDN/>
            <w:bidi w:val="0"/>
            <w:spacing w:line="600" w:lineRule="exact"/>
            <w:jc w:val="center"/>
            <w:textAlignment w:val="auto"/>
            <w:rPr>
              <w:rFonts w:eastAsia="黑体"/>
              <w:u w:val="none"/>
            </w:rPr>
          </w:pPr>
        </w:p>
        <w:p w14:paraId="14C892AA">
          <w:pPr>
            <w:keepNext w:val="0"/>
            <w:keepLines w:val="0"/>
            <w:pageBreakBefore w:val="0"/>
            <w:widowControl w:val="0"/>
            <w:kinsoku/>
            <w:overflowPunct/>
            <w:topLinePunct w:val="0"/>
            <w:autoSpaceDE/>
            <w:autoSpaceDN/>
            <w:bidi w:val="0"/>
            <w:spacing w:line="600" w:lineRule="exact"/>
            <w:jc w:val="center"/>
            <w:textAlignment w:val="auto"/>
            <w:rPr>
              <w:rFonts w:eastAsia="方正小标宋_GBK"/>
              <w:sz w:val="36"/>
              <w:szCs w:val="36"/>
              <w:u w:val="none"/>
            </w:rPr>
          </w:pPr>
          <w:r>
            <w:rPr>
              <w:rFonts w:eastAsia="方正小标宋_GBK"/>
              <w:sz w:val="36"/>
              <w:szCs w:val="36"/>
              <w:u w:val="none"/>
            </w:rPr>
            <w:t>目</w:t>
          </w:r>
          <w:r>
            <w:rPr>
              <w:rFonts w:hint="eastAsia" w:eastAsia="方正小标宋_GBK"/>
              <w:sz w:val="36"/>
              <w:szCs w:val="36"/>
              <w:u w:val="none"/>
              <w:lang w:val="en-US" w:eastAsia="zh-CN"/>
            </w:rPr>
            <w:t xml:space="preserve"> </w:t>
          </w:r>
          <w:r>
            <w:rPr>
              <w:rFonts w:hint="eastAsia" w:eastAsia="方正小标宋_GBK"/>
              <w:sz w:val="36"/>
              <w:szCs w:val="36"/>
              <w:u w:val="none"/>
            </w:rPr>
            <w:t xml:space="preserve"> </w:t>
          </w:r>
          <w:r>
            <w:rPr>
              <w:rFonts w:eastAsia="方正小标宋_GBK"/>
              <w:sz w:val="36"/>
              <w:szCs w:val="36"/>
              <w:u w:val="none"/>
            </w:rPr>
            <w:t>录</w:t>
          </w:r>
        </w:p>
        <w:p w14:paraId="5F67147F">
          <w:pPr>
            <w:widowControl w:val="0"/>
            <w:tabs>
              <w:tab w:val="right" w:leader="dot" w:pos="8297"/>
            </w:tabs>
            <w:adjustRightInd w:val="0"/>
            <w:snapToGrid w:val="0"/>
            <w:spacing w:line="360" w:lineRule="auto"/>
            <w:ind w:firstLine="0" w:firstLineChars="0"/>
            <w:jc w:val="both"/>
            <w:rPr>
              <w:rFonts w:hint="default" w:ascii="Times New Roman" w:hAnsi="Times New Roman" w:eastAsia="黑体" w:cs="Times New Roman"/>
              <w:kern w:val="2"/>
              <w:sz w:val="32"/>
              <w:szCs w:val="22"/>
              <w:u w:val="none"/>
              <w:lang w:val="en-US" w:eastAsia="zh-CN" w:bidi="ar-SA"/>
            </w:rPr>
          </w:pPr>
          <w:r>
            <w:rPr>
              <w:rFonts w:ascii="Times New Roman" w:hAnsi="Times New Roman" w:eastAsia="黑体" w:cs="Times New Roman"/>
              <w:kern w:val="2"/>
              <w:sz w:val="32"/>
              <w:szCs w:val="22"/>
              <w:u w:val="none"/>
              <w:lang w:val="en-US" w:eastAsia="zh-CN" w:bidi="ar-SA"/>
            </w:rPr>
            <w:fldChar w:fldCharType="begin"/>
          </w:r>
          <w:r>
            <w:rPr>
              <w:rFonts w:ascii="Times New Roman" w:hAnsi="Times New Roman" w:eastAsia="黑体" w:cs="Times New Roman"/>
              <w:kern w:val="2"/>
              <w:sz w:val="32"/>
              <w:szCs w:val="22"/>
              <w:u w:val="none"/>
              <w:lang w:val="en-US" w:eastAsia="zh-CN" w:bidi="ar-SA"/>
            </w:rPr>
            <w:instrText xml:space="preserve"> TOC \o "1-2" \h \z \u </w:instrText>
          </w:r>
          <w:r>
            <w:rPr>
              <w:rFonts w:ascii="Times New Roman" w:hAnsi="Times New Roman" w:eastAsia="黑体" w:cs="Times New Roman"/>
              <w:kern w:val="2"/>
              <w:sz w:val="32"/>
              <w:szCs w:val="22"/>
              <w:u w:val="none"/>
              <w:lang w:val="en-US" w:eastAsia="zh-CN" w:bidi="ar-SA"/>
            </w:rPr>
            <w:fldChar w:fldCharType="separate"/>
          </w:r>
          <w:r>
            <w:rPr>
              <w:rFonts w:hint="default" w:ascii="Times New Roman" w:hAnsi="Times New Roman" w:eastAsia="黑体" w:cs="Times New Roman"/>
              <w:kern w:val="2"/>
              <w:sz w:val="32"/>
              <w:szCs w:val="22"/>
              <w:u w:val="none"/>
              <w:lang w:val="en-US" w:eastAsia="zh-CN" w:bidi="ar-SA"/>
            </w:rPr>
            <w:fldChar w:fldCharType="begin"/>
          </w:r>
          <w:r>
            <w:rPr>
              <w:rFonts w:hint="default" w:ascii="Times New Roman" w:hAnsi="Times New Roman" w:eastAsia="黑体" w:cs="Times New Roman"/>
              <w:kern w:val="2"/>
              <w:sz w:val="32"/>
              <w:szCs w:val="22"/>
              <w:u w:val="none"/>
              <w:lang w:val="en-US" w:eastAsia="zh-CN" w:bidi="ar-SA"/>
            </w:rPr>
            <w:instrText xml:space="preserve"> HYPERLINK \l _Toc7669 </w:instrText>
          </w:r>
          <w:r>
            <w:rPr>
              <w:rFonts w:hint="default" w:ascii="Times New Roman" w:hAnsi="Times New Roman" w:eastAsia="黑体" w:cs="Times New Roman"/>
              <w:kern w:val="2"/>
              <w:sz w:val="32"/>
              <w:szCs w:val="22"/>
              <w:u w:val="none"/>
              <w:lang w:val="en-US" w:eastAsia="zh-CN" w:bidi="ar-SA"/>
            </w:rPr>
            <w:fldChar w:fldCharType="separate"/>
          </w:r>
          <w:r>
            <w:rPr>
              <w:rFonts w:hint="default" w:ascii="Times New Roman" w:hAnsi="Times New Roman" w:eastAsia="黑体" w:cs="Times New Roman"/>
              <w:kern w:val="2"/>
              <w:sz w:val="32"/>
              <w:szCs w:val="22"/>
              <w:u w:val="none"/>
              <w:lang w:val="en-US" w:eastAsia="zh-CN" w:bidi="ar-SA"/>
            </w:rPr>
            <w:t>前言</w:t>
          </w:r>
          <w:r>
            <w:rPr>
              <w:rFonts w:hint="default" w:ascii="Times New Roman" w:hAnsi="Times New Roman" w:eastAsia="黑体" w:cs="Times New Roman"/>
              <w:kern w:val="2"/>
              <w:sz w:val="32"/>
              <w:szCs w:val="22"/>
              <w:u w:val="none"/>
              <w:lang w:val="en-US" w:eastAsia="zh-CN" w:bidi="ar-SA"/>
            </w:rPr>
            <w:tab/>
          </w:r>
          <w:r>
            <w:rPr>
              <w:rFonts w:hint="default" w:ascii="Times New Roman" w:hAnsi="Times New Roman" w:eastAsia="黑体" w:cs="Times New Roman"/>
              <w:kern w:val="2"/>
              <w:sz w:val="32"/>
              <w:szCs w:val="22"/>
              <w:u w:val="none"/>
              <w:lang w:val="en-US" w:eastAsia="zh-CN" w:bidi="ar-SA"/>
            </w:rPr>
            <w:fldChar w:fldCharType="begin"/>
          </w:r>
          <w:r>
            <w:rPr>
              <w:rFonts w:hint="default" w:ascii="Times New Roman" w:hAnsi="Times New Roman" w:eastAsia="黑体" w:cs="Times New Roman"/>
              <w:kern w:val="2"/>
              <w:sz w:val="32"/>
              <w:szCs w:val="22"/>
              <w:u w:val="none"/>
              <w:lang w:val="en-US" w:eastAsia="zh-CN" w:bidi="ar-SA"/>
            </w:rPr>
            <w:instrText xml:space="preserve"> PAGEREF _Toc7669 \h </w:instrText>
          </w:r>
          <w:r>
            <w:rPr>
              <w:rFonts w:hint="default" w:ascii="Times New Roman" w:hAnsi="Times New Roman" w:eastAsia="黑体" w:cs="Times New Roman"/>
              <w:kern w:val="2"/>
              <w:sz w:val="32"/>
              <w:szCs w:val="22"/>
              <w:u w:val="none"/>
              <w:lang w:val="en-US" w:eastAsia="zh-CN" w:bidi="ar-SA"/>
            </w:rPr>
            <w:fldChar w:fldCharType="separate"/>
          </w:r>
          <w:r>
            <w:rPr>
              <w:rFonts w:hint="default" w:ascii="Times New Roman" w:hAnsi="Times New Roman" w:eastAsia="黑体" w:cs="Times New Roman"/>
              <w:kern w:val="2"/>
              <w:sz w:val="32"/>
              <w:szCs w:val="22"/>
              <w:u w:val="none"/>
              <w:lang w:val="en-US" w:eastAsia="zh-CN" w:bidi="ar-SA"/>
            </w:rPr>
            <w:t>1</w:t>
          </w:r>
          <w:r>
            <w:rPr>
              <w:rFonts w:hint="default" w:ascii="Times New Roman" w:hAnsi="Times New Roman" w:eastAsia="黑体" w:cs="Times New Roman"/>
              <w:kern w:val="2"/>
              <w:sz w:val="32"/>
              <w:szCs w:val="22"/>
              <w:u w:val="none"/>
              <w:lang w:val="en-US" w:eastAsia="zh-CN" w:bidi="ar-SA"/>
            </w:rPr>
            <w:fldChar w:fldCharType="end"/>
          </w:r>
          <w:r>
            <w:rPr>
              <w:rFonts w:hint="default" w:ascii="Times New Roman" w:hAnsi="Times New Roman" w:eastAsia="黑体" w:cs="Times New Roman"/>
              <w:kern w:val="2"/>
              <w:sz w:val="32"/>
              <w:szCs w:val="22"/>
              <w:u w:val="none"/>
              <w:lang w:val="en-US" w:eastAsia="zh-CN" w:bidi="ar-SA"/>
            </w:rPr>
            <w:fldChar w:fldCharType="end"/>
          </w:r>
        </w:p>
        <w:p w14:paraId="2CB0ED08">
          <w:pPr>
            <w:widowControl w:val="0"/>
            <w:tabs>
              <w:tab w:val="right" w:leader="dot" w:pos="8297"/>
            </w:tabs>
            <w:adjustRightInd w:val="0"/>
            <w:snapToGrid w:val="0"/>
            <w:spacing w:line="360" w:lineRule="auto"/>
            <w:ind w:firstLine="0" w:firstLineChars="0"/>
            <w:jc w:val="both"/>
            <w:rPr>
              <w:rFonts w:hint="default" w:ascii="Times New Roman" w:hAnsi="Times New Roman" w:eastAsia="黑体" w:cs="Times New Roman"/>
              <w:kern w:val="2"/>
              <w:sz w:val="32"/>
              <w:szCs w:val="22"/>
              <w:u w:val="none"/>
              <w:lang w:val="en-US" w:eastAsia="zh-CN" w:bidi="ar-SA"/>
            </w:rPr>
          </w:pPr>
          <w:r>
            <w:rPr>
              <w:rFonts w:hint="default" w:ascii="Times New Roman" w:hAnsi="Times New Roman" w:eastAsia="黑体" w:cs="Times New Roman"/>
              <w:kern w:val="2"/>
              <w:sz w:val="32"/>
              <w:szCs w:val="22"/>
              <w:u w:val="none"/>
              <w:lang w:val="en-US" w:eastAsia="zh-CN" w:bidi="ar-SA"/>
            </w:rPr>
            <w:fldChar w:fldCharType="begin"/>
          </w:r>
          <w:r>
            <w:rPr>
              <w:rFonts w:hint="default" w:ascii="Times New Roman" w:hAnsi="Times New Roman" w:eastAsia="黑体" w:cs="Times New Roman"/>
              <w:kern w:val="2"/>
              <w:sz w:val="32"/>
              <w:szCs w:val="22"/>
              <w:u w:val="none"/>
              <w:lang w:val="en-US" w:eastAsia="zh-CN" w:bidi="ar-SA"/>
            </w:rPr>
            <w:instrText xml:space="preserve"> HYPERLINK \l _Toc129 </w:instrText>
          </w:r>
          <w:r>
            <w:rPr>
              <w:rFonts w:hint="default" w:ascii="Times New Roman" w:hAnsi="Times New Roman" w:eastAsia="黑体" w:cs="Times New Roman"/>
              <w:kern w:val="2"/>
              <w:sz w:val="32"/>
              <w:szCs w:val="22"/>
              <w:u w:val="none"/>
              <w:lang w:val="en-US" w:eastAsia="zh-CN" w:bidi="ar-SA"/>
            </w:rPr>
            <w:fldChar w:fldCharType="separate"/>
          </w:r>
          <w:r>
            <w:rPr>
              <w:rFonts w:hint="default" w:ascii="Times New Roman" w:hAnsi="Times New Roman" w:eastAsia="黑体" w:cs="Times New Roman"/>
              <w:kern w:val="2"/>
              <w:sz w:val="32"/>
              <w:szCs w:val="22"/>
              <w:u w:val="none"/>
              <w:lang w:val="en-US" w:eastAsia="zh-CN" w:bidi="ar-SA"/>
            </w:rPr>
            <w:t>第一章 总则</w:t>
          </w:r>
          <w:r>
            <w:rPr>
              <w:rFonts w:hint="default" w:ascii="Times New Roman" w:hAnsi="Times New Roman" w:eastAsia="黑体" w:cs="Times New Roman"/>
              <w:kern w:val="2"/>
              <w:sz w:val="32"/>
              <w:szCs w:val="22"/>
              <w:u w:val="none"/>
              <w:lang w:val="en-US" w:eastAsia="zh-CN" w:bidi="ar-SA"/>
            </w:rPr>
            <w:tab/>
          </w:r>
          <w:r>
            <w:rPr>
              <w:rFonts w:hint="default" w:ascii="Times New Roman" w:hAnsi="Times New Roman" w:eastAsia="黑体" w:cs="Times New Roman"/>
              <w:kern w:val="2"/>
              <w:sz w:val="32"/>
              <w:szCs w:val="22"/>
              <w:u w:val="none"/>
              <w:lang w:val="en-US" w:eastAsia="zh-CN" w:bidi="ar-SA"/>
            </w:rPr>
            <w:fldChar w:fldCharType="begin"/>
          </w:r>
          <w:r>
            <w:rPr>
              <w:rFonts w:hint="default" w:ascii="Times New Roman" w:hAnsi="Times New Roman" w:eastAsia="黑体" w:cs="Times New Roman"/>
              <w:kern w:val="2"/>
              <w:sz w:val="32"/>
              <w:szCs w:val="22"/>
              <w:u w:val="none"/>
              <w:lang w:val="en-US" w:eastAsia="zh-CN" w:bidi="ar-SA"/>
            </w:rPr>
            <w:instrText xml:space="preserve"> PAGEREF _Toc129 \h </w:instrText>
          </w:r>
          <w:r>
            <w:rPr>
              <w:rFonts w:hint="default" w:ascii="Times New Roman" w:hAnsi="Times New Roman" w:eastAsia="黑体" w:cs="Times New Roman"/>
              <w:kern w:val="2"/>
              <w:sz w:val="32"/>
              <w:szCs w:val="22"/>
              <w:u w:val="none"/>
              <w:lang w:val="en-US" w:eastAsia="zh-CN" w:bidi="ar-SA"/>
            </w:rPr>
            <w:fldChar w:fldCharType="separate"/>
          </w:r>
          <w:r>
            <w:rPr>
              <w:rFonts w:hint="default" w:ascii="Times New Roman" w:hAnsi="Times New Roman" w:eastAsia="黑体" w:cs="Times New Roman"/>
              <w:kern w:val="2"/>
              <w:sz w:val="32"/>
              <w:szCs w:val="22"/>
              <w:u w:val="none"/>
              <w:lang w:val="en-US" w:eastAsia="zh-CN" w:bidi="ar-SA"/>
            </w:rPr>
            <w:t>2</w:t>
          </w:r>
          <w:r>
            <w:rPr>
              <w:rFonts w:hint="default" w:ascii="Times New Roman" w:hAnsi="Times New Roman" w:eastAsia="黑体" w:cs="Times New Roman"/>
              <w:kern w:val="2"/>
              <w:sz w:val="32"/>
              <w:szCs w:val="22"/>
              <w:u w:val="none"/>
              <w:lang w:val="en-US" w:eastAsia="zh-CN" w:bidi="ar-SA"/>
            </w:rPr>
            <w:fldChar w:fldCharType="end"/>
          </w:r>
          <w:r>
            <w:rPr>
              <w:rFonts w:hint="default" w:ascii="Times New Roman" w:hAnsi="Times New Roman" w:eastAsia="黑体" w:cs="Times New Roman"/>
              <w:kern w:val="2"/>
              <w:sz w:val="32"/>
              <w:szCs w:val="22"/>
              <w:u w:val="none"/>
              <w:lang w:val="en-US" w:eastAsia="zh-CN" w:bidi="ar-SA"/>
            </w:rPr>
            <w:fldChar w:fldCharType="end"/>
          </w:r>
        </w:p>
        <w:p w14:paraId="741BCF35">
          <w:pPr>
            <w:widowControl w:val="0"/>
            <w:tabs>
              <w:tab w:val="right" w:leader="dot" w:pos="8297"/>
            </w:tabs>
            <w:adjustRightInd w:val="0"/>
            <w:snapToGrid w:val="0"/>
            <w:spacing w:line="360" w:lineRule="auto"/>
            <w:ind w:firstLine="0" w:firstLineChars="0"/>
            <w:jc w:val="both"/>
            <w:rPr>
              <w:rFonts w:hint="default" w:ascii="Times New Roman" w:hAnsi="Times New Roman" w:eastAsia="黑体" w:cs="Times New Roman"/>
              <w:kern w:val="2"/>
              <w:sz w:val="32"/>
              <w:szCs w:val="22"/>
              <w:u w:val="none"/>
              <w:lang w:val="en-US" w:eastAsia="zh-CN" w:bidi="ar-SA"/>
            </w:rPr>
          </w:pPr>
          <w:r>
            <w:rPr>
              <w:rFonts w:hint="default" w:ascii="Times New Roman" w:hAnsi="Times New Roman" w:eastAsia="黑体" w:cs="Times New Roman"/>
              <w:kern w:val="2"/>
              <w:sz w:val="32"/>
              <w:szCs w:val="22"/>
              <w:u w:val="none"/>
              <w:lang w:val="en-US" w:eastAsia="zh-CN" w:bidi="ar-SA"/>
            </w:rPr>
            <w:fldChar w:fldCharType="begin"/>
          </w:r>
          <w:r>
            <w:rPr>
              <w:rFonts w:hint="default" w:ascii="Times New Roman" w:hAnsi="Times New Roman" w:eastAsia="黑体" w:cs="Times New Roman"/>
              <w:kern w:val="2"/>
              <w:sz w:val="32"/>
              <w:szCs w:val="22"/>
              <w:u w:val="none"/>
              <w:lang w:val="en-US" w:eastAsia="zh-CN" w:bidi="ar-SA"/>
            </w:rPr>
            <w:instrText xml:space="preserve"> HYPERLINK \l _Toc2245 </w:instrText>
          </w:r>
          <w:r>
            <w:rPr>
              <w:rFonts w:hint="default" w:ascii="Times New Roman" w:hAnsi="Times New Roman" w:eastAsia="黑体" w:cs="Times New Roman"/>
              <w:kern w:val="2"/>
              <w:sz w:val="32"/>
              <w:szCs w:val="22"/>
              <w:u w:val="none"/>
              <w:lang w:val="en-US" w:eastAsia="zh-CN" w:bidi="ar-SA"/>
            </w:rPr>
            <w:fldChar w:fldCharType="separate"/>
          </w:r>
          <w:r>
            <w:rPr>
              <w:rFonts w:hint="default" w:ascii="Times New Roman" w:hAnsi="Times New Roman" w:eastAsia="黑体" w:cs="Times New Roman"/>
              <w:kern w:val="2"/>
              <w:sz w:val="32"/>
              <w:szCs w:val="22"/>
              <w:u w:val="none"/>
              <w:lang w:val="en-US" w:eastAsia="zh-CN" w:bidi="ar-SA"/>
            </w:rPr>
            <w:t>第二章  现状分析与问题识别</w:t>
          </w:r>
          <w:r>
            <w:rPr>
              <w:rFonts w:hint="default" w:ascii="Times New Roman" w:hAnsi="Times New Roman" w:eastAsia="黑体" w:cs="Times New Roman"/>
              <w:kern w:val="2"/>
              <w:sz w:val="32"/>
              <w:szCs w:val="22"/>
              <w:u w:val="none"/>
              <w:lang w:val="en-US" w:eastAsia="zh-CN" w:bidi="ar-SA"/>
            </w:rPr>
            <w:tab/>
          </w:r>
          <w:r>
            <w:rPr>
              <w:rFonts w:hint="default" w:ascii="Times New Roman" w:hAnsi="Times New Roman" w:eastAsia="黑体" w:cs="Times New Roman"/>
              <w:kern w:val="2"/>
              <w:sz w:val="32"/>
              <w:szCs w:val="22"/>
              <w:u w:val="none"/>
              <w:lang w:val="en-US" w:eastAsia="zh-CN" w:bidi="ar-SA"/>
            </w:rPr>
            <w:fldChar w:fldCharType="begin"/>
          </w:r>
          <w:r>
            <w:rPr>
              <w:rFonts w:hint="default" w:ascii="Times New Roman" w:hAnsi="Times New Roman" w:eastAsia="黑体" w:cs="Times New Roman"/>
              <w:kern w:val="2"/>
              <w:sz w:val="32"/>
              <w:szCs w:val="22"/>
              <w:u w:val="none"/>
              <w:lang w:val="en-US" w:eastAsia="zh-CN" w:bidi="ar-SA"/>
            </w:rPr>
            <w:instrText xml:space="preserve"> PAGEREF _Toc2245 \h </w:instrText>
          </w:r>
          <w:r>
            <w:rPr>
              <w:rFonts w:hint="default" w:ascii="Times New Roman" w:hAnsi="Times New Roman" w:eastAsia="黑体" w:cs="Times New Roman"/>
              <w:kern w:val="2"/>
              <w:sz w:val="32"/>
              <w:szCs w:val="22"/>
              <w:u w:val="none"/>
              <w:lang w:val="en-US" w:eastAsia="zh-CN" w:bidi="ar-SA"/>
            </w:rPr>
            <w:fldChar w:fldCharType="separate"/>
          </w:r>
          <w:r>
            <w:rPr>
              <w:rFonts w:hint="default" w:ascii="Times New Roman" w:hAnsi="Times New Roman" w:eastAsia="黑体" w:cs="Times New Roman"/>
              <w:kern w:val="2"/>
              <w:sz w:val="32"/>
              <w:szCs w:val="22"/>
              <w:u w:val="none"/>
              <w:lang w:val="en-US" w:eastAsia="zh-CN" w:bidi="ar-SA"/>
            </w:rPr>
            <w:t>9</w:t>
          </w:r>
          <w:r>
            <w:rPr>
              <w:rFonts w:hint="default" w:ascii="Times New Roman" w:hAnsi="Times New Roman" w:eastAsia="黑体" w:cs="Times New Roman"/>
              <w:kern w:val="2"/>
              <w:sz w:val="32"/>
              <w:szCs w:val="22"/>
              <w:u w:val="none"/>
              <w:lang w:val="en-US" w:eastAsia="zh-CN" w:bidi="ar-SA"/>
            </w:rPr>
            <w:fldChar w:fldCharType="end"/>
          </w:r>
          <w:r>
            <w:rPr>
              <w:rFonts w:hint="default" w:ascii="Times New Roman" w:hAnsi="Times New Roman" w:eastAsia="黑体" w:cs="Times New Roman"/>
              <w:kern w:val="2"/>
              <w:sz w:val="32"/>
              <w:szCs w:val="22"/>
              <w:u w:val="none"/>
              <w:lang w:val="en-US" w:eastAsia="zh-CN" w:bidi="ar-SA"/>
            </w:rPr>
            <w:fldChar w:fldCharType="end"/>
          </w:r>
        </w:p>
        <w:p w14:paraId="369BE214">
          <w:pPr>
            <w:widowControl w:val="0"/>
            <w:tabs>
              <w:tab w:val="right" w:leader="dot" w:pos="8297"/>
            </w:tabs>
            <w:adjustRightInd w:val="0"/>
            <w:snapToGrid w:val="0"/>
            <w:spacing w:line="360" w:lineRule="auto"/>
            <w:ind w:firstLine="640" w:firstLineChars="200"/>
            <w:jc w:val="left"/>
            <w:rPr>
              <w:rFonts w:hint="default" w:ascii="Times New Roman" w:hAnsi="Times New Roman" w:eastAsia="仿宋_GB2312" w:cs="Times New Roman"/>
              <w:kern w:val="2"/>
              <w:sz w:val="32"/>
              <w:szCs w:val="22"/>
              <w:u w:val="none"/>
              <w:lang w:val="en-US" w:eastAsia="zh-CN" w:bidi="ar-SA"/>
            </w:rPr>
          </w:pP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HYPERLINK \l _Toc24816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第一节 区域概况</w:t>
          </w:r>
          <w:r>
            <w:rPr>
              <w:rFonts w:hint="default" w:ascii="Times New Roman" w:hAnsi="Times New Roman" w:eastAsia="仿宋_GB2312" w:cs="Times New Roman"/>
              <w:kern w:val="2"/>
              <w:sz w:val="32"/>
              <w:szCs w:val="22"/>
              <w:u w:val="none"/>
              <w:lang w:val="en-US" w:eastAsia="zh-CN" w:bidi="ar-SA"/>
            </w:rPr>
            <w:tab/>
          </w: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PAGEREF _Toc24816 \h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9</w:t>
          </w:r>
          <w:r>
            <w:rPr>
              <w:rFonts w:hint="default" w:ascii="Times New Roman" w:hAnsi="Times New Roman" w:eastAsia="仿宋_GB2312" w:cs="Times New Roman"/>
              <w:kern w:val="2"/>
              <w:sz w:val="32"/>
              <w:szCs w:val="22"/>
              <w:u w:val="none"/>
              <w:lang w:val="en-US" w:eastAsia="zh-CN" w:bidi="ar-SA"/>
            </w:rPr>
            <w:fldChar w:fldCharType="end"/>
          </w:r>
          <w:r>
            <w:rPr>
              <w:rFonts w:hint="default" w:ascii="Times New Roman" w:hAnsi="Times New Roman" w:eastAsia="仿宋_GB2312" w:cs="Times New Roman"/>
              <w:kern w:val="2"/>
              <w:sz w:val="32"/>
              <w:szCs w:val="22"/>
              <w:u w:val="none"/>
              <w:lang w:val="en-US" w:eastAsia="zh-CN" w:bidi="ar-SA"/>
            </w:rPr>
            <w:fldChar w:fldCharType="end"/>
          </w:r>
        </w:p>
        <w:p w14:paraId="026112DA">
          <w:pPr>
            <w:widowControl w:val="0"/>
            <w:tabs>
              <w:tab w:val="right" w:leader="dot" w:pos="8297"/>
            </w:tabs>
            <w:adjustRightInd w:val="0"/>
            <w:snapToGrid w:val="0"/>
            <w:spacing w:line="360" w:lineRule="auto"/>
            <w:ind w:firstLine="640" w:firstLineChars="200"/>
            <w:jc w:val="left"/>
            <w:rPr>
              <w:rFonts w:hint="default" w:ascii="Times New Roman" w:hAnsi="Times New Roman" w:eastAsia="仿宋_GB2312" w:cs="Times New Roman"/>
              <w:kern w:val="2"/>
              <w:sz w:val="32"/>
              <w:szCs w:val="22"/>
              <w:u w:val="none"/>
              <w:lang w:val="en-US" w:eastAsia="zh-CN" w:bidi="ar-SA"/>
            </w:rPr>
          </w:pP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HYPERLINK \l _Toc17275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第二节 问题和风险挑战</w:t>
          </w:r>
          <w:r>
            <w:rPr>
              <w:rFonts w:hint="default" w:ascii="Times New Roman" w:hAnsi="Times New Roman" w:eastAsia="仿宋_GB2312" w:cs="Times New Roman"/>
              <w:kern w:val="2"/>
              <w:sz w:val="32"/>
              <w:szCs w:val="22"/>
              <w:u w:val="none"/>
              <w:lang w:val="en-US" w:eastAsia="zh-CN" w:bidi="ar-SA"/>
            </w:rPr>
            <w:tab/>
          </w: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PAGEREF _Toc17275 \h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10</w:t>
          </w:r>
          <w:r>
            <w:rPr>
              <w:rFonts w:hint="default" w:ascii="Times New Roman" w:hAnsi="Times New Roman" w:eastAsia="仿宋_GB2312" w:cs="Times New Roman"/>
              <w:kern w:val="2"/>
              <w:sz w:val="32"/>
              <w:szCs w:val="22"/>
              <w:u w:val="none"/>
              <w:lang w:val="en-US" w:eastAsia="zh-CN" w:bidi="ar-SA"/>
            </w:rPr>
            <w:fldChar w:fldCharType="end"/>
          </w:r>
          <w:r>
            <w:rPr>
              <w:rFonts w:hint="default" w:ascii="Times New Roman" w:hAnsi="Times New Roman" w:eastAsia="仿宋_GB2312" w:cs="Times New Roman"/>
              <w:kern w:val="2"/>
              <w:sz w:val="32"/>
              <w:szCs w:val="22"/>
              <w:u w:val="none"/>
              <w:lang w:val="en-US" w:eastAsia="zh-CN" w:bidi="ar-SA"/>
            </w:rPr>
            <w:fldChar w:fldCharType="end"/>
          </w:r>
        </w:p>
        <w:p w14:paraId="3FC284F5">
          <w:pPr>
            <w:widowControl w:val="0"/>
            <w:tabs>
              <w:tab w:val="right" w:leader="dot" w:pos="8297"/>
            </w:tabs>
            <w:adjustRightInd w:val="0"/>
            <w:snapToGrid w:val="0"/>
            <w:spacing w:line="360" w:lineRule="auto"/>
            <w:ind w:firstLine="640" w:firstLineChars="200"/>
            <w:jc w:val="left"/>
            <w:rPr>
              <w:rFonts w:hint="default" w:ascii="Times New Roman" w:hAnsi="Times New Roman" w:eastAsia="仿宋_GB2312" w:cs="Times New Roman"/>
              <w:kern w:val="2"/>
              <w:sz w:val="32"/>
              <w:szCs w:val="22"/>
              <w:u w:val="none"/>
              <w:lang w:val="en-US" w:eastAsia="zh-CN" w:bidi="ar-SA"/>
            </w:rPr>
          </w:pP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HYPERLINK \l _Toc24806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第三节 机遇使命</w:t>
          </w:r>
          <w:r>
            <w:rPr>
              <w:rFonts w:hint="default" w:ascii="Times New Roman" w:hAnsi="Times New Roman" w:eastAsia="仿宋_GB2312" w:cs="Times New Roman"/>
              <w:kern w:val="2"/>
              <w:sz w:val="32"/>
              <w:szCs w:val="22"/>
              <w:u w:val="none"/>
              <w:lang w:val="en-US" w:eastAsia="zh-CN" w:bidi="ar-SA"/>
            </w:rPr>
            <w:tab/>
          </w: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PAGEREF _Toc24806 \h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12</w:t>
          </w:r>
          <w:r>
            <w:rPr>
              <w:rFonts w:hint="default" w:ascii="Times New Roman" w:hAnsi="Times New Roman" w:eastAsia="仿宋_GB2312" w:cs="Times New Roman"/>
              <w:kern w:val="2"/>
              <w:sz w:val="32"/>
              <w:szCs w:val="22"/>
              <w:u w:val="none"/>
              <w:lang w:val="en-US" w:eastAsia="zh-CN" w:bidi="ar-SA"/>
            </w:rPr>
            <w:fldChar w:fldCharType="end"/>
          </w:r>
          <w:r>
            <w:rPr>
              <w:rFonts w:hint="default" w:ascii="Times New Roman" w:hAnsi="Times New Roman" w:eastAsia="仿宋_GB2312" w:cs="Times New Roman"/>
              <w:kern w:val="2"/>
              <w:sz w:val="32"/>
              <w:szCs w:val="22"/>
              <w:u w:val="none"/>
              <w:lang w:val="en-US" w:eastAsia="zh-CN" w:bidi="ar-SA"/>
            </w:rPr>
            <w:fldChar w:fldCharType="end"/>
          </w:r>
        </w:p>
        <w:p w14:paraId="69985864">
          <w:pPr>
            <w:widowControl w:val="0"/>
            <w:tabs>
              <w:tab w:val="right" w:leader="dot" w:pos="8297"/>
            </w:tabs>
            <w:adjustRightInd w:val="0"/>
            <w:snapToGrid w:val="0"/>
            <w:spacing w:line="360" w:lineRule="auto"/>
            <w:ind w:firstLine="0" w:firstLineChars="0"/>
            <w:jc w:val="both"/>
            <w:rPr>
              <w:rFonts w:hint="default" w:ascii="Times New Roman" w:hAnsi="Times New Roman" w:eastAsia="黑体" w:cs="Times New Roman"/>
              <w:kern w:val="2"/>
              <w:sz w:val="32"/>
              <w:szCs w:val="22"/>
              <w:u w:val="none"/>
              <w:lang w:val="en-US" w:eastAsia="zh-CN" w:bidi="ar-SA"/>
            </w:rPr>
          </w:pPr>
          <w:r>
            <w:rPr>
              <w:rFonts w:hint="default" w:ascii="Times New Roman" w:hAnsi="Times New Roman" w:eastAsia="黑体" w:cs="Times New Roman"/>
              <w:kern w:val="2"/>
              <w:sz w:val="32"/>
              <w:szCs w:val="22"/>
              <w:u w:val="none"/>
              <w:lang w:val="en-US" w:eastAsia="zh-CN" w:bidi="ar-SA"/>
            </w:rPr>
            <w:fldChar w:fldCharType="begin"/>
          </w:r>
          <w:r>
            <w:rPr>
              <w:rFonts w:hint="default" w:ascii="Times New Roman" w:hAnsi="Times New Roman" w:eastAsia="黑体" w:cs="Times New Roman"/>
              <w:kern w:val="2"/>
              <w:sz w:val="32"/>
              <w:szCs w:val="22"/>
              <w:u w:val="none"/>
              <w:lang w:val="en-US" w:eastAsia="zh-CN" w:bidi="ar-SA"/>
            </w:rPr>
            <w:instrText xml:space="preserve"> HYPERLINK \l _Toc26352 </w:instrText>
          </w:r>
          <w:r>
            <w:rPr>
              <w:rFonts w:hint="default" w:ascii="Times New Roman" w:hAnsi="Times New Roman" w:eastAsia="黑体" w:cs="Times New Roman"/>
              <w:kern w:val="2"/>
              <w:sz w:val="32"/>
              <w:szCs w:val="22"/>
              <w:u w:val="none"/>
              <w:lang w:val="en-US" w:eastAsia="zh-CN" w:bidi="ar-SA"/>
            </w:rPr>
            <w:fldChar w:fldCharType="separate"/>
          </w:r>
          <w:r>
            <w:rPr>
              <w:rFonts w:hint="default" w:ascii="Times New Roman" w:hAnsi="Times New Roman" w:eastAsia="黑体" w:cs="Times New Roman"/>
              <w:kern w:val="2"/>
              <w:sz w:val="32"/>
              <w:szCs w:val="22"/>
              <w:u w:val="none"/>
              <w:lang w:val="en-US" w:eastAsia="zh-CN" w:bidi="ar-SA"/>
            </w:rPr>
            <w:t>第三章 发展定位与目标</w:t>
          </w:r>
          <w:r>
            <w:rPr>
              <w:rFonts w:hint="default" w:ascii="Times New Roman" w:hAnsi="Times New Roman" w:eastAsia="黑体" w:cs="Times New Roman"/>
              <w:kern w:val="2"/>
              <w:sz w:val="32"/>
              <w:szCs w:val="22"/>
              <w:u w:val="none"/>
              <w:lang w:val="en-US" w:eastAsia="zh-CN" w:bidi="ar-SA"/>
            </w:rPr>
            <w:tab/>
          </w:r>
          <w:r>
            <w:rPr>
              <w:rFonts w:hint="default" w:ascii="Times New Roman" w:hAnsi="Times New Roman" w:eastAsia="黑体" w:cs="Times New Roman"/>
              <w:kern w:val="2"/>
              <w:sz w:val="32"/>
              <w:szCs w:val="22"/>
              <w:u w:val="none"/>
              <w:lang w:val="en-US" w:eastAsia="zh-CN" w:bidi="ar-SA"/>
            </w:rPr>
            <w:fldChar w:fldCharType="begin"/>
          </w:r>
          <w:r>
            <w:rPr>
              <w:rFonts w:hint="default" w:ascii="Times New Roman" w:hAnsi="Times New Roman" w:eastAsia="黑体" w:cs="Times New Roman"/>
              <w:kern w:val="2"/>
              <w:sz w:val="32"/>
              <w:szCs w:val="22"/>
              <w:u w:val="none"/>
              <w:lang w:val="en-US" w:eastAsia="zh-CN" w:bidi="ar-SA"/>
            </w:rPr>
            <w:instrText xml:space="preserve"> PAGEREF _Toc26352 \h </w:instrText>
          </w:r>
          <w:r>
            <w:rPr>
              <w:rFonts w:hint="default" w:ascii="Times New Roman" w:hAnsi="Times New Roman" w:eastAsia="黑体" w:cs="Times New Roman"/>
              <w:kern w:val="2"/>
              <w:sz w:val="32"/>
              <w:szCs w:val="22"/>
              <w:u w:val="none"/>
              <w:lang w:val="en-US" w:eastAsia="zh-CN" w:bidi="ar-SA"/>
            </w:rPr>
            <w:fldChar w:fldCharType="separate"/>
          </w:r>
          <w:r>
            <w:rPr>
              <w:rFonts w:hint="default" w:ascii="Times New Roman" w:hAnsi="Times New Roman" w:eastAsia="黑体" w:cs="Times New Roman"/>
              <w:kern w:val="2"/>
              <w:sz w:val="32"/>
              <w:szCs w:val="22"/>
              <w:u w:val="none"/>
              <w:lang w:val="en-US" w:eastAsia="zh-CN" w:bidi="ar-SA"/>
            </w:rPr>
            <w:t>14</w:t>
          </w:r>
          <w:r>
            <w:rPr>
              <w:rFonts w:hint="default" w:ascii="Times New Roman" w:hAnsi="Times New Roman" w:eastAsia="黑体" w:cs="Times New Roman"/>
              <w:kern w:val="2"/>
              <w:sz w:val="32"/>
              <w:szCs w:val="22"/>
              <w:u w:val="none"/>
              <w:lang w:val="en-US" w:eastAsia="zh-CN" w:bidi="ar-SA"/>
            </w:rPr>
            <w:fldChar w:fldCharType="end"/>
          </w:r>
          <w:r>
            <w:rPr>
              <w:rFonts w:hint="default" w:ascii="Times New Roman" w:hAnsi="Times New Roman" w:eastAsia="黑体" w:cs="Times New Roman"/>
              <w:kern w:val="2"/>
              <w:sz w:val="32"/>
              <w:szCs w:val="22"/>
              <w:u w:val="none"/>
              <w:lang w:val="en-US" w:eastAsia="zh-CN" w:bidi="ar-SA"/>
            </w:rPr>
            <w:fldChar w:fldCharType="end"/>
          </w:r>
        </w:p>
        <w:p w14:paraId="54A3B059">
          <w:pPr>
            <w:widowControl w:val="0"/>
            <w:tabs>
              <w:tab w:val="right" w:leader="dot" w:pos="8297"/>
            </w:tabs>
            <w:adjustRightInd w:val="0"/>
            <w:snapToGrid w:val="0"/>
            <w:spacing w:line="360" w:lineRule="auto"/>
            <w:ind w:firstLine="640" w:firstLineChars="200"/>
            <w:jc w:val="left"/>
            <w:rPr>
              <w:rFonts w:hint="default" w:ascii="Times New Roman" w:hAnsi="Times New Roman" w:eastAsia="仿宋_GB2312" w:cs="Times New Roman"/>
              <w:kern w:val="2"/>
              <w:sz w:val="32"/>
              <w:szCs w:val="22"/>
              <w:u w:val="none"/>
              <w:lang w:val="en-US" w:eastAsia="zh-CN" w:bidi="ar-SA"/>
            </w:rPr>
          </w:pP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HYPERLINK \l _Toc29092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第一节 乡镇功能定位</w:t>
          </w:r>
          <w:r>
            <w:rPr>
              <w:rFonts w:hint="default" w:ascii="Times New Roman" w:hAnsi="Times New Roman" w:eastAsia="仿宋_GB2312" w:cs="Times New Roman"/>
              <w:kern w:val="2"/>
              <w:sz w:val="32"/>
              <w:szCs w:val="22"/>
              <w:u w:val="none"/>
              <w:lang w:val="en-US" w:eastAsia="zh-CN" w:bidi="ar-SA"/>
            </w:rPr>
            <w:tab/>
          </w: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PAGEREF _Toc29092 \h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14</w:t>
          </w:r>
          <w:r>
            <w:rPr>
              <w:rFonts w:hint="default" w:ascii="Times New Roman" w:hAnsi="Times New Roman" w:eastAsia="仿宋_GB2312" w:cs="Times New Roman"/>
              <w:kern w:val="2"/>
              <w:sz w:val="32"/>
              <w:szCs w:val="22"/>
              <w:u w:val="none"/>
              <w:lang w:val="en-US" w:eastAsia="zh-CN" w:bidi="ar-SA"/>
            </w:rPr>
            <w:fldChar w:fldCharType="end"/>
          </w:r>
          <w:r>
            <w:rPr>
              <w:rFonts w:hint="default" w:ascii="Times New Roman" w:hAnsi="Times New Roman" w:eastAsia="仿宋_GB2312" w:cs="Times New Roman"/>
              <w:kern w:val="2"/>
              <w:sz w:val="32"/>
              <w:szCs w:val="22"/>
              <w:u w:val="none"/>
              <w:lang w:val="en-US" w:eastAsia="zh-CN" w:bidi="ar-SA"/>
            </w:rPr>
            <w:fldChar w:fldCharType="end"/>
          </w:r>
        </w:p>
        <w:p w14:paraId="43C33688">
          <w:pPr>
            <w:widowControl w:val="0"/>
            <w:tabs>
              <w:tab w:val="right" w:leader="dot" w:pos="8297"/>
            </w:tabs>
            <w:adjustRightInd w:val="0"/>
            <w:snapToGrid w:val="0"/>
            <w:spacing w:line="360" w:lineRule="auto"/>
            <w:ind w:firstLine="640" w:firstLineChars="200"/>
            <w:jc w:val="left"/>
            <w:rPr>
              <w:rFonts w:hint="default" w:ascii="Times New Roman" w:hAnsi="Times New Roman" w:eastAsia="仿宋_GB2312" w:cs="Times New Roman"/>
              <w:kern w:val="2"/>
              <w:sz w:val="32"/>
              <w:szCs w:val="22"/>
              <w:u w:val="none"/>
              <w:lang w:val="en-US" w:eastAsia="zh-CN" w:bidi="ar-SA"/>
            </w:rPr>
          </w:pP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HYPERLINK \l _Toc5122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第二节 国土空间开发保护目标</w:t>
          </w:r>
          <w:r>
            <w:rPr>
              <w:rFonts w:hint="default" w:ascii="Times New Roman" w:hAnsi="Times New Roman" w:eastAsia="仿宋_GB2312" w:cs="Times New Roman"/>
              <w:kern w:val="2"/>
              <w:sz w:val="32"/>
              <w:szCs w:val="22"/>
              <w:u w:val="none"/>
              <w:lang w:val="en-US" w:eastAsia="zh-CN" w:bidi="ar-SA"/>
            </w:rPr>
            <w:tab/>
          </w: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PAGEREF _Toc5122 \h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15</w:t>
          </w:r>
          <w:r>
            <w:rPr>
              <w:rFonts w:hint="default" w:ascii="Times New Roman" w:hAnsi="Times New Roman" w:eastAsia="仿宋_GB2312" w:cs="Times New Roman"/>
              <w:kern w:val="2"/>
              <w:sz w:val="32"/>
              <w:szCs w:val="22"/>
              <w:u w:val="none"/>
              <w:lang w:val="en-US" w:eastAsia="zh-CN" w:bidi="ar-SA"/>
            </w:rPr>
            <w:fldChar w:fldCharType="end"/>
          </w:r>
          <w:r>
            <w:rPr>
              <w:rFonts w:hint="default" w:ascii="Times New Roman" w:hAnsi="Times New Roman" w:eastAsia="仿宋_GB2312" w:cs="Times New Roman"/>
              <w:kern w:val="2"/>
              <w:sz w:val="32"/>
              <w:szCs w:val="22"/>
              <w:u w:val="none"/>
              <w:lang w:val="en-US" w:eastAsia="zh-CN" w:bidi="ar-SA"/>
            </w:rPr>
            <w:fldChar w:fldCharType="end"/>
          </w:r>
        </w:p>
        <w:p w14:paraId="57869C3D">
          <w:pPr>
            <w:widowControl w:val="0"/>
            <w:tabs>
              <w:tab w:val="right" w:leader="dot" w:pos="8297"/>
            </w:tabs>
            <w:adjustRightInd w:val="0"/>
            <w:snapToGrid w:val="0"/>
            <w:spacing w:line="360" w:lineRule="auto"/>
            <w:ind w:firstLine="0" w:firstLineChars="0"/>
            <w:jc w:val="both"/>
            <w:rPr>
              <w:rFonts w:hint="default" w:ascii="Times New Roman" w:hAnsi="Times New Roman" w:eastAsia="黑体" w:cs="Times New Roman"/>
              <w:kern w:val="2"/>
              <w:sz w:val="32"/>
              <w:szCs w:val="22"/>
              <w:u w:val="none"/>
              <w:lang w:val="en-US" w:eastAsia="zh-CN" w:bidi="ar-SA"/>
            </w:rPr>
          </w:pPr>
          <w:r>
            <w:rPr>
              <w:rFonts w:hint="default" w:ascii="Times New Roman" w:hAnsi="Times New Roman" w:eastAsia="黑体" w:cs="Times New Roman"/>
              <w:kern w:val="2"/>
              <w:sz w:val="32"/>
              <w:szCs w:val="22"/>
              <w:u w:val="none"/>
              <w:lang w:val="en-US" w:eastAsia="zh-CN" w:bidi="ar-SA"/>
            </w:rPr>
            <w:fldChar w:fldCharType="begin"/>
          </w:r>
          <w:r>
            <w:rPr>
              <w:rFonts w:hint="default" w:ascii="Times New Roman" w:hAnsi="Times New Roman" w:eastAsia="黑体" w:cs="Times New Roman"/>
              <w:kern w:val="2"/>
              <w:sz w:val="32"/>
              <w:szCs w:val="22"/>
              <w:u w:val="none"/>
              <w:lang w:val="en-US" w:eastAsia="zh-CN" w:bidi="ar-SA"/>
            </w:rPr>
            <w:instrText xml:space="preserve"> HYPERLINK \l _Toc23205 </w:instrText>
          </w:r>
          <w:r>
            <w:rPr>
              <w:rFonts w:hint="default" w:ascii="Times New Roman" w:hAnsi="Times New Roman" w:eastAsia="黑体" w:cs="Times New Roman"/>
              <w:kern w:val="2"/>
              <w:sz w:val="32"/>
              <w:szCs w:val="22"/>
              <w:u w:val="none"/>
              <w:lang w:val="en-US" w:eastAsia="zh-CN" w:bidi="ar-SA"/>
            </w:rPr>
            <w:fldChar w:fldCharType="separate"/>
          </w:r>
          <w:r>
            <w:rPr>
              <w:rFonts w:hint="default" w:ascii="Times New Roman" w:hAnsi="Times New Roman" w:eastAsia="黑体" w:cs="Times New Roman"/>
              <w:kern w:val="2"/>
              <w:sz w:val="32"/>
              <w:szCs w:val="22"/>
              <w:u w:val="none"/>
              <w:lang w:val="en-US" w:eastAsia="zh-CN" w:bidi="ar-SA"/>
            </w:rPr>
            <w:t>第四章 国土空间开发保护格局</w:t>
          </w:r>
          <w:r>
            <w:rPr>
              <w:rFonts w:hint="default" w:ascii="Times New Roman" w:hAnsi="Times New Roman" w:eastAsia="黑体" w:cs="Times New Roman"/>
              <w:kern w:val="2"/>
              <w:sz w:val="32"/>
              <w:szCs w:val="22"/>
              <w:u w:val="none"/>
              <w:lang w:val="en-US" w:eastAsia="zh-CN" w:bidi="ar-SA"/>
            </w:rPr>
            <w:tab/>
          </w:r>
          <w:r>
            <w:rPr>
              <w:rFonts w:hint="default" w:ascii="Times New Roman" w:hAnsi="Times New Roman" w:eastAsia="黑体" w:cs="Times New Roman"/>
              <w:kern w:val="2"/>
              <w:sz w:val="32"/>
              <w:szCs w:val="22"/>
              <w:u w:val="none"/>
              <w:lang w:val="en-US" w:eastAsia="zh-CN" w:bidi="ar-SA"/>
            </w:rPr>
            <w:fldChar w:fldCharType="begin"/>
          </w:r>
          <w:r>
            <w:rPr>
              <w:rFonts w:hint="default" w:ascii="Times New Roman" w:hAnsi="Times New Roman" w:eastAsia="黑体" w:cs="Times New Roman"/>
              <w:kern w:val="2"/>
              <w:sz w:val="32"/>
              <w:szCs w:val="22"/>
              <w:u w:val="none"/>
              <w:lang w:val="en-US" w:eastAsia="zh-CN" w:bidi="ar-SA"/>
            </w:rPr>
            <w:instrText xml:space="preserve"> PAGEREF _Toc23205 \h </w:instrText>
          </w:r>
          <w:r>
            <w:rPr>
              <w:rFonts w:hint="default" w:ascii="Times New Roman" w:hAnsi="Times New Roman" w:eastAsia="黑体" w:cs="Times New Roman"/>
              <w:kern w:val="2"/>
              <w:sz w:val="32"/>
              <w:szCs w:val="22"/>
              <w:u w:val="none"/>
              <w:lang w:val="en-US" w:eastAsia="zh-CN" w:bidi="ar-SA"/>
            </w:rPr>
            <w:fldChar w:fldCharType="separate"/>
          </w:r>
          <w:r>
            <w:rPr>
              <w:rFonts w:hint="default" w:ascii="Times New Roman" w:hAnsi="Times New Roman" w:eastAsia="黑体" w:cs="Times New Roman"/>
              <w:kern w:val="2"/>
              <w:sz w:val="32"/>
              <w:szCs w:val="22"/>
              <w:u w:val="none"/>
              <w:lang w:val="en-US" w:eastAsia="zh-CN" w:bidi="ar-SA"/>
            </w:rPr>
            <w:t>17</w:t>
          </w:r>
          <w:r>
            <w:rPr>
              <w:rFonts w:hint="default" w:ascii="Times New Roman" w:hAnsi="Times New Roman" w:eastAsia="黑体" w:cs="Times New Roman"/>
              <w:kern w:val="2"/>
              <w:sz w:val="32"/>
              <w:szCs w:val="22"/>
              <w:u w:val="none"/>
              <w:lang w:val="en-US" w:eastAsia="zh-CN" w:bidi="ar-SA"/>
            </w:rPr>
            <w:fldChar w:fldCharType="end"/>
          </w:r>
          <w:r>
            <w:rPr>
              <w:rFonts w:hint="default" w:ascii="Times New Roman" w:hAnsi="Times New Roman" w:eastAsia="黑体" w:cs="Times New Roman"/>
              <w:kern w:val="2"/>
              <w:sz w:val="32"/>
              <w:szCs w:val="22"/>
              <w:u w:val="none"/>
              <w:lang w:val="en-US" w:eastAsia="zh-CN" w:bidi="ar-SA"/>
            </w:rPr>
            <w:fldChar w:fldCharType="end"/>
          </w:r>
        </w:p>
        <w:p w14:paraId="3984D333">
          <w:pPr>
            <w:widowControl w:val="0"/>
            <w:tabs>
              <w:tab w:val="right" w:leader="dot" w:pos="8297"/>
            </w:tabs>
            <w:adjustRightInd w:val="0"/>
            <w:snapToGrid w:val="0"/>
            <w:spacing w:line="360" w:lineRule="auto"/>
            <w:ind w:firstLine="640" w:firstLineChars="200"/>
            <w:jc w:val="left"/>
            <w:rPr>
              <w:rFonts w:hint="default" w:ascii="Times New Roman" w:hAnsi="Times New Roman" w:eastAsia="仿宋_GB2312" w:cs="Times New Roman"/>
              <w:kern w:val="2"/>
              <w:sz w:val="32"/>
              <w:szCs w:val="22"/>
              <w:u w:val="none"/>
              <w:lang w:val="en-US" w:eastAsia="zh-CN" w:bidi="ar-SA"/>
            </w:rPr>
          </w:pP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HYPERLINK \l _Toc24053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第一节 国土空间总体格局</w:t>
          </w:r>
          <w:r>
            <w:rPr>
              <w:rFonts w:hint="default" w:ascii="Times New Roman" w:hAnsi="Times New Roman" w:eastAsia="仿宋_GB2312" w:cs="Times New Roman"/>
              <w:kern w:val="2"/>
              <w:sz w:val="32"/>
              <w:szCs w:val="22"/>
              <w:u w:val="none"/>
              <w:lang w:val="en-US" w:eastAsia="zh-CN" w:bidi="ar-SA"/>
            </w:rPr>
            <w:tab/>
          </w: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PAGEREF _Toc24053 \h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17</w:t>
          </w:r>
          <w:r>
            <w:rPr>
              <w:rFonts w:hint="default" w:ascii="Times New Roman" w:hAnsi="Times New Roman" w:eastAsia="仿宋_GB2312" w:cs="Times New Roman"/>
              <w:kern w:val="2"/>
              <w:sz w:val="32"/>
              <w:szCs w:val="22"/>
              <w:u w:val="none"/>
              <w:lang w:val="en-US" w:eastAsia="zh-CN" w:bidi="ar-SA"/>
            </w:rPr>
            <w:fldChar w:fldCharType="end"/>
          </w:r>
          <w:r>
            <w:rPr>
              <w:rFonts w:hint="default" w:ascii="Times New Roman" w:hAnsi="Times New Roman" w:eastAsia="仿宋_GB2312" w:cs="Times New Roman"/>
              <w:kern w:val="2"/>
              <w:sz w:val="32"/>
              <w:szCs w:val="22"/>
              <w:u w:val="none"/>
              <w:lang w:val="en-US" w:eastAsia="zh-CN" w:bidi="ar-SA"/>
            </w:rPr>
            <w:fldChar w:fldCharType="end"/>
          </w:r>
        </w:p>
        <w:p w14:paraId="361D9D82">
          <w:pPr>
            <w:widowControl w:val="0"/>
            <w:tabs>
              <w:tab w:val="right" w:leader="dot" w:pos="8297"/>
            </w:tabs>
            <w:adjustRightInd w:val="0"/>
            <w:snapToGrid w:val="0"/>
            <w:spacing w:line="360" w:lineRule="auto"/>
            <w:ind w:firstLine="640" w:firstLineChars="200"/>
            <w:jc w:val="left"/>
            <w:rPr>
              <w:rFonts w:hint="default" w:ascii="Times New Roman" w:hAnsi="Times New Roman" w:eastAsia="仿宋_GB2312" w:cs="Times New Roman"/>
              <w:kern w:val="2"/>
              <w:sz w:val="32"/>
              <w:szCs w:val="22"/>
              <w:u w:val="none"/>
              <w:lang w:val="en-US" w:eastAsia="zh-CN" w:bidi="ar-SA"/>
            </w:rPr>
          </w:pP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HYPERLINK \l _Toc27918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第二节 重要控制线划定</w:t>
          </w:r>
          <w:r>
            <w:rPr>
              <w:rFonts w:hint="default" w:ascii="Times New Roman" w:hAnsi="Times New Roman" w:eastAsia="仿宋_GB2312" w:cs="Times New Roman"/>
              <w:kern w:val="2"/>
              <w:sz w:val="32"/>
              <w:szCs w:val="22"/>
              <w:u w:val="none"/>
              <w:lang w:val="en-US" w:eastAsia="zh-CN" w:bidi="ar-SA"/>
            </w:rPr>
            <w:tab/>
          </w: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PAGEREF _Toc27918 \h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19</w:t>
          </w:r>
          <w:r>
            <w:rPr>
              <w:rFonts w:hint="default" w:ascii="Times New Roman" w:hAnsi="Times New Roman" w:eastAsia="仿宋_GB2312" w:cs="Times New Roman"/>
              <w:kern w:val="2"/>
              <w:sz w:val="32"/>
              <w:szCs w:val="22"/>
              <w:u w:val="none"/>
              <w:lang w:val="en-US" w:eastAsia="zh-CN" w:bidi="ar-SA"/>
            </w:rPr>
            <w:fldChar w:fldCharType="end"/>
          </w:r>
          <w:r>
            <w:rPr>
              <w:rFonts w:hint="default" w:ascii="Times New Roman" w:hAnsi="Times New Roman" w:eastAsia="仿宋_GB2312" w:cs="Times New Roman"/>
              <w:kern w:val="2"/>
              <w:sz w:val="32"/>
              <w:szCs w:val="22"/>
              <w:u w:val="none"/>
              <w:lang w:val="en-US" w:eastAsia="zh-CN" w:bidi="ar-SA"/>
            </w:rPr>
            <w:fldChar w:fldCharType="end"/>
          </w:r>
        </w:p>
        <w:p w14:paraId="3222E6F8">
          <w:pPr>
            <w:widowControl w:val="0"/>
            <w:tabs>
              <w:tab w:val="right" w:leader="dot" w:pos="8297"/>
            </w:tabs>
            <w:adjustRightInd w:val="0"/>
            <w:snapToGrid w:val="0"/>
            <w:spacing w:line="360" w:lineRule="auto"/>
            <w:ind w:firstLine="640" w:firstLineChars="200"/>
            <w:jc w:val="left"/>
            <w:rPr>
              <w:rFonts w:hint="default" w:ascii="Times New Roman" w:hAnsi="Times New Roman" w:eastAsia="仿宋_GB2312" w:cs="Times New Roman"/>
              <w:kern w:val="2"/>
              <w:sz w:val="32"/>
              <w:szCs w:val="22"/>
              <w:u w:val="none"/>
              <w:lang w:val="en-US" w:eastAsia="zh-CN" w:bidi="ar-SA"/>
            </w:rPr>
          </w:pP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HYPERLINK \l _Toc22682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第三节 规划分区</w:t>
          </w:r>
          <w:r>
            <w:rPr>
              <w:rFonts w:hint="default" w:ascii="Times New Roman" w:hAnsi="Times New Roman" w:eastAsia="仿宋_GB2312" w:cs="Times New Roman"/>
              <w:kern w:val="2"/>
              <w:sz w:val="32"/>
              <w:szCs w:val="22"/>
              <w:u w:val="none"/>
              <w:lang w:val="en-US" w:eastAsia="zh-CN" w:bidi="ar-SA"/>
            </w:rPr>
            <w:tab/>
          </w: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PAGEREF _Toc22682 \h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22</w:t>
          </w:r>
          <w:r>
            <w:rPr>
              <w:rFonts w:hint="default" w:ascii="Times New Roman" w:hAnsi="Times New Roman" w:eastAsia="仿宋_GB2312" w:cs="Times New Roman"/>
              <w:kern w:val="2"/>
              <w:sz w:val="32"/>
              <w:szCs w:val="22"/>
              <w:u w:val="none"/>
              <w:lang w:val="en-US" w:eastAsia="zh-CN" w:bidi="ar-SA"/>
            </w:rPr>
            <w:fldChar w:fldCharType="end"/>
          </w:r>
          <w:r>
            <w:rPr>
              <w:rFonts w:hint="default" w:ascii="Times New Roman" w:hAnsi="Times New Roman" w:eastAsia="仿宋_GB2312" w:cs="Times New Roman"/>
              <w:kern w:val="2"/>
              <w:sz w:val="32"/>
              <w:szCs w:val="22"/>
              <w:u w:val="none"/>
              <w:lang w:val="en-US" w:eastAsia="zh-CN" w:bidi="ar-SA"/>
            </w:rPr>
            <w:fldChar w:fldCharType="end"/>
          </w:r>
        </w:p>
        <w:p w14:paraId="3A819108">
          <w:pPr>
            <w:widowControl w:val="0"/>
            <w:tabs>
              <w:tab w:val="right" w:leader="dot" w:pos="8297"/>
            </w:tabs>
            <w:adjustRightInd w:val="0"/>
            <w:snapToGrid w:val="0"/>
            <w:spacing w:line="360" w:lineRule="auto"/>
            <w:ind w:firstLine="640" w:firstLineChars="200"/>
            <w:jc w:val="left"/>
            <w:rPr>
              <w:rFonts w:hint="default" w:ascii="Times New Roman" w:hAnsi="Times New Roman" w:eastAsia="仿宋_GB2312" w:cs="Times New Roman"/>
              <w:kern w:val="2"/>
              <w:sz w:val="32"/>
              <w:szCs w:val="22"/>
              <w:u w:val="none"/>
              <w:lang w:val="en-US" w:eastAsia="zh-CN" w:bidi="ar-SA"/>
            </w:rPr>
          </w:pP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HYPERLINK \l _Toc24478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第四节 国土空间功能结构优化</w:t>
          </w:r>
          <w:r>
            <w:rPr>
              <w:rFonts w:hint="default" w:ascii="Times New Roman" w:hAnsi="Times New Roman" w:eastAsia="仿宋_GB2312" w:cs="Times New Roman"/>
              <w:kern w:val="2"/>
              <w:sz w:val="32"/>
              <w:szCs w:val="22"/>
              <w:u w:val="none"/>
              <w:lang w:val="en-US" w:eastAsia="zh-CN" w:bidi="ar-SA"/>
            </w:rPr>
            <w:tab/>
          </w: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PAGEREF _Toc24478 \h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25</w:t>
          </w:r>
          <w:r>
            <w:rPr>
              <w:rFonts w:hint="default" w:ascii="Times New Roman" w:hAnsi="Times New Roman" w:eastAsia="仿宋_GB2312" w:cs="Times New Roman"/>
              <w:kern w:val="2"/>
              <w:sz w:val="32"/>
              <w:szCs w:val="22"/>
              <w:u w:val="none"/>
              <w:lang w:val="en-US" w:eastAsia="zh-CN" w:bidi="ar-SA"/>
            </w:rPr>
            <w:fldChar w:fldCharType="end"/>
          </w:r>
          <w:r>
            <w:rPr>
              <w:rFonts w:hint="default" w:ascii="Times New Roman" w:hAnsi="Times New Roman" w:eastAsia="仿宋_GB2312" w:cs="Times New Roman"/>
              <w:kern w:val="2"/>
              <w:sz w:val="32"/>
              <w:szCs w:val="22"/>
              <w:u w:val="none"/>
              <w:lang w:val="en-US" w:eastAsia="zh-CN" w:bidi="ar-SA"/>
            </w:rPr>
            <w:fldChar w:fldCharType="end"/>
          </w:r>
        </w:p>
        <w:p w14:paraId="43313239">
          <w:pPr>
            <w:widowControl w:val="0"/>
            <w:tabs>
              <w:tab w:val="right" w:leader="dot" w:pos="8297"/>
            </w:tabs>
            <w:adjustRightInd w:val="0"/>
            <w:snapToGrid w:val="0"/>
            <w:spacing w:line="360" w:lineRule="auto"/>
            <w:ind w:firstLine="0" w:firstLineChars="0"/>
            <w:jc w:val="both"/>
            <w:rPr>
              <w:rFonts w:hint="default" w:ascii="Times New Roman" w:hAnsi="Times New Roman" w:eastAsia="黑体" w:cs="Times New Roman"/>
              <w:kern w:val="2"/>
              <w:sz w:val="32"/>
              <w:szCs w:val="22"/>
              <w:u w:val="none"/>
              <w:lang w:val="en-US" w:eastAsia="zh-CN" w:bidi="ar-SA"/>
            </w:rPr>
          </w:pPr>
          <w:r>
            <w:rPr>
              <w:rFonts w:hint="default" w:ascii="Times New Roman" w:hAnsi="Times New Roman" w:eastAsia="黑体" w:cs="Times New Roman"/>
              <w:kern w:val="2"/>
              <w:sz w:val="32"/>
              <w:szCs w:val="22"/>
              <w:u w:val="none"/>
              <w:lang w:val="en-US" w:eastAsia="zh-CN" w:bidi="ar-SA"/>
            </w:rPr>
            <w:fldChar w:fldCharType="begin"/>
          </w:r>
          <w:r>
            <w:rPr>
              <w:rFonts w:hint="default" w:ascii="Times New Roman" w:hAnsi="Times New Roman" w:eastAsia="黑体" w:cs="Times New Roman"/>
              <w:kern w:val="2"/>
              <w:sz w:val="32"/>
              <w:szCs w:val="22"/>
              <w:u w:val="none"/>
              <w:lang w:val="en-US" w:eastAsia="zh-CN" w:bidi="ar-SA"/>
            </w:rPr>
            <w:instrText xml:space="preserve"> HYPERLINK \l _Toc28933 </w:instrText>
          </w:r>
          <w:r>
            <w:rPr>
              <w:rFonts w:hint="default" w:ascii="Times New Roman" w:hAnsi="Times New Roman" w:eastAsia="黑体" w:cs="Times New Roman"/>
              <w:kern w:val="2"/>
              <w:sz w:val="32"/>
              <w:szCs w:val="22"/>
              <w:u w:val="none"/>
              <w:lang w:val="en-US" w:eastAsia="zh-CN" w:bidi="ar-SA"/>
            </w:rPr>
            <w:fldChar w:fldCharType="separate"/>
          </w:r>
          <w:r>
            <w:rPr>
              <w:rFonts w:hint="default" w:ascii="Times New Roman" w:hAnsi="Times New Roman" w:eastAsia="黑体" w:cs="Times New Roman"/>
              <w:kern w:val="2"/>
              <w:sz w:val="32"/>
              <w:szCs w:val="22"/>
              <w:u w:val="none"/>
              <w:lang w:val="en-US" w:eastAsia="zh-CN" w:bidi="ar-SA"/>
            </w:rPr>
            <w:t>第五章 资源保护与利用</w:t>
          </w:r>
          <w:r>
            <w:rPr>
              <w:rFonts w:hint="default" w:ascii="Times New Roman" w:hAnsi="Times New Roman" w:eastAsia="黑体" w:cs="Times New Roman"/>
              <w:kern w:val="2"/>
              <w:sz w:val="32"/>
              <w:szCs w:val="22"/>
              <w:u w:val="none"/>
              <w:lang w:val="en-US" w:eastAsia="zh-CN" w:bidi="ar-SA"/>
            </w:rPr>
            <w:tab/>
          </w:r>
          <w:r>
            <w:rPr>
              <w:rFonts w:hint="default" w:ascii="Times New Roman" w:hAnsi="Times New Roman" w:eastAsia="黑体" w:cs="Times New Roman"/>
              <w:kern w:val="2"/>
              <w:sz w:val="32"/>
              <w:szCs w:val="22"/>
              <w:u w:val="none"/>
              <w:lang w:val="en-US" w:eastAsia="zh-CN" w:bidi="ar-SA"/>
            </w:rPr>
            <w:fldChar w:fldCharType="begin"/>
          </w:r>
          <w:r>
            <w:rPr>
              <w:rFonts w:hint="default" w:ascii="Times New Roman" w:hAnsi="Times New Roman" w:eastAsia="黑体" w:cs="Times New Roman"/>
              <w:kern w:val="2"/>
              <w:sz w:val="32"/>
              <w:szCs w:val="22"/>
              <w:u w:val="none"/>
              <w:lang w:val="en-US" w:eastAsia="zh-CN" w:bidi="ar-SA"/>
            </w:rPr>
            <w:instrText xml:space="preserve"> PAGEREF _Toc28933 \h </w:instrText>
          </w:r>
          <w:r>
            <w:rPr>
              <w:rFonts w:hint="default" w:ascii="Times New Roman" w:hAnsi="Times New Roman" w:eastAsia="黑体" w:cs="Times New Roman"/>
              <w:kern w:val="2"/>
              <w:sz w:val="32"/>
              <w:szCs w:val="22"/>
              <w:u w:val="none"/>
              <w:lang w:val="en-US" w:eastAsia="zh-CN" w:bidi="ar-SA"/>
            </w:rPr>
            <w:fldChar w:fldCharType="separate"/>
          </w:r>
          <w:r>
            <w:rPr>
              <w:rFonts w:hint="default" w:ascii="Times New Roman" w:hAnsi="Times New Roman" w:eastAsia="黑体" w:cs="Times New Roman"/>
              <w:kern w:val="2"/>
              <w:sz w:val="32"/>
              <w:szCs w:val="22"/>
              <w:u w:val="none"/>
              <w:lang w:val="en-US" w:eastAsia="zh-CN" w:bidi="ar-SA"/>
            </w:rPr>
            <w:t>27</w:t>
          </w:r>
          <w:r>
            <w:rPr>
              <w:rFonts w:hint="default" w:ascii="Times New Roman" w:hAnsi="Times New Roman" w:eastAsia="黑体" w:cs="Times New Roman"/>
              <w:kern w:val="2"/>
              <w:sz w:val="32"/>
              <w:szCs w:val="22"/>
              <w:u w:val="none"/>
              <w:lang w:val="en-US" w:eastAsia="zh-CN" w:bidi="ar-SA"/>
            </w:rPr>
            <w:fldChar w:fldCharType="end"/>
          </w:r>
          <w:r>
            <w:rPr>
              <w:rFonts w:hint="default" w:ascii="Times New Roman" w:hAnsi="Times New Roman" w:eastAsia="黑体" w:cs="Times New Roman"/>
              <w:kern w:val="2"/>
              <w:sz w:val="32"/>
              <w:szCs w:val="22"/>
              <w:u w:val="none"/>
              <w:lang w:val="en-US" w:eastAsia="zh-CN" w:bidi="ar-SA"/>
            </w:rPr>
            <w:fldChar w:fldCharType="end"/>
          </w:r>
        </w:p>
        <w:p w14:paraId="5BE50EE4">
          <w:pPr>
            <w:widowControl w:val="0"/>
            <w:tabs>
              <w:tab w:val="right" w:leader="dot" w:pos="8297"/>
            </w:tabs>
            <w:adjustRightInd w:val="0"/>
            <w:snapToGrid w:val="0"/>
            <w:spacing w:line="360" w:lineRule="auto"/>
            <w:ind w:firstLine="640" w:firstLineChars="200"/>
            <w:jc w:val="left"/>
            <w:rPr>
              <w:rFonts w:hint="default" w:ascii="Times New Roman" w:hAnsi="Times New Roman" w:eastAsia="仿宋_GB2312" w:cs="Times New Roman"/>
              <w:kern w:val="2"/>
              <w:sz w:val="32"/>
              <w:szCs w:val="22"/>
              <w:u w:val="none"/>
              <w:lang w:val="en-US" w:eastAsia="zh-CN" w:bidi="ar-SA"/>
            </w:rPr>
          </w:pP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HYPERLINK \l _Toc32556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第一节 耕地资源</w:t>
          </w:r>
          <w:r>
            <w:rPr>
              <w:rFonts w:hint="default" w:ascii="Times New Roman" w:hAnsi="Times New Roman" w:eastAsia="仿宋_GB2312" w:cs="Times New Roman"/>
              <w:kern w:val="2"/>
              <w:sz w:val="32"/>
              <w:szCs w:val="22"/>
              <w:u w:val="none"/>
              <w:lang w:val="en-US" w:eastAsia="zh-CN" w:bidi="ar-SA"/>
            </w:rPr>
            <w:tab/>
          </w: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PAGEREF _Toc32556 \h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27</w:t>
          </w:r>
          <w:r>
            <w:rPr>
              <w:rFonts w:hint="default" w:ascii="Times New Roman" w:hAnsi="Times New Roman" w:eastAsia="仿宋_GB2312" w:cs="Times New Roman"/>
              <w:kern w:val="2"/>
              <w:sz w:val="32"/>
              <w:szCs w:val="22"/>
              <w:u w:val="none"/>
              <w:lang w:val="en-US" w:eastAsia="zh-CN" w:bidi="ar-SA"/>
            </w:rPr>
            <w:fldChar w:fldCharType="end"/>
          </w:r>
          <w:r>
            <w:rPr>
              <w:rFonts w:hint="default" w:ascii="Times New Roman" w:hAnsi="Times New Roman" w:eastAsia="仿宋_GB2312" w:cs="Times New Roman"/>
              <w:kern w:val="2"/>
              <w:sz w:val="32"/>
              <w:szCs w:val="22"/>
              <w:u w:val="none"/>
              <w:lang w:val="en-US" w:eastAsia="zh-CN" w:bidi="ar-SA"/>
            </w:rPr>
            <w:fldChar w:fldCharType="end"/>
          </w:r>
        </w:p>
        <w:p w14:paraId="261E260F">
          <w:pPr>
            <w:widowControl w:val="0"/>
            <w:tabs>
              <w:tab w:val="right" w:leader="dot" w:pos="8297"/>
            </w:tabs>
            <w:adjustRightInd w:val="0"/>
            <w:snapToGrid w:val="0"/>
            <w:spacing w:line="360" w:lineRule="auto"/>
            <w:ind w:firstLine="640" w:firstLineChars="200"/>
            <w:jc w:val="left"/>
            <w:rPr>
              <w:rFonts w:hint="default" w:ascii="Times New Roman" w:hAnsi="Times New Roman" w:eastAsia="仿宋_GB2312" w:cs="Times New Roman"/>
              <w:kern w:val="2"/>
              <w:sz w:val="32"/>
              <w:szCs w:val="22"/>
              <w:u w:val="none"/>
              <w:lang w:val="en-US" w:eastAsia="zh-CN" w:bidi="ar-SA"/>
            </w:rPr>
          </w:pP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HYPERLINK \l _Toc11413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第二节 水资源</w:t>
          </w:r>
          <w:r>
            <w:rPr>
              <w:rFonts w:hint="default" w:ascii="Times New Roman" w:hAnsi="Times New Roman" w:eastAsia="仿宋_GB2312" w:cs="Times New Roman"/>
              <w:kern w:val="2"/>
              <w:sz w:val="32"/>
              <w:szCs w:val="22"/>
              <w:u w:val="none"/>
              <w:lang w:val="en-US" w:eastAsia="zh-CN" w:bidi="ar-SA"/>
            </w:rPr>
            <w:tab/>
          </w: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PAGEREF _Toc11413 \h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29</w:t>
          </w:r>
          <w:r>
            <w:rPr>
              <w:rFonts w:hint="default" w:ascii="Times New Roman" w:hAnsi="Times New Roman" w:eastAsia="仿宋_GB2312" w:cs="Times New Roman"/>
              <w:kern w:val="2"/>
              <w:sz w:val="32"/>
              <w:szCs w:val="22"/>
              <w:u w:val="none"/>
              <w:lang w:val="en-US" w:eastAsia="zh-CN" w:bidi="ar-SA"/>
            </w:rPr>
            <w:fldChar w:fldCharType="end"/>
          </w:r>
          <w:r>
            <w:rPr>
              <w:rFonts w:hint="default" w:ascii="Times New Roman" w:hAnsi="Times New Roman" w:eastAsia="仿宋_GB2312" w:cs="Times New Roman"/>
              <w:kern w:val="2"/>
              <w:sz w:val="32"/>
              <w:szCs w:val="22"/>
              <w:u w:val="none"/>
              <w:lang w:val="en-US" w:eastAsia="zh-CN" w:bidi="ar-SA"/>
            </w:rPr>
            <w:fldChar w:fldCharType="end"/>
          </w:r>
        </w:p>
        <w:p w14:paraId="40AAD7D3">
          <w:pPr>
            <w:widowControl w:val="0"/>
            <w:tabs>
              <w:tab w:val="right" w:leader="dot" w:pos="8297"/>
            </w:tabs>
            <w:adjustRightInd w:val="0"/>
            <w:snapToGrid w:val="0"/>
            <w:spacing w:line="360" w:lineRule="auto"/>
            <w:ind w:firstLine="640" w:firstLineChars="200"/>
            <w:jc w:val="left"/>
            <w:rPr>
              <w:rFonts w:hint="default" w:ascii="Times New Roman" w:hAnsi="Times New Roman" w:eastAsia="仿宋_GB2312" w:cs="Times New Roman"/>
              <w:kern w:val="2"/>
              <w:sz w:val="32"/>
              <w:szCs w:val="22"/>
              <w:u w:val="none"/>
              <w:lang w:val="en-US" w:eastAsia="zh-CN" w:bidi="ar-SA"/>
            </w:rPr>
          </w:pP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HYPERLINK \l _Toc32750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第三节 湿地资源</w:t>
          </w:r>
          <w:r>
            <w:rPr>
              <w:rFonts w:hint="default" w:ascii="Times New Roman" w:hAnsi="Times New Roman" w:eastAsia="仿宋_GB2312" w:cs="Times New Roman"/>
              <w:kern w:val="2"/>
              <w:sz w:val="32"/>
              <w:szCs w:val="22"/>
              <w:u w:val="none"/>
              <w:lang w:val="en-US" w:eastAsia="zh-CN" w:bidi="ar-SA"/>
            </w:rPr>
            <w:tab/>
          </w: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PAGEREF _Toc32750 \h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31</w:t>
          </w:r>
          <w:r>
            <w:rPr>
              <w:rFonts w:hint="default" w:ascii="Times New Roman" w:hAnsi="Times New Roman" w:eastAsia="仿宋_GB2312" w:cs="Times New Roman"/>
              <w:kern w:val="2"/>
              <w:sz w:val="32"/>
              <w:szCs w:val="22"/>
              <w:u w:val="none"/>
              <w:lang w:val="en-US" w:eastAsia="zh-CN" w:bidi="ar-SA"/>
            </w:rPr>
            <w:fldChar w:fldCharType="end"/>
          </w:r>
          <w:r>
            <w:rPr>
              <w:rFonts w:hint="default" w:ascii="Times New Roman" w:hAnsi="Times New Roman" w:eastAsia="仿宋_GB2312" w:cs="Times New Roman"/>
              <w:kern w:val="2"/>
              <w:sz w:val="32"/>
              <w:szCs w:val="22"/>
              <w:u w:val="none"/>
              <w:lang w:val="en-US" w:eastAsia="zh-CN" w:bidi="ar-SA"/>
            </w:rPr>
            <w:fldChar w:fldCharType="end"/>
          </w:r>
        </w:p>
        <w:p w14:paraId="5767FB08">
          <w:pPr>
            <w:widowControl w:val="0"/>
            <w:tabs>
              <w:tab w:val="right" w:leader="dot" w:pos="8297"/>
            </w:tabs>
            <w:adjustRightInd w:val="0"/>
            <w:snapToGrid w:val="0"/>
            <w:spacing w:line="360" w:lineRule="auto"/>
            <w:ind w:firstLine="640" w:firstLineChars="200"/>
            <w:jc w:val="left"/>
            <w:rPr>
              <w:rFonts w:hint="default" w:ascii="Times New Roman" w:hAnsi="Times New Roman" w:eastAsia="仿宋_GB2312" w:cs="Times New Roman"/>
              <w:kern w:val="2"/>
              <w:sz w:val="32"/>
              <w:szCs w:val="22"/>
              <w:u w:val="none"/>
              <w:lang w:val="en-US" w:eastAsia="zh-CN" w:bidi="ar-SA"/>
            </w:rPr>
          </w:pP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HYPERLINK \l _Toc2459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第四节 林草资源</w:t>
          </w:r>
          <w:r>
            <w:rPr>
              <w:rFonts w:hint="default" w:ascii="Times New Roman" w:hAnsi="Times New Roman" w:eastAsia="仿宋_GB2312" w:cs="Times New Roman"/>
              <w:kern w:val="2"/>
              <w:sz w:val="32"/>
              <w:szCs w:val="22"/>
              <w:u w:val="none"/>
              <w:lang w:val="en-US" w:eastAsia="zh-CN" w:bidi="ar-SA"/>
            </w:rPr>
            <w:tab/>
          </w: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PAGEREF _Toc2459 \h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31</w:t>
          </w:r>
          <w:r>
            <w:rPr>
              <w:rFonts w:hint="default" w:ascii="Times New Roman" w:hAnsi="Times New Roman" w:eastAsia="仿宋_GB2312" w:cs="Times New Roman"/>
              <w:kern w:val="2"/>
              <w:sz w:val="32"/>
              <w:szCs w:val="22"/>
              <w:u w:val="none"/>
              <w:lang w:val="en-US" w:eastAsia="zh-CN" w:bidi="ar-SA"/>
            </w:rPr>
            <w:fldChar w:fldCharType="end"/>
          </w:r>
          <w:r>
            <w:rPr>
              <w:rFonts w:hint="default" w:ascii="Times New Roman" w:hAnsi="Times New Roman" w:eastAsia="仿宋_GB2312" w:cs="Times New Roman"/>
              <w:kern w:val="2"/>
              <w:sz w:val="32"/>
              <w:szCs w:val="22"/>
              <w:u w:val="none"/>
              <w:lang w:val="en-US" w:eastAsia="zh-CN" w:bidi="ar-SA"/>
            </w:rPr>
            <w:fldChar w:fldCharType="end"/>
          </w:r>
        </w:p>
        <w:p w14:paraId="0A56A192">
          <w:pPr>
            <w:widowControl w:val="0"/>
            <w:tabs>
              <w:tab w:val="right" w:leader="dot" w:pos="8297"/>
            </w:tabs>
            <w:adjustRightInd w:val="0"/>
            <w:snapToGrid w:val="0"/>
            <w:spacing w:line="360" w:lineRule="auto"/>
            <w:ind w:firstLine="640" w:firstLineChars="200"/>
            <w:jc w:val="left"/>
            <w:rPr>
              <w:rFonts w:hint="default" w:ascii="Times New Roman" w:hAnsi="Times New Roman" w:eastAsia="仿宋_GB2312" w:cs="Times New Roman"/>
              <w:kern w:val="2"/>
              <w:sz w:val="32"/>
              <w:szCs w:val="22"/>
              <w:u w:val="none"/>
              <w:lang w:val="en-US" w:eastAsia="zh-CN" w:bidi="ar-SA"/>
            </w:rPr>
          </w:pP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HYPERLINK \l _Toc24093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第五节 矿产资源</w:t>
          </w:r>
          <w:r>
            <w:rPr>
              <w:rFonts w:hint="default" w:ascii="Times New Roman" w:hAnsi="Times New Roman" w:eastAsia="仿宋_GB2312" w:cs="Times New Roman"/>
              <w:kern w:val="2"/>
              <w:sz w:val="32"/>
              <w:szCs w:val="22"/>
              <w:u w:val="none"/>
              <w:lang w:val="en-US" w:eastAsia="zh-CN" w:bidi="ar-SA"/>
            </w:rPr>
            <w:tab/>
          </w: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PAGEREF _Toc24093 \h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32</w:t>
          </w:r>
          <w:r>
            <w:rPr>
              <w:rFonts w:hint="default" w:ascii="Times New Roman" w:hAnsi="Times New Roman" w:eastAsia="仿宋_GB2312" w:cs="Times New Roman"/>
              <w:kern w:val="2"/>
              <w:sz w:val="32"/>
              <w:szCs w:val="22"/>
              <w:u w:val="none"/>
              <w:lang w:val="en-US" w:eastAsia="zh-CN" w:bidi="ar-SA"/>
            </w:rPr>
            <w:fldChar w:fldCharType="end"/>
          </w:r>
          <w:r>
            <w:rPr>
              <w:rFonts w:hint="default" w:ascii="Times New Roman" w:hAnsi="Times New Roman" w:eastAsia="仿宋_GB2312" w:cs="Times New Roman"/>
              <w:kern w:val="2"/>
              <w:sz w:val="32"/>
              <w:szCs w:val="22"/>
              <w:u w:val="none"/>
              <w:lang w:val="en-US" w:eastAsia="zh-CN" w:bidi="ar-SA"/>
            </w:rPr>
            <w:fldChar w:fldCharType="end"/>
          </w:r>
        </w:p>
        <w:p w14:paraId="22D371C5">
          <w:pPr>
            <w:widowControl w:val="0"/>
            <w:tabs>
              <w:tab w:val="right" w:leader="dot" w:pos="8297"/>
            </w:tabs>
            <w:adjustRightInd w:val="0"/>
            <w:snapToGrid w:val="0"/>
            <w:spacing w:line="360" w:lineRule="auto"/>
            <w:ind w:firstLine="640" w:firstLineChars="200"/>
            <w:jc w:val="left"/>
            <w:rPr>
              <w:rFonts w:hint="default" w:ascii="Times New Roman" w:hAnsi="Times New Roman" w:eastAsia="仿宋_GB2312" w:cs="Times New Roman"/>
              <w:kern w:val="2"/>
              <w:sz w:val="32"/>
              <w:szCs w:val="22"/>
              <w:u w:val="none"/>
              <w:lang w:val="en-US" w:eastAsia="zh-CN" w:bidi="ar-SA"/>
            </w:rPr>
          </w:pP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HYPERLINK \l _Toc21992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第六节 历史文化资源</w:t>
          </w:r>
          <w:r>
            <w:rPr>
              <w:rFonts w:hint="default" w:ascii="Times New Roman" w:hAnsi="Times New Roman" w:eastAsia="仿宋_GB2312" w:cs="Times New Roman"/>
              <w:kern w:val="2"/>
              <w:sz w:val="32"/>
              <w:szCs w:val="22"/>
              <w:u w:val="none"/>
              <w:lang w:val="en-US" w:eastAsia="zh-CN" w:bidi="ar-SA"/>
            </w:rPr>
            <w:tab/>
          </w: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PAGEREF _Toc21992 \h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34</w:t>
          </w:r>
          <w:r>
            <w:rPr>
              <w:rFonts w:hint="default" w:ascii="Times New Roman" w:hAnsi="Times New Roman" w:eastAsia="仿宋_GB2312" w:cs="Times New Roman"/>
              <w:kern w:val="2"/>
              <w:sz w:val="32"/>
              <w:szCs w:val="22"/>
              <w:u w:val="none"/>
              <w:lang w:val="en-US" w:eastAsia="zh-CN" w:bidi="ar-SA"/>
            </w:rPr>
            <w:fldChar w:fldCharType="end"/>
          </w:r>
          <w:r>
            <w:rPr>
              <w:rFonts w:hint="default" w:ascii="Times New Roman" w:hAnsi="Times New Roman" w:eastAsia="仿宋_GB2312" w:cs="Times New Roman"/>
              <w:kern w:val="2"/>
              <w:sz w:val="32"/>
              <w:szCs w:val="22"/>
              <w:u w:val="none"/>
              <w:lang w:val="en-US" w:eastAsia="zh-CN" w:bidi="ar-SA"/>
            </w:rPr>
            <w:fldChar w:fldCharType="end"/>
          </w:r>
        </w:p>
        <w:p w14:paraId="7F347D0C">
          <w:pPr>
            <w:widowControl w:val="0"/>
            <w:tabs>
              <w:tab w:val="right" w:leader="dot" w:pos="8297"/>
            </w:tabs>
            <w:adjustRightInd w:val="0"/>
            <w:snapToGrid w:val="0"/>
            <w:spacing w:line="360" w:lineRule="auto"/>
            <w:ind w:firstLine="0" w:firstLineChars="0"/>
            <w:jc w:val="both"/>
            <w:rPr>
              <w:rFonts w:hint="default" w:ascii="Times New Roman" w:hAnsi="Times New Roman" w:eastAsia="黑体" w:cs="Times New Roman"/>
              <w:kern w:val="2"/>
              <w:sz w:val="32"/>
              <w:szCs w:val="22"/>
              <w:u w:val="none"/>
              <w:lang w:val="en-US" w:eastAsia="zh-CN" w:bidi="ar-SA"/>
            </w:rPr>
          </w:pPr>
          <w:r>
            <w:rPr>
              <w:rFonts w:hint="default" w:ascii="Times New Roman" w:hAnsi="Times New Roman" w:eastAsia="黑体" w:cs="Times New Roman"/>
              <w:kern w:val="2"/>
              <w:sz w:val="32"/>
              <w:szCs w:val="22"/>
              <w:u w:val="none"/>
              <w:lang w:val="en-US" w:eastAsia="zh-CN" w:bidi="ar-SA"/>
            </w:rPr>
            <w:fldChar w:fldCharType="begin"/>
          </w:r>
          <w:r>
            <w:rPr>
              <w:rFonts w:hint="default" w:ascii="Times New Roman" w:hAnsi="Times New Roman" w:eastAsia="黑体" w:cs="Times New Roman"/>
              <w:kern w:val="2"/>
              <w:sz w:val="32"/>
              <w:szCs w:val="22"/>
              <w:u w:val="none"/>
              <w:lang w:val="en-US" w:eastAsia="zh-CN" w:bidi="ar-SA"/>
            </w:rPr>
            <w:instrText xml:space="preserve"> HYPERLINK \l _Toc28864 </w:instrText>
          </w:r>
          <w:r>
            <w:rPr>
              <w:rFonts w:hint="default" w:ascii="Times New Roman" w:hAnsi="Times New Roman" w:eastAsia="黑体" w:cs="Times New Roman"/>
              <w:kern w:val="2"/>
              <w:sz w:val="32"/>
              <w:szCs w:val="22"/>
              <w:u w:val="none"/>
              <w:lang w:val="en-US" w:eastAsia="zh-CN" w:bidi="ar-SA"/>
            </w:rPr>
            <w:fldChar w:fldCharType="separate"/>
          </w:r>
          <w:r>
            <w:rPr>
              <w:rFonts w:hint="default" w:ascii="Times New Roman" w:hAnsi="Times New Roman" w:eastAsia="黑体" w:cs="Times New Roman"/>
              <w:kern w:val="2"/>
              <w:sz w:val="32"/>
              <w:szCs w:val="22"/>
              <w:u w:val="none"/>
              <w:lang w:val="en-US" w:eastAsia="zh-CN" w:bidi="ar-SA"/>
            </w:rPr>
            <w:t>第六章 镇村统筹发展</w:t>
          </w:r>
          <w:r>
            <w:rPr>
              <w:rFonts w:hint="default" w:ascii="Times New Roman" w:hAnsi="Times New Roman" w:eastAsia="黑体" w:cs="Times New Roman"/>
              <w:kern w:val="2"/>
              <w:sz w:val="32"/>
              <w:szCs w:val="22"/>
              <w:u w:val="none"/>
              <w:lang w:val="en-US" w:eastAsia="zh-CN" w:bidi="ar-SA"/>
            </w:rPr>
            <w:tab/>
          </w:r>
          <w:r>
            <w:rPr>
              <w:rFonts w:hint="default" w:ascii="Times New Roman" w:hAnsi="Times New Roman" w:eastAsia="黑体" w:cs="Times New Roman"/>
              <w:kern w:val="2"/>
              <w:sz w:val="32"/>
              <w:szCs w:val="22"/>
              <w:u w:val="none"/>
              <w:lang w:val="en-US" w:eastAsia="zh-CN" w:bidi="ar-SA"/>
            </w:rPr>
            <w:fldChar w:fldCharType="begin"/>
          </w:r>
          <w:r>
            <w:rPr>
              <w:rFonts w:hint="default" w:ascii="Times New Roman" w:hAnsi="Times New Roman" w:eastAsia="黑体" w:cs="Times New Roman"/>
              <w:kern w:val="2"/>
              <w:sz w:val="32"/>
              <w:szCs w:val="22"/>
              <w:u w:val="none"/>
              <w:lang w:val="en-US" w:eastAsia="zh-CN" w:bidi="ar-SA"/>
            </w:rPr>
            <w:instrText xml:space="preserve"> PAGEREF _Toc28864 \h </w:instrText>
          </w:r>
          <w:r>
            <w:rPr>
              <w:rFonts w:hint="default" w:ascii="Times New Roman" w:hAnsi="Times New Roman" w:eastAsia="黑体" w:cs="Times New Roman"/>
              <w:kern w:val="2"/>
              <w:sz w:val="32"/>
              <w:szCs w:val="22"/>
              <w:u w:val="none"/>
              <w:lang w:val="en-US" w:eastAsia="zh-CN" w:bidi="ar-SA"/>
            </w:rPr>
            <w:fldChar w:fldCharType="separate"/>
          </w:r>
          <w:r>
            <w:rPr>
              <w:rFonts w:hint="default" w:ascii="Times New Roman" w:hAnsi="Times New Roman" w:eastAsia="黑体" w:cs="Times New Roman"/>
              <w:kern w:val="2"/>
              <w:sz w:val="32"/>
              <w:szCs w:val="22"/>
              <w:u w:val="none"/>
              <w:lang w:val="en-US" w:eastAsia="zh-CN" w:bidi="ar-SA"/>
            </w:rPr>
            <w:t>37</w:t>
          </w:r>
          <w:r>
            <w:rPr>
              <w:rFonts w:hint="default" w:ascii="Times New Roman" w:hAnsi="Times New Roman" w:eastAsia="黑体" w:cs="Times New Roman"/>
              <w:kern w:val="2"/>
              <w:sz w:val="32"/>
              <w:szCs w:val="22"/>
              <w:u w:val="none"/>
              <w:lang w:val="en-US" w:eastAsia="zh-CN" w:bidi="ar-SA"/>
            </w:rPr>
            <w:fldChar w:fldCharType="end"/>
          </w:r>
          <w:r>
            <w:rPr>
              <w:rFonts w:hint="default" w:ascii="Times New Roman" w:hAnsi="Times New Roman" w:eastAsia="黑体" w:cs="Times New Roman"/>
              <w:kern w:val="2"/>
              <w:sz w:val="32"/>
              <w:szCs w:val="22"/>
              <w:u w:val="none"/>
              <w:lang w:val="en-US" w:eastAsia="zh-CN" w:bidi="ar-SA"/>
            </w:rPr>
            <w:fldChar w:fldCharType="end"/>
          </w:r>
        </w:p>
        <w:p w14:paraId="37EC3E19">
          <w:pPr>
            <w:widowControl w:val="0"/>
            <w:tabs>
              <w:tab w:val="right" w:leader="dot" w:pos="8297"/>
            </w:tabs>
            <w:adjustRightInd w:val="0"/>
            <w:snapToGrid w:val="0"/>
            <w:spacing w:line="360" w:lineRule="auto"/>
            <w:ind w:firstLine="640" w:firstLineChars="200"/>
            <w:jc w:val="left"/>
            <w:rPr>
              <w:rFonts w:hint="default" w:ascii="Times New Roman" w:hAnsi="Times New Roman" w:eastAsia="仿宋_GB2312" w:cs="Times New Roman"/>
              <w:kern w:val="2"/>
              <w:sz w:val="32"/>
              <w:szCs w:val="22"/>
              <w:u w:val="none"/>
              <w:lang w:val="en-US" w:eastAsia="zh-CN" w:bidi="ar-SA"/>
            </w:rPr>
          </w:pP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HYPERLINK \l _Toc13057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第一节 镇村体系规划</w:t>
          </w:r>
          <w:r>
            <w:rPr>
              <w:rFonts w:hint="default" w:ascii="Times New Roman" w:hAnsi="Times New Roman" w:eastAsia="仿宋_GB2312" w:cs="Times New Roman"/>
              <w:kern w:val="2"/>
              <w:sz w:val="32"/>
              <w:szCs w:val="22"/>
              <w:u w:val="none"/>
              <w:lang w:val="en-US" w:eastAsia="zh-CN" w:bidi="ar-SA"/>
            </w:rPr>
            <w:tab/>
          </w: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PAGEREF _Toc13057 \h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37</w:t>
          </w:r>
          <w:r>
            <w:rPr>
              <w:rFonts w:hint="default" w:ascii="Times New Roman" w:hAnsi="Times New Roman" w:eastAsia="仿宋_GB2312" w:cs="Times New Roman"/>
              <w:kern w:val="2"/>
              <w:sz w:val="32"/>
              <w:szCs w:val="22"/>
              <w:u w:val="none"/>
              <w:lang w:val="en-US" w:eastAsia="zh-CN" w:bidi="ar-SA"/>
            </w:rPr>
            <w:fldChar w:fldCharType="end"/>
          </w:r>
          <w:r>
            <w:rPr>
              <w:rFonts w:hint="default" w:ascii="Times New Roman" w:hAnsi="Times New Roman" w:eastAsia="仿宋_GB2312" w:cs="Times New Roman"/>
              <w:kern w:val="2"/>
              <w:sz w:val="32"/>
              <w:szCs w:val="22"/>
              <w:u w:val="none"/>
              <w:lang w:val="en-US" w:eastAsia="zh-CN" w:bidi="ar-SA"/>
            </w:rPr>
            <w:fldChar w:fldCharType="end"/>
          </w:r>
        </w:p>
        <w:p w14:paraId="64FCC12E">
          <w:pPr>
            <w:widowControl w:val="0"/>
            <w:tabs>
              <w:tab w:val="right" w:leader="dot" w:pos="8297"/>
            </w:tabs>
            <w:adjustRightInd w:val="0"/>
            <w:snapToGrid w:val="0"/>
            <w:spacing w:line="360" w:lineRule="auto"/>
            <w:ind w:firstLine="640" w:firstLineChars="200"/>
            <w:jc w:val="left"/>
            <w:rPr>
              <w:rFonts w:hint="default" w:ascii="Times New Roman" w:hAnsi="Times New Roman" w:eastAsia="仿宋_GB2312" w:cs="Times New Roman"/>
              <w:kern w:val="2"/>
              <w:sz w:val="32"/>
              <w:szCs w:val="22"/>
              <w:u w:val="none"/>
              <w:lang w:val="en-US" w:eastAsia="zh-CN" w:bidi="ar-SA"/>
            </w:rPr>
          </w:pP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HYPERLINK \l _Toc10129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第二节 村庄分类分型发展</w:t>
          </w:r>
          <w:r>
            <w:rPr>
              <w:rFonts w:hint="default" w:ascii="Times New Roman" w:hAnsi="Times New Roman" w:eastAsia="仿宋_GB2312" w:cs="Times New Roman"/>
              <w:kern w:val="2"/>
              <w:sz w:val="32"/>
              <w:szCs w:val="22"/>
              <w:u w:val="none"/>
              <w:lang w:val="en-US" w:eastAsia="zh-CN" w:bidi="ar-SA"/>
            </w:rPr>
            <w:tab/>
          </w: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PAGEREF _Toc10129 \h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38</w:t>
          </w:r>
          <w:r>
            <w:rPr>
              <w:rFonts w:hint="default" w:ascii="Times New Roman" w:hAnsi="Times New Roman" w:eastAsia="仿宋_GB2312" w:cs="Times New Roman"/>
              <w:kern w:val="2"/>
              <w:sz w:val="32"/>
              <w:szCs w:val="22"/>
              <w:u w:val="none"/>
              <w:lang w:val="en-US" w:eastAsia="zh-CN" w:bidi="ar-SA"/>
            </w:rPr>
            <w:fldChar w:fldCharType="end"/>
          </w:r>
          <w:r>
            <w:rPr>
              <w:rFonts w:hint="default" w:ascii="Times New Roman" w:hAnsi="Times New Roman" w:eastAsia="仿宋_GB2312" w:cs="Times New Roman"/>
              <w:kern w:val="2"/>
              <w:sz w:val="32"/>
              <w:szCs w:val="22"/>
              <w:u w:val="none"/>
              <w:lang w:val="en-US" w:eastAsia="zh-CN" w:bidi="ar-SA"/>
            </w:rPr>
            <w:fldChar w:fldCharType="end"/>
          </w:r>
        </w:p>
        <w:p w14:paraId="7D23C91F">
          <w:pPr>
            <w:widowControl w:val="0"/>
            <w:tabs>
              <w:tab w:val="right" w:leader="dot" w:pos="8297"/>
            </w:tabs>
            <w:adjustRightInd w:val="0"/>
            <w:snapToGrid w:val="0"/>
            <w:spacing w:line="360" w:lineRule="auto"/>
            <w:ind w:firstLine="640" w:firstLineChars="200"/>
            <w:jc w:val="left"/>
            <w:rPr>
              <w:rFonts w:hint="default" w:ascii="Times New Roman" w:hAnsi="Times New Roman" w:eastAsia="仿宋_GB2312" w:cs="Times New Roman"/>
              <w:kern w:val="2"/>
              <w:sz w:val="32"/>
              <w:szCs w:val="22"/>
              <w:u w:val="none"/>
              <w:lang w:val="en-US" w:eastAsia="zh-CN" w:bidi="ar-SA"/>
            </w:rPr>
          </w:pP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HYPERLINK \l _Toc31956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
            </w:rPr>
            <w:t>第三节 “通则式”村庄规划管理规定</w:t>
          </w:r>
          <w:r>
            <w:rPr>
              <w:rFonts w:hint="default" w:ascii="Times New Roman" w:hAnsi="Times New Roman" w:eastAsia="仿宋_GB2312" w:cs="Times New Roman"/>
              <w:kern w:val="2"/>
              <w:sz w:val="32"/>
              <w:szCs w:val="22"/>
              <w:u w:val="none"/>
              <w:lang w:val="en-US" w:eastAsia="zh-CN" w:bidi="ar-SA"/>
            </w:rPr>
            <w:tab/>
          </w: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PAGEREF _Toc31956 \h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40</w:t>
          </w:r>
          <w:r>
            <w:rPr>
              <w:rFonts w:hint="default" w:ascii="Times New Roman" w:hAnsi="Times New Roman" w:eastAsia="仿宋_GB2312" w:cs="Times New Roman"/>
              <w:kern w:val="2"/>
              <w:sz w:val="32"/>
              <w:szCs w:val="22"/>
              <w:u w:val="none"/>
              <w:lang w:val="en-US" w:eastAsia="zh-CN" w:bidi="ar-SA"/>
            </w:rPr>
            <w:fldChar w:fldCharType="end"/>
          </w:r>
          <w:r>
            <w:rPr>
              <w:rFonts w:hint="default" w:ascii="Times New Roman" w:hAnsi="Times New Roman" w:eastAsia="仿宋_GB2312" w:cs="Times New Roman"/>
              <w:kern w:val="2"/>
              <w:sz w:val="32"/>
              <w:szCs w:val="22"/>
              <w:u w:val="none"/>
              <w:lang w:val="en-US" w:eastAsia="zh-CN" w:bidi="ar-SA"/>
            </w:rPr>
            <w:fldChar w:fldCharType="end"/>
          </w:r>
        </w:p>
        <w:p w14:paraId="51B6DA0D">
          <w:pPr>
            <w:widowControl w:val="0"/>
            <w:tabs>
              <w:tab w:val="right" w:leader="dot" w:pos="8297"/>
            </w:tabs>
            <w:adjustRightInd w:val="0"/>
            <w:snapToGrid w:val="0"/>
            <w:spacing w:line="360" w:lineRule="auto"/>
            <w:ind w:firstLine="640" w:firstLineChars="200"/>
            <w:jc w:val="left"/>
            <w:rPr>
              <w:rFonts w:hint="default" w:ascii="Times New Roman" w:hAnsi="Times New Roman" w:eastAsia="仿宋_GB2312" w:cs="Times New Roman"/>
              <w:kern w:val="2"/>
              <w:sz w:val="32"/>
              <w:szCs w:val="22"/>
              <w:u w:val="none"/>
              <w:lang w:val="en-US" w:eastAsia="zh-CN" w:bidi="ar-SA"/>
            </w:rPr>
          </w:pP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HYPERLINK \l _Toc30053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第四节 产业布局</w:t>
          </w:r>
          <w:r>
            <w:rPr>
              <w:rFonts w:hint="default" w:ascii="Times New Roman" w:hAnsi="Times New Roman" w:eastAsia="仿宋_GB2312" w:cs="Times New Roman"/>
              <w:kern w:val="2"/>
              <w:sz w:val="32"/>
              <w:szCs w:val="22"/>
              <w:u w:val="none"/>
              <w:lang w:val="en-US" w:eastAsia="zh-CN" w:bidi="ar-SA"/>
            </w:rPr>
            <w:tab/>
          </w: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PAGEREF _Toc30053 \h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44</w:t>
          </w:r>
          <w:r>
            <w:rPr>
              <w:rFonts w:hint="default" w:ascii="Times New Roman" w:hAnsi="Times New Roman" w:eastAsia="仿宋_GB2312" w:cs="Times New Roman"/>
              <w:kern w:val="2"/>
              <w:sz w:val="32"/>
              <w:szCs w:val="22"/>
              <w:u w:val="none"/>
              <w:lang w:val="en-US" w:eastAsia="zh-CN" w:bidi="ar-SA"/>
            </w:rPr>
            <w:fldChar w:fldCharType="end"/>
          </w:r>
          <w:r>
            <w:rPr>
              <w:rFonts w:hint="default" w:ascii="Times New Roman" w:hAnsi="Times New Roman" w:eastAsia="仿宋_GB2312" w:cs="Times New Roman"/>
              <w:kern w:val="2"/>
              <w:sz w:val="32"/>
              <w:szCs w:val="22"/>
              <w:u w:val="none"/>
              <w:lang w:val="en-US" w:eastAsia="zh-CN" w:bidi="ar-SA"/>
            </w:rPr>
            <w:fldChar w:fldCharType="end"/>
          </w:r>
        </w:p>
        <w:p w14:paraId="1CB1E88B">
          <w:pPr>
            <w:widowControl w:val="0"/>
            <w:tabs>
              <w:tab w:val="right" w:leader="dot" w:pos="8297"/>
            </w:tabs>
            <w:adjustRightInd w:val="0"/>
            <w:snapToGrid w:val="0"/>
            <w:spacing w:line="360" w:lineRule="auto"/>
            <w:ind w:firstLine="640" w:firstLineChars="200"/>
            <w:jc w:val="left"/>
            <w:rPr>
              <w:rFonts w:hint="default" w:ascii="Times New Roman" w:hAnsi="Times New Roman" w:eastAsia="仿宋_GB2312" w:cs="Times New Roman"/>
              <w:kern w:val="2"/>
              <w:sz w:val="32"/>
              <w:szCs w:val="22"/>
              <w:u w:val="none"/>
              <w:lang w:val="en-US" w:eastAsia="zh-CN" w:bidi="ar-SA"/>
            </w:rPr>
          </w:pP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HYPERLINK \l _Toc12055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第五节 景观风貌引导</w:t>
          </w:r>
          <w:r>
            <w:rPr>
              <w:rFonts w:hint="default" w:ascii="Times New Roman" w:hAnsi="Times New Roman" w:eastAsia="仿宋_GB2312" w:cs="Times New Roman"/>
              <w:kern w:val="2"/>
              <w:sz w:val="32"/>
              <w:szCs w:val="22"/>
              <w:u w:val="none"/>
              <w:lang w:val="en-US" w:eastAsia="zh-CN" w:bidi="ar-SA"/>
            </w:rPr>
            <w:tab/>
          </w: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PAGEREF _Toc12055 \h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49</w:t>
          </w:r>
          <w:r>
            <w:rPr>
              <w:rFonts w:hint="default" w:ascii="Times New Roman" w:hAnsi="Times New Roman" w:eastAsia="仿宋_GB2312" w:cs="Times New Roman"/>
              <w:kern w:val="2"/>
              <w:sz w:val="32"/>
              <w:szCs w:val="22"/>
              <w:u w:val="none"/>
              <w:lang w:val="en-US" w:eastAsia="zh-CN" w:bidi="ar-SA"/>
            </w:rPr>
            <w:fldChar w:fldCharType="end"/>
          </w:r>
          <w:r>
            <w:rPr>
              <w:rFonts w:hint="default" w:ascii="Times New Roman" w:hAnsi="Times New Roman" w:eastAsia="仿宋_GB2312" w:cs="Times New Roman"/>
              <w:kern w:val="2"/>
              <w:sz w:val="32"/>
              <w:szCs w:val="22"/>
              <w:u w:val="none"/>
              <w:lang w:val="en-US" w:eastAsia="zh-CN" w:bidi="ar-SA"/>
            </w:rPr>
            <w:fldChar w:fldCharType="end"/>
          </w:r>
        </w:p>
        <w:p w14:paraId="1B49C6E8">
          <w:pPr>
            <w:widowControl w:val="0"/>
            <w:tabs>
              <w:tab w:val="right" w:leader="dot" w:pos="8297"/>
            </w:tabs>
            <w:adjustRightInd w:val="0"/>
            <w:snapToGrid w:val="0"/>
            <w:spacing w:line="360" w:lineRule="auto"/>
            <w:ind w:firstLine="640" w:firstLineChars="200"/>
            <w:jc w:val="left"/>
            <w:rPr>
              <w:rFonts w:hint="default" w:ascii="Times New Roman" w:hAnsi="Times New Roman" w:eastAsia="仿宋_GB2312" w:cs="Times New Roman"/>
              <w:kern w:val="2"/>
              <w:sz w:val="32"/>
              <w:szCs w:val="22"/>
              <w:u w:val="none"/>
              <w:lang w:val="en-US" w:eastAsia="zh-CN" w:bidi="ar-SA"/>
            </w:rPr>
          </w:pP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HYPERLINK \l _Toc12927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第六节 全域旅游塑造</w:t>
          </w:r>
          <w:r>
            <w:rPr>
              <w:rFonts w:hint="default" w:ascii="Times New Roman" w:hAnsi="Times New Roman" w:eastAsia="仿宋_GB2312" w:cs="Times New Roman"/>
              <w:kern w:val="2"/>
              <w:sz w:val="32"/>
              <w:szCs w:val="22"/>
              <w:u w:val="none"/>
              <w:lang w:val="en-US" w:eastAsia="zh-CN" w:bidi="ar-SA"/>
            </w:rPr>
            <w:tab/>
          </w: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PAGEREF _Toc12927 \h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50</w:t>
          </w:r>
          <w:r>
            <w:rPr>
              <w:rFonts w:hint="default" w:ascii="Times New Roman" w:hAnsi="Times New Roman" w:eastAsia="仿宋_GB2312" w:cs="Times New Roman"/>
              <w:kern w:val="2"/>
              <w:sz w:val="32"/>
              <w:szCs w:val="22"/>
              <w:u w:val="none"/>
              <w:lang w:val="en-US" w:eastAsia="zh-CN" w:bidi="ar-SA"/>
            </w:rPr>
            <w:fldChar w:fldCharType="end"/>
          </w:r>
          <w:r>
            <w:rPr>
              <w:rFonts w:hint="default" w:ascii="Times New Roman" w:hAnsi="Times New Roman" w:eastAsia="仿宋_GB2312" w:cs="Times New Roman"/>
              <w:kern w:val="2"/>
              <w:sz w:val="32"/>
              <w:szCs w:val="22"/>
              <w:u w:val="none"/>
              <w:lang w:val="en-US" w:eastAsia="zh-CN" w:bidi="ar-SA"/>
            </w:rPr>
            <w:fldChar w:fldCharType="end"/>
          </w:r>
        </w:p>
        <w:p w14:paraId="2D30F3AA">
          <w:pPr>
            <w:widowControl w:val="0"/>
            <w:tabs>
              <w:tab w:val="right" w:leader="dot" w:pos="8297"/>
            </w:tabs>
            <w:adjustRightInd w:val="0"/>
            <w:snapToGrid w:val="0"/>
            <w:spacing w:line="360" w:lineRule="auto"/>
            <w:ind w:firstLine="0" w:firstLineChars="0"/>
            <w:jc w:val="both"/>
            <w:rPr>
              <w:rFonts w:hint="default" w:ascii="Times New Roman" w:hAnsi="Times New Roman" w:eastAsia="黑体" w:cs="Times New Roman"/>
              <w:kern w:val="2"/>
              <w:sz w:val="32"/>
              <w:szCs w:val="22"/>
              <w:u w:val="none"/>
              <w:lang w:val="en-US" w:eastAsia="zh-CN" w:bidi="ar-SA"/>
            </w:rPr>
          </w:pPr>
          <w:r>
            <w:rPr>
              <w:rFonts w:hint="default" w:ascii="Times New Roman" w:hAnsi="Times New Roman" w:eastAsia="黑体" w:cs="Times New Roman"/>
              <w:kern w:val="2"/>
              <w:sz w:val="32"/>
              <w:szCs w:val="22"/>
              <w:u w:val="none"/>
              <w:lang w:val="en-US" w:eastAsia="zh-CN" w:bidi="ar-SA"/>
            </w:rPr>
            <w:fldChar w:fldCharType="begin"/>
          </w:r>
          <w:r>
            <w:rPr>
              <w:rFonts w:hint="default" w:ascii="Times New Roman" w:hAnsi="Times New Roman" w:eastAsia="黑体" w:cs="Times New Roman"/>
              <w:kern w:val="2"/>
              <w:sz w:val="32"/>
              <w:szCs w:val="22"/>
              <w:u w:val="none"/>
              <w:lang w:val="en-US" w:eastAsia="zh-CN" w:bidi="ar-SA"/>
            </w:rPr>
            <w:instrText xml:space="preserve"> HYPERLINK \l _Toc1733 </w:instrText>
          </w:r>
          <w:r>
            <w:rPr>
              <w:rFonts w:hint="default" w:ascii="Times New Roman" w:hAnsi="Times New Roman" w:eastAsia="黑体" w:cs="Times New Roman"/>
              <w:kern w:val="2"/>
              <w:sz w:val="32"/>
              <w:szCs w:val="22"/>
              <w:u w:val="none"/>
              <w:lang w:val="en-US" w:eastAsia="zh-CN" w:bidi="ar-SA"/>
            </w:rPr>
            <w:fldChar w:fldCharType="separate"/>
          </w:r>
          <w:r>
            <w:rPr>
              <w:rFonts w:hint="default" w:ascii="Times New Roman" w:hAnsi="Times New Roman" w:eastAsia="黑体" w:cs="Times New Roman"/>
              <w:kern w:val="2"/>
              <w:sz w:val="32"/>
              <w:szCs w:val="22"/>
              <w:u w:val="none"/>
              <w:lang w:val="en-US" w:eastAsia="zh-CN" w:bidi="ar-SA"/>
            </w:rPr>
            <w:t>第七章 国土空间保障支撑体系</w:t>
          </w:r>
          <w:r>
            <w:rPr>
              <w:rFonts w:hint="default" w:ascii="Times New Roman" w:hAnsi="Times New Roman" w:eastAsia="黑体" w:cs="Times New Roman"/>
              <w:kern w:val="2"/>
              <w:sz w:val="32"/>
              <w:szCs w:val="22"/>
              <w:u w:val="none"/>
              <w:lang w:val="en-US" w:eastAsia="zh-CN" w:bidi="ar-SA"/>
            </w:rPr>
            <w:tab/>
          </w:r>
          <w:r>
            <w:rPr>
              <w:rFonts w:hint="default" w:ascii="Times New Roman" w:hAnsi="Times New Roman" w:eastAsia="黑体" w:cs="Times New Roman"/>
              <w:kern w:val="2"/>
              <w:sz w:val="32"/>
              <w:szCs w:val="22"/>
              <w:u w:val="none"/>
              <w:lang w:val="en-US" w:eastAsia="zh-CN" w:bidi="ar-SA"/>
            </w:rPr>
            <w:fldChar w:fldCharType="begin"/>
          </w:r>
          <w:r>
            <w:rPr>
              <w:rFonts w:hint="default" w:ascii="Times New Roman" w:hAnsi="Times New Roman" w:eastAsia="黑体" w:cs="Times New Roman"/>
              <w:kern w:val="2"/>
              <w:sz w:val="32"/>
              <w:szCs w:val="22"/>
              <w:u w:val="none"/>
              <w:lang w:val="en-US" w:eastAsia="zh-CN" w:bidi="ar-SA"/>
            </w:rPr>
            <w:instrText xml:space="preserve"> PAGEREF _Toc1733 \h </w:instrText>
          </w:r>
          <w:r>
            <w:rPr>
              <w:rFonts w:hint="default" w:ascii="Times New Roman" w:hAnsi="Times New Roman" w:eastAsia="黑体" w:cs="Times New Roman"/>
              <w:kern w:val="2"/>
              <w:sz w:val="32"/>
              <w:szCs w:val="22"/>
              <w:u w:val="none"/>
              <w:lang w:val="en-US" w:eastAsia="zh-CN" w:bidi="ar-SA"/>
            </w:rPr>
            <w:fldChar w:fldCharType="separate"/>
          </w:r>
          <w:r>
            <w:rPr>
              <w:rFonts w:hint="default" w:ascii="Times New Roman" w:hAnsi="Times New Roman" w:eastAsia="黑体" w:cs="Times New Roman"/>
              <w:kern w:val="2"/>
              <w:sz w:val="32"/>
              <w:szCs w:val="22"/>
              <w:u w:val="none"/>
              <w:lang w:val="en-US" w:eastAsia="zh-CN" w:bidi="ar-SA"/>
            </w:rPr>
            <w:t>53</w:t>
          </w:r>
          <w:r>
            <w:rPr>
              <w:rFonts w:hint="default" w:ascii="Times New Roman" w:hAnsi="Times New Roman" w:eastAsia="黑体" w:cs="Times New Roman"/>
              <w:kern w:val="2"/>
              <w:sz w:val="32"/>
              <w:szCs w:val="22"/>
              <w:u w:val="none"/>
              <w:lang w:val="en-US" w:eastAsia="zh-CN" w:bidi="ar-SA"/>
            </w:rPr>
            <w:fldChar w:fldCharType="end"/>
          </w:r>
          <w:r>
            <w:rPr>
              <w:rFonts w:hint="default" w:ascii="Times New Roman" w:hAnsi="Times New Roman" w:eastAsia="黑体" w:cs="Times New Roman"/>
              <w:kern w:val="2"/>
              <w:sz w:val="32"/>
              <w:szCs w:val="22"/>
              <w:u w:val="none"/>
              <w:lang w:val="en-US" w:eastAsia="zh-CN" w:bidi="ar-SA"/>
            </w:rPr>
            <w:fldChar w:fldCharType="end"/>
          </w:r>
        </w:p>
        <w:p w14:paraId="0F721C27">
          <w:pPr>
            <w:widowControl w:val="0"/>
            <w:tabs>
              <w:tab w:val="right" w:leader="dot" w:pos="8297"/>
            </w:tabs>
            <w:adjustRightInd w:val="0"/>
            <w:snapToGrid w:val="0"/>
            <w:spacing w:line="360" w:lineRule="auto"/>
            <w:ind w:firstLine="640" w:firstLineChars="200"/>
            <w:jc w:val="left"/>
            <w:rPr>
              <w:rFonts w:hint="default" w:ascii="Times New Roman" w:hAnsi="Times New Roman" w:eastAsia="仿宋_GB2312" w:cs="Times New Roman"/>
              <w:kern w:val="2"/>
              <w:sz w:val="32"/>
              <w:szCs w:val="22"/>
              <w:u w:val="none"/>
              <w:lang w:val="en-US" w:eastAsia="zh-CN" w:bidi="ar-SA"/>
            </w:rPr>
          </w:pP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HYPERLINK \l _Toc24232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第一节 公共服务设施</w:t>
          </w:r>
          <w:r>
            <w:rPr>
              <w:rFonts w:hint="default" w:ascii="Times New Roman" w:hAnsi="Times New Roman" w:eastAsia="仿宋_GB2312" w:cs="Times New Roman"/>
              <w:kern w:val="2"/>
              <w:sz w:val="32"/>
              <w:szCs w:val="22"/>
              <w:u w:val="none"/>
              <w:lang w:val="en-US" w:eastAsia="zh-CN" w:bidi="ar-SA"/>
            </w:rPr>
            <w:tab/>
          </w: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PAGEREF _Toc24232 \h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53</w:t>
          </w:r>
          <w:r>
            <w:rPr>
              <w:rFonts w:hint="default" w:ascii="Times New Roman" w:hAnsi="Times New Roman" w:eastAsia="仿宋_GB2312" w:cs="Times New Roman"/>
              <w:kern w:val="2"/>
              <w:sz w:val="32"/>
              <w:szCs w:val="22"/>
              <w:u w:val="none"/>
              <w:lang w:val="en-US" w:eastAsia="zh-CN" w:bidi="ar-SA"/>
            </w:rPr>
            <w:fldChar w:fldCharType="end"/>
          </w:r>
          <w:r>
            <w:rPr>
              <w:rFonts w:hint="default" w:ascii="Times New Roman" w:hAnsi="Times New Roman" w:eastAsia="仿宋_GB2312" w:cs="Times New Roman"/>
              <w:kern w:val="2"/>
              <w:sz w:val="32"/>
              <w:szCs w:val="22"/>
              <w:u w:val="none"/>
              <w:lang w:val="en-US" w:eastAsia="zh-CN" w:bidi="ar-SA"/>
            </w:rPr>
            <w:fldChar w:fldCharType="end"/>
          </w:r>
        </w:p>
        <w:p w14:paraId="56459D7A">
          <w:pPr>
            <w:widowControl w:val="0"/>
            <w:tabs>
              <w:tab w:val="right" w:leader="dot" w:pos="8297"/>
            </w:tabs>
            <w:adjustRightInd w:val="0"/>
            <w:snapToGrid w:val="0"/>
            <w:spacing w:line="360" w:lineRule="auto"/>
            <w:ind w:firstLine="640" w:firstLineChars="200"/>
            <w:jc w:val="left"/>
            <w:rPr>
              <w:rFonts w:hint="default" w:ascii="Times New Roman" w:hAnsi="Times New Roman" w:eastAsia="仿宋_GB2312" w:cs="Times New Roman"/>
              <w:kern w:val="2"/>
              <w:sz w:val="32"/>
              <w:szCs w:val="22"/>
              <w:u w:val="none"/>
              <w:lang w:val="en-US" w:eastAsia="zh-CN" w:bidi="ar-SA"/>
            </w:rPr>
          </w:pP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HYPERLINK \l _Toc18512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第二节 综合交通设施</w:t>
          </w:r>
          <w:r>
            <w:rPr>
              <w:rFonts w:hint="default" w:ascii="Times New Roman" w:hAnsi="Times New Roman" w:eastAsia="仿宋_GB2312" w:cs="Times New Roman"/>
              <w:kern w:val="2"/>
              <w:sz w:val="32"/>
              <w:szCs w:val="22"/>
              <w:u w:val="none"/>
              <w:lang w:val="en-US" w:eastAsia="zh-CN" w:bidi="ar-SA"/>
            </w:rPr>
            <w:tab/>
          </w: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PAGEREF _Toc18512 \h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55</w:t>
          </w:r>
          <w:r>
            <w:rPr>
              <w:rFonts w:hint="default" w:ascii="Times New Roman" w:hAnsi="Times New Roman" w:eastAsia="仿宋_GB2312" w:cs="Times New Roman"/>
              <w:kern w:val="2"/>
              <w:sz w:val="32"/>
              <w:szCs w:val="22"/>
              <w:u w:val="none"/>
              <w:lang w:val="en-US" w:eastAsia="zh-CN" w:bidi="ar-SA"/>
            </w:rPr>
            <w:fldChar w:fldCharType="end"/>
          </w:r>
          <w:r>
            <w:rPr>
              <w:rFonts w:hint="default" w:ascii="Times New Roman" w:hAnsi="Times New Roman" w:eastAsia="仿宋_GB2312" w:cs="Times New Roman"/>
              <w:kern w:val="2"/>
              <w:sz w:val="32"/>
              <w:szCs w:val="22"/>
              <w:u w:val="none"/>
              <w:lang w:val="en-US" w:eastAsia="zh-CN" w:bidi="ar-SA"/>
            </w:rPr>
            <w:fldChar w:fldCharType="end"/>
          </w:r>
        </w:p>
        <w:p w14:paraId="1D924E36">
          <w:pPr>
            <w:widowControl w:val="0"/>
            <w:tabs>
              <w:tab w:val="right" w:leader="dot" w:pos="8297"/>
            </w:tabs>
            <w:adjustRightInd w:val="0"/>
            <w:snapToGrid w:val="0"/>
            <w:spacing w:line="360" w:lineRule="auto"/>
            <w:ind w:firstLine="640" w:firstLineChars="200"/>
            <w:jc w:val="left"/>
            <w:rPr>
              <w:rFonts w:hint="default" w:ascii="Times New Roman" w:hAnsi="Times New Roman" w:eastAsia="仿宋_GB2312" w:cs="Times New Roman"/>
              <w:kern w:val="2"/>
              <w:sz w:val="32"/>
              <w:szCs w:val="22"/>
              <w:u w:val="none"/>
              <w:lang w:val="en-US" w:eastAsia="zh-CN" w:bidi="ar-SA"/>
            </w:rPr>
          </w:pP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HYPERLINK \l _Toc10518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第三节 市政配套设施</w:t>
          </w:r>
          <w:r>
            <w:rPr>
              <w:rFonts w:hint="default" w:ascii="Times New Roman" w:hAnsi="Times New Roman" w:eastAsia="仿宋_GB2312" w:cs="Times New Roman"/>
              <w:kern w:val="2"/>
              <w:sz w:val="32"/>
              <w:szCs w:val="22"/>
              <w:u w:val="none"/>
              <w:lang w:val="en-US" w:eastAsia="zh-CN" w:bidi="ar-SA"/>
            </w:rPr>
            <w:tab/>
          </w: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PAGEREF _Toc10518 \h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57</w:t>
          </w:r>
          <w:r>
            <w:rPr>
              <w:rFonts w:hint="default" w:ascii="Times New Roman" w:hAnsi="Times New Roman" w:eastAsia="仿宋_GB2312" w:cs="Times New Roman"/>
              <w:kern w:val="2"/>
              <w:sz w:val="32"/>
              <w:szCs w:val="22"/>
              <w:u w:val="none"/>
              <w:lang w:val="en-US" w:eastAsia="zh-CN" w:bidi="ar-SA"/>
            </w:rPr>
            <w:fldChar w:fldCharType="end"/>
          </w:r>
          <w:r>
            <w:rPr>
              <w:rFonts w:hint="default" w:ascii="Times New Roman" w:hAnsi="Times New Roman" w:eastAsia="仿宋_GB2312" w:cs="Times New Roman"/>
              <w:kern w:val="2"/>
              <w:sz w:val="32"/>
              <w:szCs w:val="22"/>
              <w:u w:val="none"/>
              <w:lang w:val="en-US" w:eastAsia="zh-CN" w:bidi="ar-SA"/>
            </w:rPr>
            <w:fldChar w:fldCharType="end"/>
          </w:r>
        </w:p>
        <w:p w14:paraId="176DA941">
          <w:pPr>
            <w:widowControl w:val="0"/>
            <w:tabs>
              <w:tab w:val="right" w:leader="dot" w:pos="8297"/>
            </w:tabs>
            <w:adjustRightInd w:val="0"/>
            <w:snapToGrid w:val="0"/>
            <w:spacing w:line="360" w:lineRule="auto"/>
            <w:ind w:firstLine="640" w:firstLineChars="200"/>
            <w:jc w:val="left"/>
            <w:rPr>
              <w:rFonts w:hint="default" w:ascii="Times New Roman" w:hAnsi="Times New Roman" w:eastAsia="仿宋_GB2312" w:cs="Times New Roman"/>
              <w:kern w:val="2"/>
              <w:sz w:val="32"/>
              <w:szCs w:val="22"/>
              <w:u w:val="none"/>
              <w:lang w:val="en-US" w:eastAsia="zh-CN" w:bidi="ar-SA"/>
            </w:rPr>
          </w:pP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HYPERLINK \l _Toc6266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第四节 防灾减灾与公共安全设施</w:t>
          </w:r>
          <w:r>
            <w:rPr>
              <w:rFonts w:hint="default" w:ascii="Times New Roman" w:hAnsi="Times New Roman" w:eastAsia="仿宋_GB2312" w:cs="Times New Roman"/>
              <w:kern w:val="2"/>
              <w:sz w:val="32"/>
              <w:szCs w:val="22"/>
              <w:u w:val="none"/>
              <w:lang w:val="en-US" w:eastAsia="zh-CN" w:bidi="ar-SA"/>
            </w:rPr>
            <w:tab/>
          </w: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PAGEREF _Toc6266 \h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60</w:t>
          </w:r>
          <w:r>
            <w:rPr>
              <w:rFonts w:hint="default" w:ascii="Times New Roman" w:hAnsi="Times New Roman" w:eastAsia="仿宋_GB2312" w:cs="Times New Roman"/>
              <w:kern w:val="2"/>
              <w:sz w:val="32"/>
              <w:szCs w:val="22"/>
              <w:u w:val="none"/>
              <w:lang w:val="en-US" w:eastAsia="zh-CN" w:bidi="ar-SA"/>
            </w:rPr>
            <w:fldChar w:fldCharType="end"/>
          </w:r>
          <w:r>
            <w:rPr>
              <w:rFonts w:hint="default" w:ascii="Times New Roman" w:hAnsi="Times New Roman" w:eastAsia="仿宋_GB2312" w:cs="Times New Roman"/>
              <w:kern w:val="2"/>
              <w:sz w:val="32"/>
              <w:szCs w:val="22"/>
              <w:u w:val="none"/>
              <w:lang w:val="en-US" w:eastAsia="zh-CN" w:bidi="ar-SA"/>
            </w:rPr>
            <w:fldChar w:fldCharType="end"/>
          </w:r>
        </w:p>
        <w:p w14:paraId="69CADC51">
          <w:pPr>
            <w:widowControl w:val="0"/>
            <w:tabs>
              <w:tab w:val="right" w:leader="dot" w:pos="8297"/>
            </w:tabs>
            <w:adjustRightInd w:val="0"/>
            <w:snapToGrid w:val="0"/>
            <w:spacing w:line="360" w:lineRule="auto"/>
            <w:ind w:firstLine="0" w:firstLineChars="0"/>
            <w:jc w:val="both"/>
            <w:rPr>
              <w:rFonts w:hint="default" w:ascii="Times New Roman" w:hAnsi="Times New Roman" w:eastAsia="黑体" w:cs="Times New Roman"/>
              <w:kern w:val="2"/>
              <w:sz w:val="32"/>
              <w:szCs w:val="22"/>
              <w:u w:val="none"/>
              <w:lang w:val="en-US" w:eastAsia="zh-CN" w:bidi="ar-SA"/>
            </w:rPr>
          </w:pPr>
          <w:r>
            <w:rPr>
              <w:rFonts w:hint="default" w:ascii="Times New Roman" w:hAnsi="Times New Roman" w:eastAsia="黑体" w:cs="Times New Roman"/>
              <w:kern w:val="2"/>
              <w:sz w:val="32"/>
              <w:szCs w:val="22"/>
              <w:u w:val="none"/>
              <w:lang w:val="en-US" w:eastAsia="zh-CN" w:bidi="ar-SA"/>
            </w:rPr>
            <w:fldChar w:fldCharType="begin"/>
          </w:r>
          <w:r>
            <w:rPr>
              <w:rFonts w:hint="default" w:ascii="Times New Roman" w:hAnsi="Times New Roman" w:eastAsia="黑体" w:cs="Times New Roman"/>
              <w:kern w:val="2"/>
              <w:sz w:val="32"/>
              <w:szCs w:val="22"/>
              <w:u w:val="none"/>
              <w:lang w:val="en-US" w:eastAsia="zh-CN" w:bidi="ar-SA"/>
            </w:rPr>
            <w:instrText xml:space="preserve"> HYPERLINK \l _Toc5211 </w:instrText>
          </w:r>
          <w:r>
            <w:rPr>
              <w:rFonts w:hint="default" w:ascii="Times New Roman" w:hAnsi="Times New Roman" w:eastAsia="黑体" w:cs="Times New Roman"/>
              <w:kern w:val="2"/>
              <w:sz w:val="32"/>
              <w:szCs w:val="22"/>
              <w:u w:val="none"/>
              <w:lang w:val="en-US" w:eastAsia="zh-CN" w:bidi="ar-SA"/>
            </w:rPr>
            <w:fldChar w:fldCharType="separate"/>
          </w:r>
          <w:r>
            <w:rPr>
              <w:rFonts w:hint="default" w:ascii="Times New Roman" w:hAnsi="Times New Roman" w:eastAsia="黑体" w:cs="Times New Roman"/>
              <w:kern w:val="2"/>
              <w:sz w:val="32"/>
              <w:szCs w:val="22"/>
              <w:u w:val="none"/>
              <w:lang w:val="en-US" w:eastAsia="zh-CN" w:bidi="ar-SA"/>
            </w:rPr>
            <w:t>第八章 生态修复和国土综合整治</w:t>
          </w:r>
          <w:r>
            <w:rPr>
              <w:rFonts w:hint="default" w:ascii="Times New Roman" w:hAnsi="Times New Roman" w:eastAsia="黑体" w:cs="Times New Roman"/>
              <w:kern w:val="2"/>
              <w:sz w:val="32"/>
              <w:szCs w:val="22"/>
              <w:u w:val="none"/>
              <w:lang w:val="en-US" w:eastAsia="zh-CN" w:bidi="ar-SA"/>
            </w:rPr>
            <w:tab/>
          </w:r>
          <w:r>
            <w:rPr>
              <w:rFonts w:hint="default" w:ascii="Times New Roman" w:hAnsi="Times New Roman" w:eastAsia="黑体" w:cs="Times New Roman"/>
              <w:kern w:val="2"/>
              <w:sz w:val="32"/>
              <w:szCs w:val="22"/>
              <w:u w:val="none"/>
              <w:lang w:val="en-US" w:eastAsia="zh-CN" w:bidi="ar-SA"/>
            </w:rPr>
            <w:fldChar w:fldCharType="begin"/>
          </w:r>
          <w:r>
            <w:rPr>
              <w:rFonts w:hint="default" w:ascii="Times New Roman" w:hAnsi="Times New Roman" w:eastAsia="黑体" w:cs="Times New Roman"/>
              <w:kern w:val="2"/>
              <w:sz w:val="32"/>
              <w:szCs w:val="22"/>
              <w:u w:val="none"/>
              <w:lang w:val="en-US" w:eastAsia="zh-CN" w:bidi="ar-SA"/>
            </w:rPr>
            <w:instrText xml:space="preserve"> PAGEREF _Toc5211 \h </w:instrText>
          </w:r>
          <w:r>
            <w:rPr>
              <w:rFonts w:hint="default" w:ascii="Times New Roman" w:hAnsi="Times New Roman" w:eastAsia="黑体" w:cs="Times New Roman"/>
              <w:kern w:val="2"/>
              <w:sz w:val="32"/>
              <w:szCs w:val="22"/>
              <w:u w:val="none"/>
              <w:lang w:val="en-US" w:eastAsia="zh-CN" w:bidi="ar-SA"/>
            </w:rPr>
            <w:fldChar w:fldCharType="separate"/>
          </w:r>
          <w:r>
            <w:rPr>
              <w:rFonts w:hint="default" w:ascii="Times New Roman" w:hAnsi="Times New Roman" w:eastAsia="黑体" w:cs="Times New Roman"/>
              <w:kern w:val="2"/>
              <w:sz w:val="32"/>
              <w:szCs w:val="22"/>
              <w:u w:val="none"/>
              <w:lang w:val="en-US" w:eastAsia="zh-CN" w:bidi="ar-SA"/>
            </w:rPr>
            <w:t>67</w:t>
          </w:r>
          <w:r>
            <w:rPr>
              <w:rFonts w:hint="default" w:ascii="Times New Roman" w:hAnsi="Times New Roman" w:eastAsia="黑体" w:cs="Times New Roman"/>
              <w:kern w:val="2"/>
              <w:sz w:val="32"/>
              <w:szCs w:val="22"/>
              <w:u w:val="none"/>
              <w:lang w:val="en-US" w:eastAsia="zh-CN" w:bidi="ar-SA"/>
            </w:rPr>
            <w:fldChar w:fldCharType="end"/>
          </w:r>
          <w:r>
            <w:rPr>
              <w:rFonts w:hint="default" w:ascii="Times New Roman" w:hAnsi="Times New Roman" w:eastAsia="黑体" w:cs="Times New Roman"/>
              <w:kern w:val="2"/>
              <w:sz w:val="32"/>
              <w:szCs w:val="22"/>
              <w:u w:val="none"/>
              <w:lang w:val="en-US" w:eastAsia="zh-CN" w:bidi="ar-SA"/>
            </w:rPr>
            <w:fldChar w:fldCharType="end"/>
          </w:r>
        </w:p>
        <w:p w14:paraId="0550E62E">
          <w:pPr>
            <w:widowControl w:val="0"/>
            <w:tabs>
              <w:tab w:val="right" w:leader="dot" w:pos="8297"/>
            </w:tabs>
            <w:adjustRightInd w:val="0"/>
            <w:snapToGrid w:val="0"/>
            <w:spacing w:line="360" w:lineRule="auto"/>
            <w:ind w:firstLine="640" w:firstLineChars="200"/>
            <w:jc w:val="left"/>
            <w:rPr>
              <w:rFonts w:hint="default" w:ascii="Times New Roman" w:hAnsi="Times New Roman" w:eastAsia="仿宋_GB2312" w:cs="Times New Roman"/>
              <w:kern w:val="2"/>
              <w:sz w:val="32"/>
              <w:szCs w:val="22"/>
              <w:u w:val="none"/>
              <w:lang w:val="en-US" w:eastAsia="zh-CN" w:bidi="ar-SA"/>
            </w:rPr>
          </w:pP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HYPERLINK \l _Toc1277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第一节 生态修复</w:t>
          </w:r>
          <w:r>
            <w:rPr>
              <w:rFonts w:hint="default" w:ascii="Times New Roman" w:hAnsi="Times New Roman" w:eastAsia="仿宋_GB2312" w:cs="Times New Roman"/>
              <w:kern w:val="2"/>
              <w:sz w:val="32"/>
              <w:szCs w:val="22"/>
              <w:u w:val="none"/>
              <w:lang w:val="en-US" w:eastAsia="zh-CN" w:bidi="ar-SA"/>
            </w:rPr>
            <w:tab/>
          </w: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PAGEREF _Toc1277 \h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67</w:t>
          </w:r>
          <w:r>
            <w:rPr>
              <w:rFonts w:hint="default" w:ascii="Times New Roman" w:hAnsi="Times New Roman" w:eastAsia="仿宋_GB2312" w:cs="Times New Roman"/>
              <w:kern w:val="2"/>
              <w:sz w:val="32"/>
              <w:szCs w:val="22"/>
              <w:u w:val="none"/>
              <w:lang w:val="en-US" w:eastAsia="zh-CN" w:bidi="ar-SA"/>
            </w:rPr>
            <w:fldChar w:fldCharType="end"/>
          </w:r>
          <w:r>
            <w:rPr>
              <w:rFonts w:hint="default" w:ascii="Times New Roman" w:hAnsi="Times New Roman" w:eastAsia="仿宋_GB2312" w:cs="Times New Roman"/>
              <w:kern w:val="2"/>
              <w:sz w:val="32"/>
              <w:szCs w:val="22"/>
              <w:u w:val="none"/>
              <w:lang w:val="en-US" w:eastAsia="zh-CN" w:bidi="ar-SA"/>
            </w:rPr>
            <w:fldChar w:fldCharType="end"/>
          </w:r>
        </w:p>
        <w:p w14:paraId="40F5C4A5">
          <w:pPr>
            <w:widowControl w:val="0"/>
            <w:tabs>
              <w:tab w:val="right" w:leader="dot" w:pos="8297"/>
            </w:tabs>
            <w:adjustRightInd w:val="0"/>
            <w:snapToGrid w:val="0"/>
            <w:spacing w:line="360" w:lineRule="auto"/>
            <w:ind w:firstLine="640" w:firstLineChars="200"/>
            <w:jc w:val="left"/>
            <w:rPr>
              <w:rFonts w:hint="default" w:ascii="Times New Roman" w:hAnsi="Times New Roman" w:eastAsia="仿宋_GB2312" w:cs="Times New Roman"/>
              <w:kern w:val="2"/>
              <w:sz w:val="32"/>
              <w:szCs w:val="22"/>
              <w:u w:val="none"/>
              <w:lang w:val="en-US" w:eastAsia="zh-CN" w:bidi="ar-SA"/>
            </w:rPr>
          </w:pP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HYPERLINK \l _Toc32501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第二节 国土综合整治</w:t>
          </w:r>
          <w:r>
            <w:rPr>
              <w:rFonts w:hint="default" w:ascii="Times New Roman" w:hAnsi="Times New Roman" w:eastAsia="仿宋_GB2312" w:cs="Times New Roman"/>
              <w:kern w:val="2"/>
              <w:sz w:val="32"/>
              <w:szCs w:val="22"/>
              <w:u w:val="none"/>
              <w:lang w:val="en-US" w:eastAsia="zh-CN" w:bidi="ar-SA"/>
            </w:rPr>
            <w:tab/>
          </w: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PAGEREF _Toc32501 \h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69</w:t>
          </w:r>
          <w:r>
            <w:rPr>
              <w:rFonts w:hint="default" w:ascii="Times New Roman" w:hAnsi="Times New Roman" w:eastAsia="仿宋_GB2312" w:cs="Times New Roman"/>
              <w:kern w:val="2"/>
              <w:sz w:val="32"/>
              <w:szCs w:val="22"/>
              <w:u w:val="none"/>
              <w:lang w:val="en-US" w:eastAsia="zh-CN" w:bidi="ar-SA"/>
            </w:rPr>
            <w:fldChar w:fldCharType="end"/>
          </w:r>
          <w:r>
            <w:rPr>
              <w:rFonts w:hint="default" w:ascii="Times New Roman" w:hAnsi="Times New Roman" w:eastAsia="仿宋_GB2312" w:cs="Times New Roman"/>
              <w:kern w:val="2"/>
              <w:sz w:val="32"/>
              <w:szCs w:val="22"/>
              <w:u w:val="none"/>
              <w:lang w:val="en-US" w:eastAsia="zh-CN" w:bidi="ar-SA"/>
            </w:rPr>
            <w:fldChar w:fldCharType="end"/>
          </w:r>
        </w:p>
        <w:p w14:paraId="2D64DBDB">
          <w:pPr>
            <w:widowControl w:val="0"/>
            <w:tabs>
              <w:tab w:val="right" w:leader="dot" w:pos="8297"/>
            </w:tabs>
            <w:adjustRightInd w:val="0"/>
            <w:snapToGrid w:val="0"/>
            <w:spacing w:line="360" w:lineRule="auto"/>
            <w:ind w:firstLine="0" w:firstLineChars="0"/>
            <w:jc w:val="both"/>
            <w:rPr>
              <w:rFonts w:hint="default" w:ascii="Times New Roman" w:hAnsi="Times New Roman" w:eastAsia="黑体" w:cs="Times New Roman"/>
              <w:kern w:val="2"/>
              <w:sz w:val="32"/>
              <w:szCs w:val="22"/>
              <w:u w:val="none"/>
              <w:lang w:val="en-US" w:eastAsia="zh-CN" w:bidi="ar-SA"/>
            </w:rPr>
          </w:pPr>
          <w:r>
            <w:rPr>
              <w:rFonts w:hint="default" w:ascii="Times New Roman" w:hAnsi="Times New Roman" w:eastAsia="黑体" w:cs="Times New Roman"/>
              <w:kern w:val="2"/>
              <w:sz w:val="32"/>
              <w:szCs w:val="22"/>
              <w:u w:val="none"/>
              <w:lang w:val="en-US" w:eastAsia="zh-CN" w:bidi="ar-SA"/>
            </w:rPr>
            <w:fldChar w:fldCharType="begin"/>
          </w:r>
          <w:r>
            <w:rPr>
              <w:rFonts w:hint="default" w:ascii="Times New Roman" w:hAnsi="Times New Roman" w:eastAsia="黑体" w:cs="Times New Roman"/>
              <w:kern w:val="2"/>
              <w:sz w:val="32"/>
              <w:szCs w:val="22"/>
              <w:u w:val="none"/>
              <w:lang w:val="en-US" w:eastAsia="zh-CN" w:bidi="ar-SA"/>
            </w:rPr>
            <w:instrText xml:space="preserve"> HYPERLINK \l _Toc870 </w:instrText>
          </w:r>
          <w:r>
            <w:rPr>
              <w:rFonts w:hint="default" w:ascii="Times New Roman" w:hAnsi="Times New Roman" w:eastAsia="黑体" w:cs="Times New Roman"/>
              <w:kern w:val="2"/>
              <w:sz w:val="32"/>
              <w:szCs w:val="22"/>
              <w:u w:val="none"/>
              <w:lang w:val="en-US" w:eastAsia="zh-CN" w:bidi="ar-SA"/>
            </w:rPr>
            <w:fldChar w:fldCharType="separate"/>
          </w:r>
          <w:r>
            <w:rPr>
              <w:rFonts w:hint="default" w:ascii="Times New Roman" w:hAnsi="Times New Roman" w:eastAsia="黑体" w:cs="Times New Roman"/>
              <w:kern w:val="2"/>
              <w:sz w:val="32"/>
              <w:szCs w:val="22"/>
              <w:u w:val="none"/>
              <w:lang w:val="en-US" w:eastAsia="zh-CN" w:bidi="ar-SA"/>
            </w:rPr>
            <w:t>第九章 镇中心区功能布局与规划管控</w:t>
          </w:r>
          <w:r>
            <w:rPr>
              <w:rFonts w:hint="default" w:ascii="Times New Roman" w:hAnsi="Times New Roman" w:eastAsia="黑体" w:cs="Times New Roman"/>
              <w:kern w:val="2"/>
              <w:sz w:val="32"/>
              <w:szCs w:val="22"/>
              <w:u w:val="none"/>
              <w:lang w:val="en-US" w:eastAsia="zh-CN" w:bidi="ar-SA"/>
            </w:rPr>
            <w:tab/>
          </w:r>
          <w:r>
            <w:rPr>
              <w:rFonts w:hint="default" w:ascii="Times New Roman" w:hAnsi="Times New Roman" w:eastAsia="黑体" w:cs="Times New Roman"/>
              <w:kern w:val="2"/>
              <w:sz w:val="32"/>
              <w:szCs w:val="22"/>
              <w:u w:val="none"/>
              <w:lang w:val="en-US" w:eastAsia="zh-CN" w:bidi="ar-SA"/>
            </w:rPr>
            <w:fldChar w:fldCharType="begin"/>
          </w:r>
          <w:r>
            <w:rPr>
              <w:rFonts w:hint="default" w:ascii="Times New Roman" w:hAnsi="Times New Roman" w:eastAsia="黑体" w:cs="Times New Roman"/>
              <w:kern w:val="2"/>
              <w:sz w:val="32"/>
              <w:szCs w:val="22"/>
              <w:u w:val="none"/>
              <w:lang w:val="en-US" w:eastAsia="zh-CN" w:bidi="ar-SA"/>
            </w:rPr>
            <w:instrText xml:space="preserve"> PAGEREF _Toc870 \h </w:instrText>
          </w:r>
          <w:r>
            <w:rPr>
              <w:rFonts w:hint="default" w:ascii="Times New Roman" w:hAnsi="Times New Roman" w:eastAsia="黑体" w:cs="Times New Roman"/>
              <w:kern w:val="2"/>
              <w:sz w:val="32"/>
              <w:szCs w:val="22"/>
              <w:u w:val="none"/>
              <w:lang w:val="en-US" w:eastAsia="zh-CN" w:bidi="ar-SA"/>
            </w:rPr>
            <w:fldChar w:fldCharType="separate"/>
          </w:r>
          <w:r>
            <w:rPr>
              <w:rFonts w:hint="default" w:ascii="Times New Roman" w:hAnsi="Times New Roman" w:eastAsia="黑体" w:cs="Times New Roman"/>
              <w:kern w:val="2"/>
              <w:sz w:val="32"/>
              <w:szCs w:val="22"/>
              <w:u w:val="none"/>
              <w:lang w:val="en-US" w:eastAsia="zh-CN" w:bidi="ar-SA"/>
            </w:rPr>
            <w:t>73</w:t>
          </w:r>
          <w:r>
            <w:rPr>
              <w:rFonts w:hint="default" w:ascii="Times New Roman" w:hAnsi="Times New Roman" w:eastAsia="黑体" w:cs="Times New Roman"/>
              <w:kern w:val="2"/>
              <w:sz w:val="32"/>
              <w:szCs w:val="22"/>
              <w:u w:val="none"/>
              <w:lang w:val="en-US" w:eastAsia="zh-CN" w:bidi="ar-SA"/>
            </w:rPr>
            <w:fldChar w:fldCharType="end"/>
          </w:r>
          <w:r>
            <w:rPr>
              <w:rFonts w:hint="default" w:ascii="Times New Roman" w:hAnsi="Times New Roman" w:eastAsia="黑体" w:cs="Times New Roman"/>
              <w:kern w:val="2"/>
              <w:sz w:val="32"/>
              <w:szCs w:val="22"/>
              <w:u w:val="none"/>
              <w:lang w:val="en-US" w:eastAsia="zh-CN" w:bidi="ar-SA"/>
            </w:rPr>
            <w:fldChar w:fldCharType="end"/>
          </w:r>
        </w:p>
        <w:p w14:paraId="5782DEB7">
          <w:pPr>
            <w:widowControl w:val="0"/>
            <w:tabs>
              <w:tab w:val="right" w:leader="dot" w:pos="8297"/>
            </w:tabs>
            <w:adjustRightInd w:val="0"/>
            <w:snapToGrid w:val="0"/>
            <w:spacing w:line="360" w:lineRule="auto"/>
            <w:ind w:firstLine="640" w:firstLineChars="200"/>
            <w:jc w:val="left"/>
            <w:rPr>
              <w:rFonts w:hint="default" w:ascii="Times New Roman" w:hAnsi="Times New Roman" w:eastAsia="仿宋_GB2312" w:cs="Times New Roman"/>
              <w:kern w:val="2"/>
              <w:sz w:val="32"/>
              <w:szCs w:val="22"/>
              <w:u w:val="none"/>
              <w:lang w:val="en-US" w:eastAsia="zh-CN" w:bidi="ar-SA"/>
            </w:rPr>
          </w:pP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HYPERLINK \l _Toc23862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第一节 用地结构和布局</w:t>
          </w:r>
          <w:r>
            <w:rPr>
              <w:rFonts w:hint="default" w:ascii="Times New Roman" w:hAnsi="Times New Roman" w:eastAsia="仿宋_GB2312" w:cs="Times New Roman"/>
              <w:kern w:val="2"/>
              <w:sz w:val="32"/>
              <w:szCs w:val="22"/>
              <w:u w:val="none"/>
              <w:lang w:val="en-US" w:eastAsia="zh-CN" w:bidi="ar-SA"/>
            </w:rPr>
            <w:tab/>
          </w: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PAGEREF _Toc23862 \h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73</w:t>
          </w:r>
          <w:r>
            <w:rPr>
              <w:rFonts w:hint="default" w:ascii="Times New Roman" w:hAnsi="Times New Roman" w:eastAsia="仿宋_GB2312" w:cs="Times New Roman"/>
              <w:kern w:val="2"/>
              <w:sz w:val="32"/>
              <w:szCs w:val="22"/>
              <w:u w:val="none"/>
              <w:lang w:val="en-US" w:eastAsia="zh-CN" w:bidi="ar-SA"/>
            </w:rPr>
            <w:fldChar w:fldCharType="end"/>
          </w:r>
          <w:r>
            <w:rPr>
              <w:rFonts w:hint="default" w:ascii="Times New Roman" w:hAnsi="Times New Roman" w:eastAsia="仿宋_GB2312" w:cs="Times New Roman"/>
              <w:kern w:val="2"/>
              <w:sz w:val="32"/>
              <w:szCs w:val="22"/>
              <w:u w:val="none"/>
              <w:lang w:val="en-US" w:eastAsia="zh-CN" w:bidi="ar-SA"/>
            </w:rPr>
            <w:fldChar w:fldCharType="end"/>
          </w:r>
        </w:p>
        <w:p w14:paraId="00C69B2B">
          <w:pPr>
            <w:widowControl w:val="0"/>
            <w:tabs>
              <w:tab w:val="right" w:leader="dot" w:pos="8297"/>
            </w:tabs>
            <w:adjustRightInd w:val="0"/>
            <w:snapToGrid w:val="0"/>
            <w:spacing w:line="360" w:lineRule="auto"/>
            <w:ind w:firstLine="640" w:firstLineChars="200"/>
            <w:jc w:val="left"/>
            <w:rPr>
              <w:rFonts w:hint="default" w:ascii="Times New Roman" w:hAnsi="Times New Roman" w:eastAsia="仿宋_GB2312" w:cs="Times New Roman"/>
              <w:kern w:val="2"/>
              <w:sz w:val="32"/>
              <w:szCs w:val="22"/>
              <w:u w:val="none"/>
              <w:lang w:val="en-US" w:eastAsia="zh-CN" w:bidi="ar-SA"/>
            </w:rPr>
          </w:pP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HYPERLINK \l _Toc8142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第二节 绿地系统和开敞空间</w:t>
          </w:r>
          <w:r>
            <w:rPr>
              <w:rFonts w:hint="default" w:ascii="Times New Roman" w:hAnsi="Times New Roman" w:eastAsia="仿宋_GB2312" w:cs="Times New Roman"/>
              <w:kern w:val="2"/>
              <w:sz w:val="32"/>
              <w:szCs w:val="22"/>
              <w:u w:val="none"/>
              <w:lang w:val="en-US" w:eastAsia="zh-CN" w:bidi="ar-SA"/>
            </w:rPr>
            <w:tab/>
          </w: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PAGEREF _Toc8142 \h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74</w:t>
          </w:r>
          <w:r>
            <w:rPr>
              <w:rFonts w:hint="default" w:ascii="Times New Roman" w:hAnsi="Times New Roman" w:eastAsia="仿宋_GB2312" w:cs="Times New Roman"/>
              <w:kern w:val="2"/>
              <w:sz w:val="32"/>
              <w:szCs w:val="22"/>
              <w:u w:val="none"/>
              <w:lang w:val="en-US" w:eastAsia="zh-CN" w:bidi="ar-SA"/>
            </w:rPr>
            <w:fldChar w:fldCharType="end"/>
          </w:r>
          <w:r>
            <w:rPr>
              <w:rFonts w:hint="default" w:ascii="Times New Roman" w:hAnsi="Times New Roman" w:eastAsia="仿宋_GB2312" w:cs="Times New Roman"/>
              <w:kern w:val="2"/>
              <w:sz w:val="32"/>
              <w:szCs w:val="22"/>
              <w:u w:val="none"/>
              <w:lang w:val="en-US" w:eastAsia="zh-CN" w:bidi="ar-SA"/>
            </w:rPr>
            <w:fldChar w:fldCharType="end"/>
          </w:r>
        </w:p>
        <w:p w14:paraId="1C9B0079">
          <w:pPr>
            <w:widowControl w:val="0"/>
            <w:tabs>
              <w:tab w:val="right" w:leader="dot" w:pos="8297"/>
            </w:tabs>
            <w:adjustRightInd w:val="0"/>
            <w:snapToGrid w:val="0"/>
            <w:spacing w:line="360" w:lineRule="auto"/>
            <w:ind w:firstLine="640" w:firstLineChars="200"/>
            <w:jc w:val="left"/>
            <w:rPr>
              <w:rFonts w:hint="default" w:ascii="Times New Roman" w:hAnsi="Times New Roman" w:eastAsia="仿宋_GB2312" w:cs="Times New Roman"/>
              <w:kern w:val="2"/>
              <w:sz w:val="32"/>
              <w:szCs w:val="22"/>
              <w:u w:val="none"/>
              <w:lang w:val="en-US" w:eastAsia="zh-CN" w:bidi="ar-SA"/>
            </w:rPr>
          </w:pP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HYPERLINK \l _Toc6046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第三节 景观风貌塑造</w:t>
          </w:r>
          <w:r>
            <w:rPr>
              <w:rFonts w:hint="default" w:ascii="Times New Roman" w:hAnsi="Times New Roman" w:eastAsia="仿宋_GB2312" w:cs="Times New Roman"/>
              <w:kern w:val="2"/>
              <w:sz w:val="32"/>
              <w:szCs w:val="22"/>
              <w:u w:val="none"/>
              <w:lang w:val="en-US" w:eastAsia="zh-CN" w:bidi="ar-SA"/>
            </w:rPr>
            <w:tab/>
          </w: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PAGEREF _Toc6046 \h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75</w:t>
          </w:r>
          <w:r>
            <w:rPr>
              <w:rFonts w:hint="default" w:ascii="Times New Roman" w:hAnsi="Times New Roman" w:eastAsia="仿宋_GB2312" w:cs="Times New Roman"/>
              <w:kern w:val="2"/>
              <w:sz w:val="32"/>
              <w:szCs w:val="22"/>
              <w:u w:val="none"/>
              <w:lang w:val="en-US" w:eastAsia="zh-CN" w:bidi="ar-SA"/>
            </w:rPr>
            <w:fldChar w:fldCharType="end"/>
          </w:r>
          <w:r>
            <w:rPr>
              <w:rFonts w:hint="default" w:ascii="Times New Roman" w:hAnsi="Times New Roman" w:eastAsia="仿宋_GB2312" w:cs="Times New Roman"/>
              <w:kern w:val="2"/>
              <w:sz w:val="32"/>
              <w:szCs w:val="22"/>
              <w:u w:val="none"/>
              <w:lang w:val="en-US" w:eastAsia="zh-CN" w:bidi="ar-SA"/>
            </w:rPr>
            <w:fldChar w:fldCharType="end"/>
          </w:r>
        </w:p>
        <w:p w14:paraId="7D5C5D9B">
          <w:pPr>
            <w:widowControl w:val="0"/>
            <w:tabs>
              <w:tab w:val="right" w:leader="dot" w:pos="8297"/>
            </w:tabs>
            <w:adjustRightInd w:val="0"/>
            <w:snapToGrid w:val="0"/>
            <w:spacing w:line="360" w:lineRule="auto"/>
            <w:ind w:firstLine="640" w:firstLineChars="200"/>
            <w:jc w:val="left"/>
            <w:rPr>
              <w:rFonts w:hint="default" w:ascii="Times New Roman" w:hAnsi="Times New Roman" w:eastAsia="仿宋_GB2312" w:cs="Times New Roman"/>
              <w:kern w:val="2"/>
              <w:sz w:val="32"/>
              <w:szCs w:val="22"/>
              <w:u w:val="none"/>
              <w:lang w:val="en-US" w:eastAsia="zh-CN" w:bidi="ar-SA"/>
            </w:rPr>
          </w:pP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HYPERLINK \l _Toc8790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第四节 住房保障</w:t>
          </w:r>
          <w:r>
            <w:rPr>
              <w:rFonts w:hint="default" w:ascii="Times New Roman" w:hAnsi="Times New Roman" w:eastAsia="仿宋_GB2312" w:cs="Times New Roman"/>
              <w:kern w:val="2"/>
              <w:sz w:val="32"/>
              <w:szCs w:val="22"/>
              <w:u w:val="none"/>
              <w:lang w:val="en-US" w:eastAsia="zh-CN" w:bidi="ar-SA"/>
            </w:rPr>
            <w:tab/>
          </w: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PAGEREF _Toc8790 \h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76</w:t>
          </w:r>
          <w:r>
            <w:rPr>
              <w:rFonts w:hint="default" w:ascii="Times New Roman" w:hAnsi="Times New Roman" w:eastAsia="仿宋_GB2312" w:cs="Times New Roman"/>
              <w:kern w:val="2"/>
              <w:sz w:val="32"/>
              <w:szCs w:val="22"/>
              <w:u w:val="none"/>
              <w:lang w:val="en-US" w:eastAsia="zh-CN" w:bidi="ar-SA"/>
            </w:rPr>
            <w:fldChar w:fldCharType="end"/>
          </w:r>
          <w:r>
            <w:rPr>
              <w:rFonts w:hint="default" w:ascii="Times New Roman" w:hAnsi="Times New Roman" w:eastAsia="仿宋_GB2312" w:cs="Times New Roman"/>
              <w:kern w:val="2"/>
              <w:sz w:val="32"/>
              <w:szCs w:val="22"/>
              <w:u w:val="none"/>
              <w:lang w:val="en-US" w:eastAsia="zh-CN" w:bidi="ar-SA"/>
            </w:rPr>
            <w:fldChar w:fldCharType="end"/>
          </w:r>
        </w:p>
        <w:p w14:paraId="2B40A1A2">
          <w:pPr>
            <w:widowControl w:val="0"/>
            <w:tabs>
              <w:tab w:val="right" w:leader="dot" w:pos="8297"/>
            </w:tabs>
            <w:adjustRightInd w:val="0"/>
            <w:snapToGrid w:val="0"/>
            <w:spacing w:line="360" w:lineRule="auto"/>
            <w:ind w:firstLine="640" w:firstLineChars="200"/>
            <w:jc w:val="left"/>
            <w:rPr>
              <w:rFonts w:hint="default" w:ascii="Times New Roman" w:hAnsi="Times New Roman" w:eastAsia="仿宋_GB2312" w:cs="Times New Roman"/>
              <w:kern w:val="2"/>
              <w:sz w:val="32"/>
              <w:szCs w:val="22"/>
              <w:u w:val="none"/>
              <w:lang w:val="en-US" w:eastAsia="zh-CN" w:bidi="ar-SA"/>
            </w:rPr>
          </w:pP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HYPERLINK \l _Toc22754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第五节 城镇更新</w:t>
          </w:r>
          <w:r>
            <w:rPr>
              <w:rFonts w:hint="default" w:ascii="Times New Roman" w:hAnsi="Times New Roman" w:eastAsia="仿宋_GB2312" w:cs="Times New Roman"/>
              <w:kern w:val="2"/>
              <w:sz w:val="32"/>
              <w:szCs w:val="22"/>
              <w:u w:val="none"/>
              <w:lang w:val="en-US" w:eastAsia="zh-CN" w:bidi="ar-SA"/>
            </w:rPr>
            <w:tab/>
          </w: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PAGEREF _Toc22754 \h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77</w:t>
          </w:r>
          <w:r>
            <w:rPr>
              <w:rFonts w:hint="default" w:ascii="Times New Roman" w:hAnsi="Times New Roman" w:eastAsia="仿宋_GB2312" w:cs="Times New Roman"/>
              <w:kern w:val="2"/>
              <w:sz w:val="32"/>
              <w:szCs w:val="22"/>
              <w:u w:val="none"/>
              <w:lang w:val="en-US" w:eastAsia="zh-CN" w:bidi="ar-SA"/>
            </w:rPr>
            <w:fldChar w:fldCharType="end"/>
          </w:r>
          <w:r>
            <w:rPr>
              <w:rFonts w:hint="default" w:ascii="Times New Roman" w:hAnsi="Times New Roman" w:eastAsia="仿宋_GB2312" w:cs="Times New Roman"/>
              <w:kern w:val="2"/>
              <w:sz w:val="32"/>
              <w:szCs w:val="22"/>
              <w:u w:val="none"/>
              <w:lang w:val="en-US" w:eastAsia="zh-CN" w:bidi="ar-SA"/>
            </w:rPr>
            <w:fldChar w:fldCharType="end"/>
          </w:r>
        </w:p>
        <w:p w14:paraId="2EAE4774">
          <w:pPr>
            <w:widowControl w:val="0"/>
            <w:tabs>
              <w:tab w:val="right" w:leader="dot" w:pos="8297"/>
            </w:tabs>
            <w:adjustRightInd w:val="0"/>
            <w:snapToGrid w:val="0"/>
            <w:spacing w:line="360" w:lineRule="auto"/>
            <w:ind w:firstLine="640" w:firstLineChars="200"/>
            <w:jc w:val="left"/>
            <w:rPr>
              <w:rFonts w:hint="default" w:ascii="Times New Roman" w:hAnsi="Times New Roman" w:eastAsia="仿宋_GB2312" w:cs="Times New Roman"/>
              <w:kern w:val="2"/>
              <w:sz w:val="32"/>
              <w:szCs w:val="22"/>
              <w:u w:val="none"/>
              <w:lang w:val="en-US" w:eastAsia="zh-CN" w:bidi="ar-SA"/>
            </w:rPr>
          </w:pP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HYPERLINK \l _Toc27029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第六节 公共服务设施</w:t>
          </w:r>
          <w:r>
            <w:rPr>
              <w:rFonts w:hint="default" w:ascii="Times New Roman" w:hAnsi="Times New Roman" w:eastAsia="仿宋_GB2312" w:cs="Times New Roman"/>
              <w:kern w:val="2"/>
              <w:sz w:val="32"/>
              <w:szCs w:val="22"/>
              <w:u w:val="none"/>
              <w:lang w:val="en-US" w:eastAsia="zh-CN" w:bidi="ar-SA"/>
            </w:rPr>
            <w:tab/>
          </w: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PAGEREF _Toc27029 \h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79</w:t>
          </w:r>
          <w:r>
            <w:rPr>
              <w:rFonts w:hint="default" w:ascii="Times New Roman" w:hAnsi="Times New Roman" w:eastAsia="仿宋_GB2312" w:cs="Times New Roman"/>
              <w:kern w:val="2"/>
              <w:sz w:val="32"/>
              <w:szCs w:val="22"/>
              <w:u w:val="none"/>
              <w:lang w:val="en-US" w:eastAsia="zh-CN" w:bidi="ar-SA"/>
            </w:rPr>
            <w:fldChar w:fldCharType="end"/>
          </w:r>
          <w:r>
            <w:rPr>
              <w:rFonts w:hint="default" w:ascii="Times New Roman" w:hAnsi="Times New Roman" w:eastAsia="仿宋_GB2312" w:cs="Times New Roman"/>
              <w:kern w:val="2"/>
              <w:sz w:val="32"/>
              <w:szCs w:val="22"/>
              <w:u w:val="none"/>
              <w:lang w:val="en-US" w:eastAsia="zh-CN" w:bidi="ar-SA"/>
            </w:rPr>
            <w:fldChar w:fldCharType="end"/>
          </w:r>
        </w:p>
        <w:p w14:paraId="5083A9C1">
          <w:pPr>
            <w:widowControl w:val="0"/>
            <w:tabs>
              <w:tab w:val="right" w:leader="dot" w:pos="8297"/>
            </w:tabs>
            <w:adjustRightInd w:val="0"/>
            <w:snapToGrid w:val="0"/>
            <w:spacing w:line="360" w:lineRule="auto"/>
            <w:ind w:firstLine="640" w:firstLineChars="200"/>
            <w:jc w:val="left"/>
            <w:rPr>
              <w:rFonts w:hint="default" w:ascii="Times New Roman" w:hAnsi="Times New Roman" w:eastAsia="仿宋_GB2312" w:cs="Times New Roman"/>
              <w:kern w:val="2"/>
              <w:sz w:val="32"/>
              <w:szCs w:val="22"/>
              <w:u w:val="none"/>
              <w:lang w:val="en-US" w:eastAsia="zh-CN" w:bidi="ar-SA"/>
            </w:rPr>
          </w:pP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HYPERLINK \l _Toc12584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第七节 道路交通设施</w:t>
          </w:r>
          <w:r>
            <w:rPr>
              <w:rFonts w:hint="default" w:ascii="Times New Roman" w:hAnsi="Times New Roman" w:eastAsia="仿宋_GB2312" w:cs="Times New Roman"/>
              <w:kern w:val="2"/>
              <w:sz w:val="32"/>
              <w:szCs w:val="22"/>
              <w:u w:val="none"/>
              <w:lang w:val="en-US" w:eastAsia="zh-CN" w:bidi="ar-SA"/>
            </w:rPr>
            <w:tab/>
          </w: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PAGEREF _Toc12584 \h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80</w:t>
          </w:r>
          <w:r>
            <w:rPr>
              <w:rFonts w:hint="default" w:ascii="Times New Roman" w:hAnsi="Times New Roman" w:eastAsia="仿宋_GB2312" w:cs="Times New Roman"/>
              <w:kern w:val="2"/>
              <w:sz w:val="32"/>
              <w:szCs w:val="22"/>
              <w:u w:val="none"/>
              <w:lang w:val="en-US" w:eastAsia="zh-CN" w:bidi="ar-SA"/>
            </w:rPr>
            <w:fldChar w:fldCharType="end"/>
          </w:r>
          <w:r>
            <w:rPr>
              <w:rFonts w:hint="default" w:ascii="Times New Roman" w:hAnsi="Times New Roman" w:eastAsia="仿宋_GB2312" w:cs="Times New Roman"/>
              <w:kern w:val="2"/>
              <w:sz w:val="32"/>
              <w:szCs w:val="22"/>
              <w:u w:val="none"/>
              <w:lang w:val="en-US" w:eastAsia="zh-CN" w:bidi="ar-SA"/>
            </w:rPr>
            <w:fldChar w:fldCharType="end"/>
          </w:r>
        </w:p>
        <w:p w14:paraId="1B3CFB73">
          <w:pPr>
            <w:widowControl w:val="0"/>
            <w:tabs>
              <w:tab w:val="right" w:leader="dot" w:pos="8297"/>
            </w:tabs>
            <w:adjustRightInd w:val="0"/>
            <w:snapToGrid w:val="0"/>
            <w:spacing w:line="360" w:lineRule="auto"/>
            <w:ind w:firstLine="640" w:firstLineChars="200"/>
            <w:jc w:val="left"/>
            <w:rPr>
              <w:rFonts w:hint="default" w:ascii="Times New Roman" w:hAnsi="Times New Roman" w:eastAsia="仿宋_GB2312" w:cs="Times New Roman"/>
              <w:kern w:val="2"/>
              <w:sz w:val="32"/>
              <w:szCs w:val="22"/>
              <w:u w:val="none"/>
              <w:lang w:val="en-US" w:eastAsia="zh-CN" w:bidi="ar-SA"/>
            </w:rPr>
          </w:pP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HYPERLINK \l _Toc26965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第八节 市政设施</w:t>
          </w:r>
          <w:r>
            <w:rPr>
              <w:rFonts w:hint="default" w:ascii="Times New Roman" w:hAnsi="Times New Roman" w:eastAsia="仿宋_GB2312" w:cs="Times New Roman"/>
              <w:kern w:val="2"/>
              <w:sz w:val="32"/>
              <w:szCs w:val="22"/>
              <w:u w:val="none"/>
              <w:lang w:val="en-US" w:eastAsia="zh-CN" w:bidi="ar-SA"/>
            </w:rPr>
            <w:tab/>
          </w: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PAGEREF _Toc26965 \h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82</w:t>
          </w:r>
          <w:r>
            <w:rPr>
              <w:rFonts w:hint="default" w:ascii="Times New Roman" w:hAnsi="Times New Roman" w:eastAsia="仿宋_GB2312" w:cs="Times New Roman"/>
              <w:kern w:val="2"/>
              <w:sz w:val="32"/>
              <w:szCs w:val="22"/>
              <w:u w:val="none"/>
              <w:lang w:val="en-US" w:eastAsia="zh-CN" w:bidi="ar-SA"/>
            </w:rPr>
            <w:fldChar w:fldCharType="end"/>
          </w:r>
          <w:r>
            <w:rPr>
              <w:rFonts w:hint="default" w:ascii="Times New Roman" w:hAnsi="Times New Roman" w:eastAsia="仿宋_GB2312" w:cs="Times New Roman"/>
              <w:kern w:val="2"/>
              <w:sz w:val="32"/>
              <w:szCs w:val="22"/>
              <w:u w:val="none"/>
              <w:lang w:val="en-US" w:eastAsia="zh-CN" w:bidi="ar-SA"/>
            </w:rPr>
            <w:fldChar w:fldCharType="end"/>
          </w:r>
        </w:p>
        <w:p w14:paraId="013CA8F8">
          <w:pPr>
            <w:widowControl w:val="0"/>
            <w:tabs>
              <w:tab w:val="right" w:leader="dot" w:pos="8297"/>
            </w:tabs>
            <w:adjustRightInd w:val="0"/>
            <w:snapToGrid w:val="0"/>
            <w:spacing w:line="360" w:lineRule="auto"/>
            <w:ind w:firstLine="640" w:firstLineChars="200"/>
            <w:jc w:val="left"/>
            <w:rPr>
              <w:rFonts w:hint="default" w:ascii="Times New Roman" w:hAnsi="Times New Roman" w:eastAsia="仿宋_GB2312" w:cs="Times New Roman"/>
              <w:kern w:val="2"/>
              <w:sz w:val="32"/>
              <w:szCs w:val="22"/>
              <w:u w:val="none"/>
              <w:lang w:val="en-US" w:eastAsia="zh-CN" w:bidi="ar-SA"/>
            </w:rPr>
          </w:pP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HYPERLINK \l _Toc24656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第九节 “四线”管控</w:t>
          </w:r>
          <w:r>
            <w:rPr>
              <w:rFonts w:hint="default" w:ascii="Times New Roman" w:hAnsi="Times New Roman" w:eastAsia="仿宋_GB2312" w:cs="Times New Roman"/>
              <w:kern w:val="2"/>
              <w:sz w:val="32"/>
              <w:szCs w:val="22"/>
              <w:u w:val="none"/>
              <w:lang w:val="en-US" w:eastAsia="zh-CN" w:bidi="ar-SA"/>
            </w:rPr>
            <w:tab/>
          </w: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PAGEREF _Toc24656 \h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86</w:t>
          </w:r>
          <w:r>
            <w:rPr>
              <w:rFonts w:hint="default" w:ascii="Times New Roman" w:hAnsi="Times New Roman" w:eastAsia="仿宋_GB2312" w:cs="Times New Roman"/>
              <w:kern w:val="2"/>
              <w:sz w:val="32"/>
              <w:szCs w:val="22"/>
              <w:u w:val="none"/>
              <w:lang w:val="en-US" w:eastAsia="zh-CN" w:bidi="ar-SA"/>
            </w:rPr>
            <w:fldChar w:fldCharType="end"/>
          </w:r>
          <w:r>
            <w:rPr>
              <w:rFonts w:hint="default" w:ascii="Times New Roman" w:hAnsi="Times New Roman" w:eastAsia="仿宋_GB2312" w:cs="Times New Roman"/>
              <w:kern w:val="2"/>
              <w:sz w:val="32"/>
              <w:szCs w:val="22"/>
              <w:u w:val="none"/>
              <w:lang w:val="en-US" w:eastAsia="zh-CN" w:bidi="ar-SA"/>
            </w:rPr>
            <w:fldChar w:fldCharType="end"/>
          </w:r>
        </w:p>
        <w:p w14:paraId="05220836">
          <w:pPr>
            <w:widowControl w:val="0"/>
            <w:tabs>
              <w:tab w:val="right" w:leader="dot" w:pos="8297"/>
            </w:tabs>
            <w:adjustRightInd w:val="0"/>
            <w:snapToGrid w:val="0"/>
            <w:spacing w:line="360" w:lineRule="auto"/>
            <w:ind w:firstLine="0" w:firstLineChars="0"/>
            <w:jc w:val="both"/>
            <w:rPr>
              <w:rFonts w:hint="default" w:ascii="Times New Roman" w:hAnsi="Times New Roman" w:eastAsia="黑体" w:cs="Times New Roman"/>
              <w:kern w:val="2"/>
              <w:sz w:val="32"/>
              <w:szCs w:val="22"/>
              <w:u w:val="none"/>
              <w:lang w:val="en-US" w:eastAsia="zh-CN" w:bidi="ar-SA"/>
            </w:rPr>
          </w:pPr>
          <w:r>
            <w:rPr>
              <w:rFonts w:hint="default" w:ascii="Times New Roman" w:hAnsi="Times New Roman" w:eastAsia="黑体" w:cs="Times New Roman"/>
              <w:kern w:val="2"/>
              <w:sz w:val="32"/>
              <w:szCs w:val="22"/>
              <w:u w:val="none"/>
              <w:lang w:val="en-US" w:eastAsia="zh-CN" w:bidi="ar-SA"/>
            </w:rPr>
            <w:fldChar w:fldCharType="begin"/>
          </w:r>
          <w:r>
            <w:rPr>
              <w:rFonts w:hint="default" w:ascii="Times New Roman" w:hAnsi="Times New Roman" w:eastAsia="黑体" w:cs="Times New Roman"/>
              <w:kern w:val="2"/>
              <w:sz w:val="32"/>
              <w:szCs w:val="22"/>
              <w:u w:val="none"/>
              <w:lang w:val="en-US" w:eastAsia="zh-CN" w:bidi="ar-SA"/>
            </w:rPr>
            <w:instrText xml:space="preserve"> HYPERLINK \l _Toc30798 </w:instrText>
          </w:r>
          <w:r>
            <w:rPr>
              <w:rFonts w:hint="default" w:ascii="Times New Roman" w:hAnsi="Times New Roman" w:eastAsia="黑体" w:cs="Times New Roman"/>
              <w:kern w:val="2"/>
              <w:sz w:val="32"/>
              <w:szCs w:val="22"/>
              <w:u w:val="none"/>
              <w:lang w:val="en-US" w:eastAsia="zh-CN" w:bidi="ar-SA"/>
            </w:rPr>
            <w:fldChar w:fldCharType="separate"/>
          </w:r>
          <w:r>
            <w:rPr>
              <w:rFonts w:hint="default" w:ascii="Times New Roman" w:hAnsi="Times New Roman" w:eastAsia="黑体" w:cs="Times New Roman"/>
              <w:kern w:val="2"/>
              <w:sz w:val="32"/>
              <w:szCs w:val="22"/>
              <w:u w:val="none"/>
              <w:lang w:val="en-US" w:eastAsia="zh-CN" w:bidi="ar-SA"/>
            </w:rPr>
            <w:t>第十章 规划传导与近期建设</w:t>
          </w:r>
          <w:r>
            <w:rPr>
              <w:rFonts w:hint="default" w:ascii="Times New Roman" w:hAnsi="Times New Roman" w:eastAsia="黑体" w:cs="Times New Roman"/>
              <w:kern w:val="2"/>
              <w:sz w:val="32"/>
              <w:szCs w:val="22"/>
              <w:u w:val="none"/>
              <w:lang w:val="en-US" w:eastAsia="zh-CN" w:bidi="ar-SA"/>
            </w:rPr>
            <w:tab/>
          </w:r>
          <w:r>
            <w:rPr>
              <w:rFonts w:hint="default" w:ascii="Times New Roman" w:hAnsi="Times New Roman" w:eastAsia="黑体" w:cs="Times New Roman"/>
              <w:kern w:val="2"/>
              <w:sz w:val="32"/>
              <w:szCs w:val="22"/>
              <w:u w:val="none"/>
              <w:lang w:val="en-US" w:eastAsia="zh-CN" w:bidi="ar-SA"/>
            </w:rPr>
            <w:fldChar w:fldCharType="begin"/>
          </w:r>
          <w:r>
            <w:rPr>
              <w:rFonts w:hint="default" w:ascii="Times New Roman" w:hAnsi="Times New Roman" w:eastAsia="黑体" w:cs="Times New Roman"/>
              <w:kern w:val="2"/>
              <w:sz w:val="32"/>
              <w:szCs w:val="22"/>
              <w:u w:val="none"/>
              <w:lang w:val="en-US" w:eastAsia="zh-CN" w:bidi="ar-SA"/>
            </w:rPr>
            <w:instrText xml:space="preserve"> PAGEREF _Toc30798 \h </w:instrText>
          </w:r>
          <w:r>
            <w:rPr>
              <w:rFonts w:hint="default" w:ascii="Times New Roman" w:hAnsi="Times New Roman" w:eastAsia="黑体" w:cs="Times New Roman"/>
              <w:kern w:val="2"/>
              <w:sz w:val="32"/>
              <w:szCs w:val="22"/>
              <w:u w:val="none"/>
              <w:lang w:val="en-US" w:eastAsia="zh-CN" w:bidi="ar-SA"/>
            </w:rPr>
            <w:fldChar w:fldCharType="separate"/>
          </w:r>
          <w:r>
            <w:rPr>
              <w:rFonts w:hint="default" w:ascii="Times New Roman" w:hAnsi="Times New Roman" w:eastAsia="黑体" w:cs="Times New Roman"/>
              <w:kern w:val="2"/>
              <w:sz w:val="32"/>
              <w:szCs w:val="22"/>
              <w:u w:val="none"/>
              <w:lang w:val="en-US" w:eastAsia="zh-CN" w:bidi="ar-SA"/>
            </w:rPr>
            <w:t>88</w:t>
          </w:r>
          <w:r>
            <w:rPr>
              <w:rFonts w:hint="default" w:ascii="Times New Roman" w:hAnsi="Times New Roman" w:eastAsia="黑体" w:cs="Times New Roman"/>
              <w:kern w:val="2"/>
              <w:sz w:val="32"/>
              <w:szCs w:val="22"/>
              <w:u w:val="none"/>
              <w:lang w:val="en-US" w:eastAsia="zh-CN" w:bidi="ar-SA"/>
            </w:rPr>
            <w:fldChar w:fldCharType="end"/>
          </w:r>
          <w:r>
            <w:rPr>
              <w:rFonts w:hint="default" w:ascii="Times New Roman" w:hAnsi="Times New Roman" w:eastAsia="黑体" w:cs="Times New Roman"/>
              <w:kern w:val="2"/>
              <w:sz w:val="32"/>
              <w:szCs w:val="22"/>
              <w:u w:val="none"/>
              <w:lang w:val="en-US" w:eastAsia="zh-CN" w:bidi="ar-SA"/>
            </w:rPr>
            <w:fldChar w:fldCharType="end"/>
          </w:r>
        </w:p>
        <w:p w14:paraId="5B835668">
          <w:pPr>
            <w:widowControl w:val="0"/>
            <w:tabs>
              <w:tab w:val="right" w:leader="dot" w:pos="8297"/>
            </w:tabs>
            <w:adjustRightInd w:val="0"/>
            <w:snapToGrid w:val="0"/>
            <w:spacing w:line="360" w:lineRule="auto"/>
            <w:ind w:firstLine="640" w:firstLineChars="200"/>
            <w:jc w:val="left"/>
            <w:rPr>
              <w:rFonts w:hint="default" w:ascii="Times New Roman" w:hAnsi="Times New Roman" w:eastAsia="仿宋_GB2312" w:cs="Times New Roman"/>
              <w:kern w:val="2"/>
              <w:sz w:val="32"/>
              <w:szCs w:val="22"/>
              <w:u w:val="none"/>
              <w:lang w:val="en-US" w:eastAsia="zh-CN" w:bidi="ar-SA"/>
            </w:rPr>
          </w:pP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HYPERLINK \l _Toc26421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第一节 加强党的领导</w:t>
          </w:r>
          <w:r>
            <w:rPr>
              <w:rFonts w:hint="default" w:ascii="Times New Roman" w:hAnsi="Times New Roman" w:eastAsia="仿宋_GB2312" w:cs="Times New Roman"/>
              <w:kern w:val="2"/>
              <w:sz w:val="32"/>
              <w:szCs w:val="22"/>
              <w:u w:val="none"/>
              <w:lang w:val="en-US" w:eastAsia="zh-CN" w:bidi="ar-SA"/>
            </w:rPr>
            <w:tab/>
          </w: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PAGEREF _Toc26421 \h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88</w:t>
          </w:r>
          <w:r>
            <w:rPr>
              <w:rFonts w:hint="default" w:ascii="Times New Roman" w:hAnsi="Times New Roman" w:eastAsia="仿宋_GB2312" w:cs="Times New Roman"/>
              <w:kern w:val="2"/>
              <w:sz w:val="32"/>
              <w:szCs w:val="22"/>
              <w:u w:val="none"/>
              <w:lang w:val="en-US" w:eastAsia="zh-CN" w:bidi="ar-SA"/>
            </w:rPr>
            <w:fldChar w:fldCharType="end"/>
          </w:r>
          <w:r>
            <w:rPr>
              <w:rFonts w:hint="default" w:ascii="Times New Roman" w:hAnsi="Times New Roman" w:eastAsia="仿宋_GB2312" w:cs="Times New Roman"/>
              <w:kern w:val="2"/>
              <w:sz w:val="32"/>
              <w:szCs w:val="22"/>
              <w:u w:val="none"/>
              <w:lang w:val="en-US" w:eastAsia="zh-CN" w:bidi="ar-SA"/>
            </w:rPr>
            <w:fldChar w:fldCharType="end"/>
          </w:r>
        </w:p>
        <w:p w14:paraId="4002BB6B">
          <w:pPr>
            <w:widowControl w:val="0"/>
            <w:tabs>
              <w:tab w:val="right" w:leader="dot" w:pos="8297"/>
            </w:tabs>
            <w:adjustRightInd w:val="0"/>
            <w:snapToGrid w:val="0"/>
            <w:spacing w:line="360" w:lineRule="auto"/>
            <w:ind w:firstLine="640" w:firstLineChars="200"/>
            <w:jc w:val="left"/>
            <w:rPr>
              <w:rFonts w:hint="default" w:ascii="Times New Roman" w:hAnsi="Times New Roman" w:eastAsia="仿宋_GB2312" w:cs="Times New Roman"/>
              <w:kern w:val="2"/>
              <w:sz w:val="32"/>
              <w:szCs w:val="22"/>
              <w:u w:val="none"/>
              <w:lang w:val="en-US" w:eastAsia="zh-CN" w:bidi="ar-SA"/>
            </w:rPr>
          </w:pP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HYPERLINK \l _Toc11468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第二节 详细规划传导</w:t>
          </w:r>
          <w:r>
            <w:rPr>
              <w:rFonts w:hint="default" w:ascii="Times New Roman" w:hAnsi="Times New Roman" w:eastAsia="仿宋_GB2312" w:cs="Times New Roman"/>
              <w:kern w:val="2"/>
              <w:sz w:val="32"/>
              <w:szCs w:val="22"/>
              <w:u w:val="none"/>
              <w:lang w:val="en-US" w:eastAsia="zh-CN" w:bidi="ar-SA"/>
            </w:rPr>
            <w:tab/>
          </w: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PAGEREF _Toc11468 \h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88</w:t>
          </w:r>
          <w:r>
            <w:rPr>
              <w:rFonts w:hint="default" w:ascii="Times New Roman" w:hAnsi="Times New Roman" w:eastAsia="仿宋_GB2312" w:cs="Times New Roman"/>
              <w:kern w:val="2"/>
              <w:sz w:val="32"/>
              <w:szCs w:val="22"/>
              <w:u w:val="none"/>
              <w:lang w:val="en-US" w:eastAsia="zh-CN" w:bidi="ar-SA"/>
            </w:rPr>
            <w:fldChar w:fldCharType="end"/>
          </w:r>
          <w:r>
            <w:rPr>
              <w:rFonts w:hint="default" w:ascii="Times New Roman" w:hAnsi="Times New Roman" w:eastAsia="仿宋_GB2312" w:cs="Times New Roman"/>
              <w:kern w:val="2"/>
              <w:sz w:val="32"/>
              <w:szCs w:val="22"/>
              <w:u w:val="none"/>
              <w:lang w:val="en-US" w:eastAsia="zh-CN" w:bidi="ar-SA"/>
            </w:rPr>
            <w:fldChar w:fldCharType="end"/>
          </w:r>
        </w:p>
        <w:p w14:paraId="12910CEF">
          <w:pPr>
            <w:widowControl w:val="0"/>
            <w:tabs>
              <w:tab w:val="right" w:leader="dot" w:pos="8297"/>
            </w:tabs>
            <w:adjustRightInd w:val="0"/>
            <w:snapToGrid w:val="0"/>
            <w:spacing w:line="360" w:lineRule="auto"/>
            <w:ind w:firstLine="640" w:firstLineChars="200"/>
            <w:jc w:val="left"/>
            <w:rPr>
              <w:rFonts w:hint="default" w:ascii="Times New Roman" w:hAnsi="Times New Roman" w:eastAsia="仿宋_GB2312" w:cs="Times New Roman"/>
              <w:kern w:val="2"/>
              <w:sz w:val="32"/>
              <w:szCs w:val="22"/>
              <w:u w:val="none"/>
              <w:lang w:val="en-US" w:eastAsia="zh-CN" w:bidi="ar-SA"/>
            </w:rPr>
          </w:pP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HYPERLINK \l _Toc16463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第三节 近期建设</w:t>
          </w:r>
          <w:r>
            <w:rPr>
              <w:rFonts w:hint="default" w:ascii="Times New Roman" w:hAnsi="Times New Roman" w:eastAsia="仿宋_GB2312" w:cs="Times New Roman"/>
              <w:kern w:val="2"/>
              <w:sz w:val="32"/>
              <w:szCs w:val="22"/>
              <w:u w:val="none"/>
              <w:lang w:val="en-US" w:eastAsia="zh-CN" w:bidi="ar-SA"/>
            </w:rPr>
            <w:tab/>
          </w: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PAGEREF _Toc16463 \h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90</w:t>
          </w:r>
          <w:r>
            <w:rPr>
              <w:rFonts w:hint="default" w:ascii="Times New Roman" w:hAnsi="Times New Roman" w:eastAsia="仿宋_GB2312" w:cs="Times New Roman"/>
              <w:kern w:val="2"/>
              <w:sz w:val="32"/>
              <w:szCs w:val="22"/>
              <w:u w:val="none"/>
              <w:lang w:val="en-US" w:eastAsia="zh-CN" w:bidi="ar-SA"/>
            </w:rPr>
            <w:fldChar w:fldCharType="end"/>
          </w:r>
          <w:r>
            <w:rPr>
              <w:rFonts w:hint="default" w:ascii="Times New Roman" w:hAnsi="Times New Roman" w:eastAsia="仿宋_GB2312" w:cs="Times New Roman"/>
              <w:kern w:val="2"/>
              <w:sz w:val="32"/>
              <w:szCs w:val="22"/>
              <w:u w:val="none"/>
              <w:lang w:val="en-US" w:eastAsia="zh-CN" w:bidi="ar-SA"/>
            </w:rPr>
            <w:fldChar w:fldCharType="end"/>
          </w:r>
        </w:p>
        <w:p w14:paraId="5258CF4E">
          <w:pPr>
            <w:widowControl w:val="0"/>
            <w:tabs>
              <w:tab w:val="right" w:leader="dot" w:pos="8297"/>
            </w:tabs>
            <w:adjustRightInd w:val="0"/>
            <w:snapToGrid w:val="0"/>
            <w:spacing w:line="360" w:lineRule="auto"/>
            <w:ind w:firstLine="640" w:firstLineChars="200"/>
            <w:jc w:val="left"/>
            <w:rPr>
              <w:rFonts w:hint="default" w:ascii="Times New Roman" w:hAnsi="Times New Roman" w:eastAsia="仿宋_GB2312" w:cs="Times New Roman"/>
              <w:kern w:val="2"/>
              <w:sz w:val="32"/>
              <w:szCs w:val="22"/>
              <w:u w:val="none"/>
              <w:lang w:val="en-US" w:eastAsia="zh-CN" w:bidi="ar-SA"/>
            </w:rPr>
          </w:pP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HYPERLINK \l _Toc18269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第四节 “一张图”建设与实施监督</w:t>
          </w:r>
          <w:r>
            <w:rPr>
              <w:rFonts w:hint="default" w:ascii="Times New Roman" w:hAnsi="Times New Roman" w:eastAsia="仿宋_GB2312" w:cs="Times New Roman"/>
              <w:kern w:val="2"/>
              <w:sz w:val="32"/>
              <w:szCs w:val="22"/>
              <w:u w:val="none"/>
              <w:lang w:val="en-US" w:eastAsia="zh-CN" w:bidi="ar-SA"/>
            </w:rPr>
            <w:tab/>
          </w: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PAGEREF _Toc18269 \h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92</w:t>
          </w:r>
          <w:r>
            <w:rPr>
              <w:rFonts w:hint="default" w:ascii="Times New Roman" w:hAnsi="Times New Roman" w:eastAsia="仿宋_GB2312" w:cs="Times New Roman"/>
              <w:kern w:val="2"/>
              <w:sz w:val="32"/>
              <w:szCs w:val="22"/>
              <w:u w:val="none"/>
              <w:lang w:val="en-US" w:eastAsia="zh-CN" w:bidi="ar-SA"/>
            </w:rPr>
            <w:fldChar w:fldCharType="end"/>
          </w:r>
          <w:r>
            <w:rPr>
              <w:rFonts w:hint="default" w:ascii="Times New Roman" w:hAnsi="Times New Roman" w:eastAsia="仿宋_GB2312" w:cs="Times New Roman"/>
              <w:kern w:val="2"/>
              <w:sz w:val="32"/>
              <w:szCs w:val="22"/>
              <w:u w:val="none"/>
              <w:lang w:val="en-US" w:eastAsia="zh-CN" w:bidi="ar-SA"/>
            </w:rPr>
            <w:fldChar w:fldCharType="end"/>
          </w:r>
        </w:p>
        <w:p w14:paraId="16A11746">
          <w:pPr>
            <w:widowControl w:val="0"/>
            <w:tabs>
              <w:tab w:val="right" w:leader="dot" w:pos="8297"/>
            </w:tabs>
            <w:adjustRightInd w:val="0"/>
            <w:snapToGrid w:val="0"/>
            <w:spacing w:line="360" w:lineRule="auto"/>
            <w:ind w:firstLine="0" w:firstLineChars="0"/>
            <w:jc w:val="both"/>
            <w:rPr>
              <w:rFonts w:hint="default" w:ascii="Times New Roman" w:hAnsi="Times New Roman" w:eastAsia="黑体" w:cs="Times New Roman"/>
              <w:kern w:val="2"/>
              <w:sz w:val="32"/>
              <w:szCs w:val="22"/>
              <w:u w:val="none"/>
              <w:lang w:val="en-US" w:eastAsia="zh-CN" w:bidi="ar-SA"/>
            </w:rPr>
          </w:pPr>
          <w:r>
            <w:rPr>
              <w:rFonts w:hint="default" w:ascii="Times New Roman" w:hAnsi="Times New Roman" w:eastAsia="黑体" w:cs="Times New Roman"/>
              <w:kern w:val="2"/>
              <w:sz w:val="32"/>
              <w:szCs w:val="22"/>
              <w:u w:val="none"/>
              <w:lang w:val="en-US" w:eastAsia="zh-CN" w:bidi="ar-SA"/>
            </w:rPr>
            <w:fldChar w:fldCharType="begin"/>
          </w:r>
          <w:r>
            <w:rPr>
              <w:rFonts w:hint="default" w:ascii="Times New Roman" w:hAnsi="Times New Roman" w:eastAsia="黑体" w:cs="Times New Roman"/>
              <w:kern w:val="2"/>
              <w:sz w:val="32"/>
              <w:szCs w:val="22"/>
              <w:u w:val="none"/>
              <w:lang w:val="en-US" w:eastAsia="zh-CN" w:bidi="ar-SA"/>
            </w:rPr>
            <w:instrText xml:space="preserve"> HYPERLINK \l _Toc25124 </w:instrText>
          </w:r>
          <w:r>
            <w:rPr>
              <w:rFonts w:hint="default" w:ascii="Times New Roman" w:hAnsi="Times New Roman" w:eastAsia="黑体" w:cs="Times New Roman"/>
              <w:kern w:val="2"/>
              <w:sz w:val="32"/>
              <w:szCs w:val="22"/>
              <w:u w:val="none"/>
              <w:lang w:val="en-US" w:eastAsia="zh-CN" w:bidi="ar-SA"/>
            </w:rPr>
            <w:fldChar w:fldCharType="separate"/>
          </w:r>
          <w:r>
            <w:rPr>
              <w:rFonts w:hint="default" w:ascii="Times New Roman" w:hAnsi="Times New Roman" w:eastAsia="黑体" w:cs="Times New Roman"/>
              <w:kern w:val="2"/>
              <w:sz w:val="32"/>
              <w:szCs w:val="22"/>
              <w:u w:val="none"/>
              <w:lang w:val="en-US" w:eastAsia="zh-CN" w:bidi="ar-SA"/>
            </w:rPr>
            <w:t>附表</w:t>
          </w:r>
          <w:r>
            <w:rPr>
              <w:rFonts w:hint="default" w:ascii="Times New Roman" w:hAnsi="Times New Roman" w:eastAsia="黑体" w:cs="Times New Roman"/>
              <w:kern w:val="2"/>
              <w:sz w:val="32"/>
              <w:szCs w:val="22"/>
              <w:u w:val="none"/>
              <w:lang w:val="en-US" w:eastAsia="zh-CN" w:bidi="ar-SA"/>
            </w:rPr>
            <w:tab/>
          </w:r>
          <w:r>
            <w:rPr>
              <w:rFonts w:hint="default" w:ascii="Times New Roman" w:hAnsi="Times New Roman" w:eastAsia="黑体" w:cs="Times New Roman"/>
              <w:kern w:val="2"/>
              <w:sz w:val="32"/>
              <w:szCs w:val="22"/>
              <w:u w:val="none"/>
              <w:lang w:val="en-US" w:eastAsia="zh-CN" w:bidi="ar-SA"/>
            </w:rPr>
            <w:fldChar w:fldCharType="begin"/>
          </w:r>
          <w:r>
            <w:rPr>
              <w:rFonts w:hint="default" w:ascii="Times New Roman" w:hAnsi="Times New Roman" w:eastAsia="黑体" w:cs="Times New Roman"/>
              <w:kern w:val="2"/>
              <w:sz w:val="32"/>
              <w:szCs w:val="22"/>
              <w:u w:val="none"/>
              <w:lang w:val="en-US" w:eastAsia="zh-CN" w:bidi="ar-SA"/>
            </w:rPr>
            <w:instrText xml:space="preserve"> PAGEREF _Toc25124 \h </w:instrText>
          </w:r>
          <w:r>
            <w:rPr>
              <w:rFonts w:hint="default" w:ascii="Times New Roman" w:hAnsi="Times New Roman" w:eastAsia="黑体" w:cs="Times New Roman"/>
              <w:kern w:val="2"/>
              <w:sz w:val="32"/>
              <w:szCs w:val="22"/>
              <w:u w:val="none"/>
              <w:lang w:val="en-US" w:eastAsia="zh-CN" w:bidi="ar-SA"/>
            </w:rPr>
            <w:fldChar w:fldCharType="separate"/>
          </w:r>
          <w:r>
            <w:rPr>
              <w:rFonts w:hint="default" w:ascii="Times New Roman" w:hAnsi="Times New Roman" w:eastAsia="黑体" w:cs="Times New Roman"/>
              <w:kern w:val="2"/>
              <w:sz w:val="32"/>
              <w:szCs w:val="22"/>
              <w:u w:val="none"/>
              <w:lang w:val="en-US" w:eastAsia="zh-CN" w:bidi="ar-SA"/>
            </w:rPr>
            <w:t>94</w:t>
          </w:r>
          <w:r>
            <w:rPr>
              <w:rFonts w:hint="default" w:ascii="Times New Roman" w:hAnsi="Times New Roman" w:eastAsia="黑体" w:cs="Times New Roman"/>
              <w:kern w:val="2"/>
              <w:sz w:val="32"/>
              <w:szCs w:val="22"/>
              <w:u w:val="none"/>
              <w:lang w:val="en-US" w:eastAsia="zh-CN" w:bidi="ar-SA"/>
            </w:rPr>
            <w:fldChar w:fldCharType="end"/>
          </w:r>
          <w:r>
            <w:rPr>
              <w:rFonts w:hint="default" w:ascii="Times New Roman" w:hAnsi="Times New Roman" w:eastAsia="黑体" w:cs="Times New Roman"/>
              <w:kern w:val="2"/>
              <w:sz w:val="32"/>
              <w:szCs w:val="22"/>
              <w:u w:val="none"/>
              <w:lang w:val="en-US" w:eastAsia="zh-CN" w:bidi="ar-SA"/>
            </w:rPr>
            <w:fldChar w:fldCharType="end"/>
          </w:r>
        </w:p>
        <w:p w14:paraId="4999CC16">
          <w:pPr>
            <w:widowControl w:val="0"/>
            <w:tabs>
              <w:tab w:val="right" w:leader="dot" w:pos="8297"/>
            </w:tabs>
            <w:adjustRightInd w:val="0"/>
            <w:snapToGrid w:val="0"/>
            <w:spacing w:line="360" w:lineRule="auto"/>
            <w:ind w:firstLine="640" w:firstLineChars="200"/>
            <w:jc w:val="left"/>
            <w:rPr>
              <w:rFonts w:hint="default" w:ascii="Times New Roman" w:hAnsi="Times New Roman" w:eastAsia="仿宋_GB2312" w:cs="Times New Roman"/>
              <w:kern w:val="2"/>
              <w:sz w:val="32"/>
              <w:szCs w:val="22"/>
              <w:u w:val="none"/>
              <w:lang w:val="en-US" w:eastAsia="zh-CN" w:bidi="ar-SA"/>
            </w:rPr>
          </w:pP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HYPERLINK \l _Toc25582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楷体" w:cs="Times New Roman"/>
              <w:bCs/>
              <w:kern w:val="2"/>
              <w:sz w:val="32"/>
              <w:szCs w:val="22"/>
              <w:u w:val="none"/>
              <w:lang w:val="en-US" w:eastAsia="zh-CN" w:bidi="ar-SA"/>
            </w:rPr>
            <w:t>表1  规划指标表</w:t>
          </w:r>
          <w:r>
            <w:rPr>
              <w:rFonts w:hint="default" w:ascii="Times New Roman" w:hAnsi="Times New Roman" w:eastAsia="仿宋_GB2312" w:cs="Times New Roman"/>
              <w:kern w:val="2"/>
              <w:sz w:val="32"/>
              <w:szCs w:val="22"/>
              <w:u w:val="none"/>
              <w:lang w:val="en-US" w:eastAsia="zh-CN" w:bidi="ar-SA"/>
            </w:rPr>
            <w:tab/>
          </w: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PAGEREF _Toc25582 \h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94</w:t>
          </w:r>
          <w:r>
            <w:rPr>
              <w:rFonts w:hint="default" w:ascii="Times New Roman" w:hAnsi="Times New Roman" w:eastAsia="仿宋_GB2312" w:cs="Times New Roman"/>
              <w:kern w:val="2"/>
              <w:sz w:val="32"/>
              <w:szCs w:val="22"/>
              <w:u w:val="none"/>
              <w:lang w:val="en-US" w:eastAsia="zh-CN" w:bidi="ar-SA"/>
            </w:rPr>
            <w:fldChar w:fldCharType="end"/>
          </w:r>
          <w:r>
            <w:rPr>
              <w:rFonts w:hint="default" w:ascii="Times New Roman" w:hAnsi="Times New Roman" w:eastAsia="仿宋_GB2312" w:cs="Times New Roman"/>
              <w:kern w:val="2"/>
              <w:sz w:val="32"/>
              <w:szCs w:val="22"/>
              <w:u w:val="none"/>
              <w:lang w:val="en-US" w:eastAsia="zh-CN" w:bidi="ar-SA"/>
            </w:rPr>
            <w:fldChar w:fldCharType="end"/>
          </w:r>
        </w:p>
        <w:p w14:paraId="01F75973">
          <w:pPr>
            <w:widowControl w:val="0"/>
            <w:tabs>
              <w:tab w:val="right" w:leader="dot" w:pos="8297"/>
            </w:tabs>
            <w:adjustRightInd w:val="0"/>
            <w:snapToGrid w:val="0"/>
            <w:spacing w:line="360" w:lineRule="auto"/>
            <w:ind w:firstLine="640" w:firstLineChars="200"/>
            <w:jc w:val="left"/>
            <w:rPr>
              <w:rFonts w:hint="default" w:ascii="Times New Roman" w:hAnsi="Times New Roman" w:eastAsia="仿宋_GB2312" w:cs="Times New Roman"/>
              <w:kern w:val="2"/>
              <w:sz w:val="32"/>
              <w:szCs w:val="22"/>
              <w:u w:val="none"/>
              <w:lang w:val="en-US" w:eastAsia="zh-CN" w:bidi="ar-SA"/>
            </w:rPr>
          </w:pP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HYPERLINK \l _Toc606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楷体" w:cs="Times New Roman"/>
              <w:bCs/>
              <w:kern w:val="2"/>
              <w:sz w:val="32"/>
              <w:szCs w:val="22"/>
              <w:u w:val="none"/>
              <w:lang w:val="en-US" w:eastAsia="zh-CN" w:bidi="ar-SA"/>
            </w:rPr>
            <w:t>表2  全域国土空间功能结构调整表</w:t>
          </w:r>
          <w:r>
            <w:rPr>
              <w:rFonts w:hint="default" w:ascii="Times New Roman" w:hAnsi="Times New Roman" w:eastAsia="仿宋_GB2312" w:cs="Times New Roman"/>
              <w:kern w:val="2"/>
              <w:sz w:val="32"/>
              <w:szCs w:val="22"/>
              <w:u w:val="none"/>
              <w:lang w:val="en-US" w:eastAsia="zh-CN" w:bidi="ar-SA"/>
            </w:rPr>
            <w:tab/>
          </w: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PAGEREF _Toc606 \h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95</w:t>
          </w:r>
          <w:r>
            <w:rPr>
              <w:rFonts w:hint="default" w:ascii="Times New Roman" w:hAnsi="Times New Roman" w:eastAsia="仿宋_GB2312" w:cs="Times New Roman"/>
              <w:kern w:val="2"/>
              <w:sz w:val="32"/>
              <w:szCs w:val="22"/>
              <w:u w:val="none"/>
              <w:lang w:val="en-US" w:eastAsia="zh-CN" w:bidi="ar-SA"/>
            </w:rPr>
            <w:fldChar w:fldCharType="end"/>
          </w:r>
          <w:r>
            <w:rPr>
              <w:rFonts w:hint="default" w:ascii="Times New Roman" w:hAnsi="Times New Roman" w:eastAsia="仿宋_GB2312" w:cs="Times New Roman"/>
              <w:kern w:val="2"/>
              <w:sz w:val="32"/>
              <w:szCs w:val="22"/>
              <w:u w:val="none"/>
              <w:lang w:val="en-US" w:eastAsia="zh-CN" w:bidi="ar-SA"/>
            </w:rPr>
            <w:fldChar w:fldCharType="end"/>
          </w:r>
        </w:p>
        <w:p w14:paraId="369181B5">
          <w:pPr>
            <w:widowControl w:val="0"/>
            <w:tabs>
              <w:tab w:val="right" w:leader="dot" w:pos="8297"/>
            </w:tabs>
            <w:adjustRightInd w:val="0"/>
            <w:snapToGrid w:val="0"/>
            <w:spacing w:line="360" w:lineRule="auto"/>
            <w:ind w:firstLine="640" w:firstLineChars="200"/>
            <w:jc w:val="left"/>
            <w:rPr>
              <w:rFonts w:hint="default" w:ascii="Times New Roman" w:hAnsi="Times New Roman" w:eastAsia="仿宋_GB2312" w:cs="Times New Roman"/>
              <w:kern w:val="2"/>
              <w:sz w:val="32"/>
              <w:szCs w:val="22"/>
              <w:u w:val="none"/>
              <w:lang w:val="en-US" w:eastAsia="zh-CN" w:bidi="ar-SA"/>
            </w:rPr>
          </w:pP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HYPERLINK \l _Toc11542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楷体" w:cs="Times New Roman"/>
              <w:bCs/>
              <w:kern w:val="2"/>
              <w:sz w:val="32"/>
              <w:szCs w:val="22"/>
              <w:u w:val="none"/>
              <w:lang w:val="en-US" w:eastAsia="zh-CN" w:bidi="ar-SA"/>
            </w:rPr>
            <w:t>表3  街道中心区城镇建设用地结构调整表</w:t>
          </w:r>
          <w:r>
            <w:rPr>
              <w:rFonts w:hint="default" w:ascii="Times New Roman" w:hAnsi="Times New Roman" w:eastAsia="仿宋_GB2312" w:cs="Times New Roman"/>
              <w:kern w:val="2"/>
              <w:sz w:val="32"/>
              <w:szCs w:val="22"/>
              <w:u w:val="none"/>
              <w:lang w:val="en-US" w:eastAsia="zh-CN" w:bidi="ar-SA"/>
            </w:rPr>
            <w:tab/>
          </w: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PAGEREF _Toc11542 \h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95</w:t>
          </w:r>
          <w:r>
            <w:rPr>
              <w:rFonts w:hint="default" w:ascii="Times New Roman" w:hAnsi="Times New Roman" w:eastAsia="仿宋_GB2312" w:cs="Times New Roman"/>
              <w:kern w:val="2"/>
              <w:sz w:val="32"/>
              <w:szCs w:val="22"/>
              <w:u w:val="none"/>
              <w:lang w:val="en-US" w:eastAsia="zh-CN" w:bidi="ar-SA"/>
            </w:rPr>
            <w:fldChar w:fldCharType="end"/>
          </w:r>
          <w:r>
            <w:rPr>
              <w:rFonts w:hint="default" w:ascii="Times New Roman" w:hAnsi="Times New Roman" w:eastAsia="仿宋_GB2312" w:cs="Times New Roman"/>
              <w:kern w:val="2"/>
              <w:sz w:val="32"/>
              <w:szCs w:val="22"/>
              <w:u w:val="none"/>
              <w:lang w:val="en-US" w:eastAsia="zh-CN" w:bidi="ar-SA"/>
            </w:rPr>
            <w:fldChar w:fldCharType="end"/>
          </w:r>
        </w:p>
        <w:p w14:paraId="7E3DA786">
          <w:pPr>
            <w:widowControl w:val="0"/>
            <w:tabs>
              <w:tab w:val="right" w:leader="dot" w:pos="8297"/>
            </w:tabs>
            <w:adjustRightInd w:val="0"/>
            <w:snapToGrid w:val="0"/>
            <w:spacing w:line="360" w:lineRule="auto"/>
            <w:ind w:firstLine="640" w:firstLineChars="200"/>
            <w:jc w:val="left"/>
            <w:rPr>
              <w:rFonts w:hint="default" w:ascii="Times New Roman" w:hAnsi="Times New Roman" w:eastAsia="仿宋_GB2312" w:cs="Times New Roman"/>
              <w:kern w:val="2"/>
              <w:sz w:val="32"/>
              <w:szCs w:val="22"/>
              <w:u w:val="none"/>
              <w:lang w:val="en-US" w:eastAsia="zh-CN" w:bidi="ar-SA"/>
            </w:rPr>
          </w:pP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HYPERLINK \l _Toc1672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楷体" w:cs="Times New Roman"/>
              <w:bCs/>
              <w:kern w:val="2"/>
              <w:sz w:val="32"/>
              <w:szCs w:val="22"/>
              <w:u w:val="none"/>
              <w:lang w:val="en-US" w:eastAsia="zh-CN" w:bidi="ar-SA"/>
            </w:rPr>
            <w:t>表5  耕地保有量、永久基本农田、生态保护红线、村庄建设边界指标分解表</w:t>
          </w:r>
          <w:r>
            <w:rPr>
              <w:rFonts w:hint="default" w:ascii="Times New Roman" w:hAnsi="Times New Roman" w:eastAsia="仿宋_GB2312" w:cs="Times New Roman"/>
              <w:kern w:val="2"/>
              <w:sz w:val="32"/>
              <w:szCs w:val="22"/>
              <w:u w:val="none"/>
              <w:lang w:val="en-US" w:eastAsia="zh-CN" w:bidi="ar-SA"/>
            </w:rPr>
            <w:tab/>
          </w: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PAGEREF _Toc1672 \h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95</w:t>
          </w:r>
          <w:r>
            <w:rPr>
              <w:rFonts w:hint="default" w:ascii="Times New Roman" w:hAnsi="Times New Roman" w:eastAsia="仿宋_GB2312" w:cs="Times New Roman"/>
              <w:kern w:val="2"/>
              <w:sz w:val="32"/>
              <w:szCs w:val="22"/>
              <w:u w:val="none"/>
              <w:lang w:val="en-US" w:eastAsia="zh-CN" w:bidi="ar-SA"/>
            </w:rPr>
            <w:fldChar w:fldCharType="end"/>
          </w:r>
          <w:r>
            <w:rPr>
              <w:rFonts w:hint="default" w:ascii="Times New Roman" w:hAnsi="Times New Roman" w:eastAsia="仿宋_GB2312" w:cs="Times New Roman"/>
              <w:kern w:val="2"/>
              <w:sz w:val="32"/>
              <w:szCs w:val="22"/>
              <w:u w:val="none"/>
              <w:lang w:val="en-US" w:eastAsia="zh-CN" w:bidi="ar-SA"/>
            </w:rPr>
            <w:fldChar w:fldCharType="end"/>
          </w:r>
        </w:p>
        <w:p w14:paraId="4BF34EFA">
          <w:pPr>
            <w:widowControl w:val="0"/>
            <w:tabs>
              <w:tab w:val="right" w:leader="dot" w:pos="8297"/>
            </w:tabs>
            <w:adjustRightInd w:val="0"/>
            <w:snapToGrid w:val="0"/>
            <w:spacing w:line="360" w:lineRule="auto"/>
            <w:ind w:firstLine="640" w:firstLineChars="200"/>
            <w:jc w:val="left"/>
            <w:rPr>
              <w:rFonts w:hint="default" w:ascii="Times New Roman" w:hAnsi="Times New Roman" w:eastAsia="仿宋_GB2312" w:cs="Times New Roman"/>
              <w:kern w:val="2"/>
              <w:sz w:val="32"/>
              <w:szCs w:val="22"/>
              <w:u w:val="none"/>
              <w:lang w:val="en-US" w:eastAsia="zh-CN" w:bidi="ar-SA"/>
            </w:rPr>
          </w:pP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HYPERLINK \l _Toc27219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楷体" w:cs="Times New Roman"/>
              <w:bCs/>
              <w:kern w:val="2"/>
              <w:sz w:val="32"/>
              <w:szCs w:val="22"/>
              <w:u w:val="none"/>
              <w:lang w:val="en-US" w:eastAsia="zh-CN" w:bidi="ar-SA"/>
            </w:rPr>
            <w:t>表4  村庄分类统计表</w:t>
          </w:r>
          <w:r>
            <w:rPr>
              <w:rFonts w:hint="default" w:ascii="Times New Roman" w:hAnsi="Times New Roman" w:eastAsia="仿宋_GB2312" w:cs="Times New Roman"/>
              <w:kern w:val="2"/>
              <w:sz w:val="32"/>
              <w:szCs w:val="22"/>
              <w:u w:val="none"/>
              <w:lang w:val="en-US" w:eastAsia="zh-CN" w:bidi="ar-SA"/>
            </w:rPr>
            <w:tab/>
          </w: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PAGEREF _Toc27219 \h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96</w:t>
          </w:r>
          <w:r>
            <w:rPr>
              <w:rFonts w:hint="default" w:ascii="Times New Roman" w:hAnsi="Times New Roman" w:eastAsia="仿宋_GB2312" w:cs="Times New Roman"/>
              <w:kern w:val="2"/>
              <w:sz w:val="32"/>
              <w:szCs w:val="22"/>
              <w:u w:val="none"/>
              <w:lang w:val="en-US" w:eastAsia="zh-CN" w:bidi="ar-SA"/>
            </w:rPr>
            <w:fldChar w:fldCharType="end"/>
          </w:r>
          <w:r>
            <w:rPr>
              <w:rFonts w:hint="default" w:ascii="Times New Roman" w:hAnsi="Times New Roman" w:eastAsia="仿宋_GB2312" w:cs="Times New Roman"/>
              <w:kern w:val="2"/>
              <w:sz w:val="32"/>
              <w:szCs w:val="22"/>
              <w:u w:val="none"/>
              <w:lang w:val="en-US" w:eastAsia="zh-CN" w:bidi="ar-SA"/>
            </w:rPr>
            <w:fldChar w:fldCharType="end"/>
          </w:r>
        </w:p>
        <w:p w14:paraId="0FB260D9">
          <w:pPr>
            <w:widowControl w:val="0"/>
            <w:tabs>
              <w:tab w:val="right" w:leader="dot" w:pos="8297"/>
            </w:tabs>
            <w:adjustRightInd w:val="0"/>
            <w:snapToGrid w:val="0"/>
            <w:spacing w:line="360" w:lineRule="auto"/>
            <w:ind w:firstLine="640" w:firstLineChars="200"/>
            <w:jc w:val="left"/>
            <w:rPr>
              <w:rFonts w:hint="default" w:ascii="Times New Roman" w:hAnsi="Times New Roman" w:eastAsia="仿宋_GB2312" w:cs="Times New Roman"/>
              <w:kern w:val="2"/>
              <w:sz w:val="32"/>
              <w:szCs w:val="22"/>
              <w:u w:val="none"/>
              <w:lang w:val="en-US" w:eastAsia="zh-CN" w:bidi="ar-SA"/>
            </w:rPr>
          </w:pP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HYPERLINK \l _Toc14270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楷体" w:cs="Times New Roman"/>
              <w:bCs/>
              <w:kern w:val="2"/>
              <w:sz w:val="32"/>
              <w:szCs w:val="22"/>
              <w:u w:val="none"/>
              <w:lang w:val="en-US" w:eastAsia="zh-CN" w:bidi="ar-SA"/>
            </w:rPr>
            <w:t>表6  村庄分型表</w:t>
          </w:r>
          <w:r>
            <w:rPr>
              <w:rFonts w:hint="default" w:ascii="Times New Roman" w:hAnsi="Times New Roman" w:eastAsia="仿宋_GB2312" w:cs="Times New Roman"/>
              <w:kern w:val="2"/>
              <w:sz w:val="32"/>
              <w:szCs w:val="22"/>
              <w:u w:val="none"/>
              <w:lang w:val="en-US" w:eastAsia="zh-CN" w:bidi="ar-SA"/>
            </w:rPr>
            <w:tab/>
          </w: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PAGEREF _Toc14270 \h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96</w:t>
          </w:r>
          <w:r>
            <w:rPr>
              <w:rFonts w:hint="default" w:ascii="Times New Roman" w:hAnsi="Times New Roman" w:eastAsia="仿宋_GB2312" w:cs="Times New Roman"/>
              <w:kern w:val="2"/>
              <w:sz w:val="32"/>
              <w:szCs w:val="22"/>
              <w:u w:val="none"/>
              <w:lang w:val="en-US" w:eastAsia="zh-CN" w:bidi="ar-SA"/>
            </w:rPr>
            <w:fldChar w:fldCharType="end"/>
          </w:r>
          <w:r>
            <w:rPr>
              <w:rFonts w:hint="default" w:ascii="Times New Roman" w:hAnsi="Times New Roman" w:eastAsia="仿宋_GB2312" w:cs="Times New Roman"/>
              <w:kern w:val="2"/>
              <w:sz w:val="32"/>
              <w:szCs w:val="22"/>
              <w:u w:val="none"/>
              <w:lang w:val="en-US" w:eastAsia="zh-CN" w:bidi="ar-SA"/>
            </w:rPr>
            <w:fldChar w:fldCharType="end"/>
          </w:r>
        </w:p>
        <w:p w14:paraId="7F485452">
          <w:pPr>
            <w:widowControl w:val="0"/>
            <w:tabs>
              <w:tab w:val="right" w:leader="dot" w:pos="8297"/>
            </w:tabs>
            <w:adjustRightInd w:val="0"/>
            <w:snapToGrid w:val="0"/>
            <w:spacing w:line="360" w:lineRule="auto"/>
            <w:ind w:firstLine="640" w:firstLineChars="200"/>
            <w:jc w:val="left"/>
            <w:rPr>
              <w:rFonts w:hint="default" w:ascii="Times New Roman" w:hAnsi="Times New Roman" w:eastAsia="仿宋_GB2312" w:cs="Times New Roman"/>
              <w:kern w:val="2"/>
              <w:sz w:val="32"/>
              <w:szCs w:val="22"/>
              <w:u w:val="none"/>
              <w:lang w:val="en-US" w:eastAsia="zh-CN" w:bidi="ar-SA"/>
            </w:rPr>
          </w:pP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HYPERLINK \l _Toc18818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楷体" w:cs="Times New Roman"/>
              <w:bCs/>
              <w:kern w:val="2"/>
              <w:sz w:val="32"/>
              <w:szCs w:val="22"/>
              <w:u w:val="none"/>
              <w:lang w:val="en-US" w:eastAsia="zh-CN" w:bidi="ar-SA"/>
            </w:rPr>
            <w:t>表7  历史文化资源一览表</w:t>
          </w:r>
          <w:r>
            <w:rPr>
              <w:rFonts w:hint="default" w:ascii="Times New Roman" w:hAnsi="Times New Roman" w:eastAsia="仿宋_GB2312" w:cs="Times New Roman"/>
              <w:kern w:val="2"/>
              <w:sz w:val="32"/>
              <w:szCs w:val="22"/>
              <w:u w:val="none"/>
              <w:lang w:val="en-US" w:eastAsia="zh-CN" w:bidi="ar-SA"/>
            </w:rPr>
            <w:tab/>
          </w: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PAGEREF _Toc18818 \h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99</w:t>
          </w:r>
          <w:r>
            <w:rPr>
              <w:rFonts w:hint="default" w:ascii="Times New Roman" w:hAnsi="Times New Roman" w:eastAsia="仿宋_GB2312" w:cs="Times New Roman"/>
              <w:kern w:val="2"/>
              <w:sz w:val="32"/>
              <w:szCs w:val="22"/>
              <w:u w:val="none"/>
              <w:lang w:val="en-US" w:eastAsia="zh-CN" w:bidi="ar-SA"/>
            </w:rPr>
            <w:fldChar w:fldCharType="end"/>
          </w:r>
          <w:r>
            <w:rPr>
              <w:rFonts w:hint="default" w:ascii="Times New Roman" w:hAnsi="Times New Roman" w:eastAsia="仿宋_GB2312" w:cs="Times New Roman"/>
              <w:kern w:val="2"/>
              <w:sz w:val="32"/>
              <w:szCs w:val="22"/>
              <w:u w:val="none"/>
              <w:lang w:val="en-US" w:eastAsia="zh-CN" w:bidi="ar-SA"/>
            </w:rPr>
            <w:fldChar w:fldCharType="end"/>
          </w:r>
        </w:p>
        <w:p w14:paraId="5D8B3205">
          <w:pPr>
            <w:widowControl w:val="0"/>
            <w:tabs>
              <w:tab w:val="right" w:leader="dot" w:pos="8297"/>
            </w:tabs>
            <w:adjustRightInd w:val="0"/>
            <w:snapToGrid w:val="0"/>
            <w:spacing w:line="360" w:lineRule="auto"/>
            <w:ind w:firstLine="640" w:firstLineChars="200"/>
            <w:jc w:val="left"/>
            <w:rPr>
              <w:rFonts w:ascii="Times New Roman" w:hAnsi="Times New Roman" w:eastAsia="仿宋_GB2312" w:cs="Times New Roman"/>
              <w:kern w:val="2"/>
              <w:sz w:val="32"/>
              <w:szCs w:val="22"/>
              <w:u w:val="none"/>
              <w:lang w:val="en-US" w:eastAsia="zh-CN" w:bidi="ar-SA"/>
            </w:rPr>
          </w:pP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HYPERLINK \l _Toc14552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楷体" w:cs="Times New Roman"/>
              <w:bCs/>
              <w:kern w:val="2"/>
              <w:sz w:val="32"/>
              <w:szCs w:val="22"/>
              <w:u w:val="none"/>
              <w:lang w:val="en-US" w:eastAsia="zh-CN" w:bidi="ar-SA"/>
            </w:rPr>
            <w:t>表8  重点建设项目安排表</w:t>
          </w:r>
          <w:r>
            <w:rPr>
              <w:rFonts w:hint="default" w:ascii="Times New Roman" w:hAnsi="Times New Roman" w:eastAsia="仿宋_GB2312" w:cs="Times New Roman"/>
              <w:kern w:val="2"/>
              <w:sz w:val="32"/>
              <w:szCs w:val="22"/>
              <w:u w:val="none"/>
              <w:lang w:val="en-US" w:eastAsia="zh-CN" w:bidi="ar-SA"/>
            </w:rPr>
            <w:tab/>
          </w:r>
          <w:r>
            <w:rPr>
              <w:rFonts w:hint="default" w:ascii="Times New Roman" w:hAnsi="Times New Roman" w:eastAsia="仿宋_GB2312" w:cs="Times New Roman"/>
              <w:kern w:val="2"/>
              <w:sz w:val="32"/>
              <w:szCs w:val="22"/>
              <w:u w:val="none"/>
              <w:lang w:val="en-US" w:eastAsia="zh-CN" w:bidi="ar-SA"/>
            </w:rPr>
            <w:fldChar w:fldCharType="begin"/>
          </w:r>
          <w:r>
            <w:rPr>
              <w:rFonts w:hint="default" w:ascii="Times New Roman" w:hAnsi="Times New Roman" w:eastAsia="仿宋_GB2312" w:cs="Times New Roman"/>
              <w:kern w:val="2"/>
              <w:sz w:val="32"/>
              <w:szCs w:val="22"/>
              <w:u w:val="none"/>
              <w:lang w:val="en-US" w:eastAsia="zh-CN" w:bidi="ar-SA"/>
            </w:rPr>
            <w:instrText xml:space="preserve"> PAGEREF _Toc14552 \h </w:instrText>
          </w:r>
          <w:r>
            <w:rPr>
              <w:rFonts w:hint="default" w:ascii="Times New Roman" w:hAnsi="Times New Roman" w:eastAsia="仿宋_GB2312" w:cs="Times New Roman"/>
              <w:kern w:val="2"/>
              <w:sz w:val="32"/>
              <w:szCs w:val="22"/>
              <w:u w:val="none"/>
              <w:lang w:val="en-US" w:eastAsia="zh-CN" w:bidi="ar-SA"/>
            </w:rPr>
            <w:fldChar w:fldCharType="separate"/>
          </w:r>
          <w:r>
            <w:rPr>
              <w:rFonts w:hint="default" w:ascii="Times New Roman" w:hAnsi="Times New Roman" w:eastAsia="仿宋_GB2312" w:cs="Times New Roman"/>
              <w:kern w:val="2"/>
              <w:sz w:val="32"/>
              <w:szCs w:val="22"/>
              <w:u w:val="none"/>
              <w:lang w:val="en-US" w:eastAsia="zh-CN" w:bidi="ar-SA"/>
            </w:rPr>
            <w:t>99</w:t>
          </w:r>
          <w:r>
            <w:rPr>
              <w:rFonts w:hint="default" w:ascii="Times New Roman" w:hAnsi="Times New Roman" w:eastAsia="仿宋_GB2312" w:cs="Times New Roman"/>
              <w:kern w:val="2"/>
              <w:sz w:val="32"/>
              <w:szCs w:val="22"/>
              <w:u w:val="none"/>
              <w:lang w:val="en-US" w:eastAsia="zh-CN" w:bidi="ar-SA"/>
            </w:rPr>
            <w:fldChar w:fldCharType="end"/>
          </w:r>
          <w:r>
            <w:rPr>
              <w:rFonts w:hint="default" w:ascii="Times New Roman" w:hAnsi="Times New Roman" w:eastAsia="仿宋_GB2312" w:cs="Times New Roman"/>
              <w:kern w:val="2"/>
              <w:sz w:val="32"/>
              <w:szCs w:val="22"/>
              <w:u w:val="none"/>
              <w:lang w:val="en-US" w:eastAsia="zh-CN" w:bidi="ar-SA"/>
            </w:rPr>
            <w:fldChar w:fldCharType="end"/>
          </w:r>
        </w:p>
        <w:p w14:paraId="5921EB7E">
          <w:pPr>
            <w:tabs>
              <w:tab w:val="right" w:leader="dot" w:pos="8287"/>
            </w:tabs>
            <w:rPr>
              <w:u w:val="none"/>
            </w:rPr>
            <w:sectPr>
              <w:headerReference r:id="rId8" w:type="first"/>
              <w:footerReference r:id="rId10" w:type="first"/>
              <w:headerReference r:id="rId7" w:type="default"/>
              <w:footerReference r:id="rId9" w:type="default"/>
              <w:pgSz w:w="11906" w:h="16838"/>
              <w:pgMar w:top="1491" w:right="1809" w:bottom="991" w:left="1800" w:header="850" w:footer="850" w:gutter="0"/>
              <w:pgNumType w:fmt="upperRoman" w:start="1"/>
              <w:cols w:space="720" w:num="1"/>
              <w:titlePg/>
              <w:docGrid w:linePitch="435" w:charSpace="0"/>
            </w:sectPr>
          </w:pPr>
          <w:r>
            <w:rPr>
              <w:rFonts w:ascii="Times New Roman" w:hAnsi="Times New Roman" w:eastAsia="黑体" w:cs="Times New Roman"/>
              <w:kern w:val="2"/>
              <w:sz w:val="32"/>
              <w:szCs w:val="22"/>
              <w:u w:val="none"/>
              <w:lang w:val="en-US" w:eastAsia="zh-CN" w:bidi="ar-SA"/>
            </w:rPr>
            <w:fldChar w:fldCharType="end"/>
          </w:r>
        </w:p>
      </w:sdtContent>
    </w:sdt>
    <w:p w14:paraId="657A4E5D">
      <w:pPr>
        <w:pStyle w:val="2"/>
        <w:spacing w:before="360" w:after="360"/>
        <w:rPr>
          <w:rFonts w:hint="eastAsia" w:ascii="方正小标宋简体" w:hAnsi="方正小标宋简体" w:eastAsia="方正小标宋简体" w:cs="方正小标宋简体"/>
          <w:color w:val="auto"/>
          <w:u w:val="none"/>
          <w:lang w:val="en-US" w:eastAsia="zh-CN"/>
        </w:rPr>
      </w:pPr>
      <w:bookmarkStart w:id="0" w:name="_Toc2245"/>
      <w:bookmarkStart w:id="1" w:name="_Toc13843"/>
      <w:r>
        <w:rPr>
          <w:rFonts w:hint="eastAsia" w:ascii="方正小标宋简体" w:hAnsi="方正小标宋简体" w:eastAsia="方正小标宋简体" w:cs="方正小标宋简体"/>
          <w:color w:val="auto"/>
          <w:u w:val="none"/>
          <w:lang w:val="en-US" w:eastAsia="zh-CN"/>
        </w:rPr>
        <w:t>现状分析与问题识别</w:t>
      </w:r>
      <w:bookmarkEnd w:id="0"/>
      <w:bookmarkEnd w:id="1"/>
    </w:p>
    <w:p w14:paraId="201D2027">
      <w:pPr>
        <w:pStyle w:val="3"/>
        <w:bidi w:val="0"/>
        <w:ind w:left="0" w:leftChars="0" w:firstLine="420" w:firstLineChars="0"/>
        <w:rPr>
          <w:rFonts w:hint="eastAsia" w:ascii="黑体" w:hAnsi="黑体" w:eastAsia="黑体" w:cs="黑体"/>
          <w:u w:val="none"/>
          <w:lang w:val="en-US" w:eastAsia="zh-CN"/>
        </w:rPr>
      </w:pPr>
      <w:bookmarkStart w:id="2" w:name="_Toc24816"/>
      <w:bookmarkStart w:id="3" w:name="_Toc8003"/>
      <w:r>
        <w:rPr>
          <w:rFonts w:hint="eastAsia" w:ascii="黑体" w:hAnsi="黑体" w:eastAsia="黑体" w:cs="黑体"/>
          <w:u w:val="none"/>
          <w:lang w:val="en-US" w:eastAsia="zh-CN"/>
        </w:rPr>
        <w:t>区域概况</w:t>
      </w:r>
      <w:bookmarkEnd w:id="2"/>
      <w:bookmarkEnd w:id="3"/>
    </w:p>
    <w:p w14:paraId="186744E6">
      <w:pPr>
        <w:pStyle w:val="4"/>
        <w:bidi w:val="0"/>
        <w:ind w:left="0" w:leftChars="0" w:firstLine="420" w:firstLineChars="0"/>
        <w:rPr>
          <w:rFonts w:hint="eastAsia"/>
          <w:color w:val="auto"/>
          <w:u w:val="none"/>
          <w:lang w:val="en-US" w:eastAsia="zh-CN"/>
        </w:rPr>
      </w:pPr>
      <w:r>
        <w:rPr>
          <w:rFonts w:hint="eastAsia"/>
          <w:color w:val="auto"/>
          <w:u w:val="none"/>
          <w:lang w:val="en-US" w:eastAsia="zh-CN"/>
        </w:rPr>
        <w:t>地理条件与发展基础</w:t>
      </w:r>
    </w:p>
    <w:p w14:paraId="4CCADF08">
      <w:pPr>
        <w:keepNext w:val="0"/>
        <w:keepLines w:val="0"/>
        <w:pageBreakBefore w:val="0"/>
        <w:widowControl w:val="0"/>
        <w:kinsoku/>
        <w:overflowPunct/>
        <w:topLinePunct w:val="0"/>
        <w:autoSpaceDE/>
        <w:autoSpaceDN/>
        <w:bidi w:val="0"/>
        <w:spacing w:line="600" w:lineRule="exact"/>
        <w:textAlignment w:val="auto"/>
        <w:rPr>
          <w:rFonts w:hint="eastAsia"/>
          <w:u w:val="none"/>
        </w:rPr>
      </w:pPr>
      <w:r>
        <w:rPr>
          <w:rFonts w:hint="eastAsia"/>
          <w:u w:val="none"/>
        </w:rPr>
        <w:t>区位优势明显，对外交通便捷。古城镇位于桓仁县北部临县界，是桓仁县的北部门户，南靠华来镇、黑沟乡、北甸子乡，西北与新宾满族自治县接壤，东北邻吉林省通化县。古城镇距离桓仁县城约25公里、40分钟车程，通过横贯镇中心区的鹤大高速、省级公路G201鹤大线与桓仁县城相连。</w:t>
      </w:r>
    </w:p>
    <w:p w14:paraId="2DA5DA00">
      <w:pPr>
        <w:pStyle w:val="6"/>
        <w:bidi w:val="0"/>
        <w:rPr>
          <w:rFonts w:hint="eastAsia"/>
          <w:lang w:eastAsia="zh-CN"/>
        </w:rPr>
      </w:pPr>
      <w:r>
        <w:rPr>
          <w:rFonts w:hint="eastAsia"/>
          <w:lang w:eastAsia="zh-CN"/>
        </w:rPr>
        <w:drawing>
          <wp:inline distT="0" distB="0" distL="114300" distR="114300">
            <wp:extent cx="5441315" cy="3850005"/>
            <wp:effectExtent l="0" t="0" r="6985" b="17145"/>
            <wp:docPr id="2" name="图片 2" descr="210522106古城镇00区位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10522106古城镇00区位图"/>
                    <pic:cNvPicPr>
                      <a:picLocks noChangeAspect="1"/>
                    </pic:cNvPicPr>
                  </pic:nvPicPr>
                  <pic:blipFill>
                    <a:blip r:embed="rId14"/>
                    <a:stretch>
                      <a:fillRect/>
                    </a:stretch>
                  </pic:blipFill>
                  <pic:spPr>
                    <a:xfrm>
                      <a:off x="0" y="0"/>
                      <a:ext cx="5441315" cy="3850005"/>
                    </a:xfrm>
                    <a:prstGeom prst="rect">
                      <a:avLst/>
                    </a:prstGeom>
                  </pic:spPr>
                </pic:pic>
              </a:graphicData>
            </a:graphic>
          </wp:inline>
        </w:drawing>
      </w:r>
    </w:p>
    <w:p w14:paraId="1DDB0795">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自然人文资源富集，休闲旅游基础良好。古城镇地处长白山余脉的中间地带，境内山峦起伏，沟谷纵横，属山区丘陵地形，总体形成“八山一水一分田”的地貌特点，沿富尔江地段景观优美，生态休闲旅游基础良好，人文底蕴深厚。多样的自然、景观资源和多彩的历史文化遗产交相辉映，彰显了古城镇自然与文化遗产的独特魅力。</w:t>
      </w:r>
    </w:p>
    <w:p w14:paraId="76BE9227">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农业资源发达，优势特色显著。古城镇是特色水稻种植大镇，被农业农村部认定为第十一批全国“一村一品”示范村镇。古城镇森林资源丰富，林下参产业规模化发展，各村内均有山参种植区，山参种植的标准化水平较高，已经形成以山参为主的特色产业链，是东北林下野山参的主要产区。</w:t>
      </w:r>
    </w:p>
    <w:p w14:paraId="07F9D6C3">
      <w:pPr>
        <w:pStyle w:val="4"/>
        <w:bidi w:val="0"/>
        <w:ind w:left="0" w:leftChars="0" w:firstLine="420" w:firstLineChars="0"/>
        <w:rPr>
          <w:rFonts w:hint="eastAsia"/>
          <w:color w:val="auto"/>
          <w:u w:val="none"/>
          <w:lang w:val="en-US" w:eastAsia="zh-CN"/>
        </w:rPr>
      </w:pPr>
      <w:r>
        <w:rPr>
          <w:rFonts w:hint="eastAsia"/>
          <w:color w:val="auto"/>
          <w:u w:val="none"/>
          <w:lang w:val="en-US" w:eastAsia="zh-CN"/>
        </w:rPr>
        <w:t>国土底数与本底特征</w:t>
      </w:r>
    </w:p>
    <w:p w14:paraId="7EB5F267">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全域土地面积为31673.54公顷，其中农用地30390.56公顷，建设用地657.44公顷，未利用地</w:t>
      </w:r>
      <w:r>
        <w:rPr>
          <w:rFonts w:hint="eastAsia" w:ascii="Times New Roman" w:eastAsia="仿宋_GB2312"/>
          <w:u w:val="none"/>
          <w:lang w:val="en-US" w:eastAsia="zh-CN"/>
        </w:rPr>
        <w:t>625.55</w:t>
      </w:r>
      <w:r>
        <w:rPr>
          <w:rFonts w:hint="eastAsia"/>
          <w:u w:val="none"/>
        </w:rPr>
        <w:t>公顷，农用地、建设用地、未利用地比例分别为95.9</w:t>
      </w:r>
      <w:r>
        <w:rPr>
          <w:rFonts w:hint="eastAsia" w:ascii="Times New Roman" w:eastAsia="仿宋_GB2312"/>
          <w:u w:val="none"/>
          <w:lang w:val="en-US" w:eastAsia="zh-CN"/>
        </w:rPr>
        <w:t>5</w:t>
      </w:r>
      <w:r>
        <w:rPr>
          <w:rFonts w:hint="eastAsia"/>
          <w:u w:val="none"/>
        </w:rPr>
        <w:t>%、2.08%、1.97%。</w:t>
      </w:r>
    </w:p>
    <w:p w14:paraId="16B09C3B">
      <w:pPr>
        <w:keepNext w:val="0"/>
        <w:keepLines w:val="0"/>
        <w:pageBreakBefore w:val="0"/>
        <w:widowControl w:val="0"/>
        <w:kinsoku/>
        <w:overflowPunct/>
        <w:topLinePunct w:val="0"/>
        <w:autoSpaceDE/>
        <w:autoSpaceDN/>
        <w:bidi w:val="0"/>
        <w:spacing w:line="600" w:lineRule="exact"/>
        <w:textAlignment w:val="auto"/>
        <w:rPr>
          <w:color w:val="2E75B6" w:themeColor="accent5" w:themeShade="BF"/>
          <w:u w:val="none"/>
        </w:rPr>
      </w:pPr>
      <w:r>
        <w:rPr>
          <w:u w:val="none"/>
        </w:rPr>
        <w:t>耕地与永久基本农田保护基础扎实，筑牢粮食安全</w:t>
      </w:r>
      <w:r>
        <w:rPr>
          <w:rFonts w:hint="eastAsia"/>
          <w:u w:val="none"/>
        </w:rPr>
        <w:t>“</w:t>
      </w:r>
      <w:r>
        <w:rPr>
          <w:u w:val="none"/>
        </w:rPr>
        <w:t>压舱石</w:t>
      </w:r>
      <w:r>
        <w:rPr>
          <w:rFonts w:hint="eastAsia"/>
          <w:u w:val="none"/>
        </w:rPr>
        <w:t>”</w:t>
      </w:r>
      <w:r>
        <w:rPr>
          <w:u w:val="none"/>
        </w:rPr>
        <w:t>。</w:t>
      </w:r>
      <w:r>
        <w:rPr>
          <w:rFonts w:hint="eastAsia"/>
          <w:u w:val="none"/>
        </w:rPr>
        <w:t>全域耕地面积5089.52公顷，占全域国土总面积的16.07%；严格落实永久基本农田保护任务，永久基本农田面积为4124.10公顷，占耕地总面积的81.03%；其他农用地面积965.42公顷，占全域国土面积的3.05%。</w:t>
      </w:r>
    </w:p>
    <w:p w14:paraId="10664F6A">
      <w:pPr>
        <w:keepNext w:val="0"/>
        <w:keepLines w:val="0"/>
        <w:pageBreakBefore w:val="0"/>
        <w:widowControl w:val="0"/>
        <w:kinsoku/>
        <w:overflowPunct/>
        <w:topLinePunct w:val="0"/>
        <w:autoSpaceDE/>
        <w:autoSpaceDN/>
        <w:bidi w:val="0"/>
        <w:spacing w:line="600" w:lineRule="exact"/>
        <w:textAlignment w:val="auto"/>
        <w:rPr>
          <w:color w:val="2E75B6" w:themeColor="accent5" w:themeShade="BF"/>
          <w:u w:val="none"/>
        </w:rPr>
      </w:pPr>
      <w:r>
        <w:rPr>
          <w:rFonts w:hint="eastAsia"/>
          <w:u w:val="none"/>
        </w:rPr>
        <w:t>生态功能完备，古城镇是桓仁县东部重要生态安全屏障。古城镇地势呈西北高、东南低。全镇四季分明，气候宜人，年平均气温26.4℃，多年平均降水日数112天，年平均降水量870毫米，无霜期年平均130天，平均年蒸发量1253毫米。境内主要河流富尔江自西向东流经全镇8个村，流长38千米。</w:t>
      </w:r>
    </w:p>
    <w:p w14:paraId="40015007">
      <w:pPr>
        <w:keepNext w:val="0"/>
        <w:keepLines w:val="0"/>
        <w:pageBreakBefore w:val="0"/>
        <w:widowControl w:val="0"/>
        <w:kinsoku/>
        <w:overflowPunct/>
        <w:topLinePunct w:val="0"/>
        <w:autoSpaceDE/>
        <w:autoSpaceDN/>
        <w:bidi w:val="0"/>
        <w:spacing w:line="600" w:lineRule="exact"/>
        <w:textAlignment w:val="auto"/>
        <w:rPr>
          <w:rFonts w:hint="eastAsia"/>
          <w:u w:val="none"/>
        </w:rPr>
      </w:pPr>
      <w:r>
        <w:rPr>
          <w:rFonts w:hint="eastAsia"/>
          <w:u w:val="none"/>
        </w:rPr>
        <w:t>建设用地以城乡建设用地为主，初步呈现出带状单中心的城镇空间总体框架。全镇建设用地总面积657.</w:t>
      </w:r>
      <w:r>
        <w:rPr>
          <w:rFonts w:hint="eastAsia" w:ascii="Times New Roman" w:eastAsia="仿宋_GB2312"/>
          <w:u w:val="none"/>
          <w:lang w:val="en-US" w:eastAsia="zh-CN"/>
        </w:rPr>
        <w:t>44</w:t>
      </w:r>
      <w:r>
        <w:rPr>
          <w:rFonts w:hint="eastAsia"/>
          <w:u w:val="none"/>
        </w:rPr>
        <w:t>公顷，以城乡建设用地为主，占建设用地总面积的</w:t>
      </w:r>
      <w:r>
        <w:rPr>
          <w:rFonts w:hint="eastAsia" w:ascii="Times New Roman" w:eastAsia="仿宋_GB2312"/>
          <w:u w:val="none"/>
          <w:lang w:val="en-US" w:eastAsia="zh-CN"/>
        </w:rPr>
        <w:t>57.15</w:t>
      </w:r>
      <w:r>
        <w:rPr>
          <w:rFonts w:hint="eastAsia"/>
          <w:u w:val="none"/>
        </w:rPr>
        <w:t>%；区域基础设施及其他建设用地占建设用地总面积的</w:t>
      </w:r>
      <w:r>
        <w:rPr>
          <w:rFonts w:hint="eastAsia" w:ascii="Times New Roman" w:eastAsia="仿宋_GB2312"/>
          <w:u w:val="none"/>
          <w:lang w:val="en-US" w:eastAsia="zh-CN"/>
        </w:rPr>
        <w:t>42.85</w:t>
      </w:r>
      <w:r>
        <w:rPr>
          <w:rFonts w:hint="eastAsia"/>
          <w:u w:val="none"/>
        </w:rPr>
        <w:t>%。城乡建设用地以居住用地为主，其他建设用地以采矿用地为主。村庄建设用地散点布局，城镇建设用地主要集中于镇中心区、拐磨子村等主要发展区域，初步形成了带状单中心式的城镇空间框架。</w:t>
      </w:r>
    </w:p>
    <w:p w14:paraId="7632ED3A">
      <w:pPr>
        <w:pStyle w:val="6"/>
        <w:bidi w:val="0"/>
        <w:rPr>
          <w:rFonts w:hint="eastAsia"/>
          <w:lang w:eastAsia="zh-CN"/>
        </w:rPr>
      </w:pPr>
      <w:r>
        <w:rPr>
          <w:rFonts w:hint="eastAsia"/>
          <w:lang w:eastAsia="zh-CN"/>
        </w:rPr>
        <w:drawing>
          <wp:inline distT="0" distB="0" distL="114300" distR="114300">
            <wp:extent cx="5441315" cy="3850005"/>
            <wp:effectExtent l="0" t="0" r="6985" b="17145"/>
            <wp:docPr id="3" name="图片 3" descr="210522106古城镇01国土空间用地用海现状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10522106古城镇01国土空间用地用海现状图"/>
                    <pic:cNvPicPr>
                      <a:picLocks noChangeAspect="1"/>
                    </pic:cNvPicPr>
                  </pic:nvPicPr>
                  <pic:blipFill>
                    <a:blip r:embed="rId15"/>
                    <a:stretch>
                      <a:fillRect/>
                    </a:stretch>
                  </pic:blipFill>
                  <pic:spPr>
                    <a:xfrm>
                      <a:off x="0" y="0"/>
                      <a:ext cx="5441315" cy="3850005"/>
                    </a:xfrm>
                    <a:prstGeom prst="rect">
                      <a:avLst/>
                    </a:prstGeom>
                  </pic:spPr>
                </pic:pic>
              </a:graphicData>
            </a:graphic>
          </wp:inline>
        </w:drawing>
      </w:r>
    </w:p>
    <w:p w14:paraId="0D67F111">
      <w:pPr>
        <w:pStyle w:val="3"/>
        <w:bidi w:val="0"/>
        <w:ind w:left="0" w:leftChars="0" w:firstLine="420" w:firstLineChars="0"/>
        <w:rPr>
          <w:rFonts w:hint="eastAsia" w:ascii="黑体" w:hAnsi="黑体" w:eastAsia="黑体" w:cs="黑体"/>
          <w:u w:val="none"/>
          <w:lang w:val="en-US" w:eastAsia="zh-CN"/>
        </w:rPr>
      </w:pPr>
      <w:bookmarkStart w:id="4" w:name="_Toc5763"/>
      <w:bookmarkStart w:id="5" w:name="_Toc17275"/>
      <w:r>
        <w:rPr>
          <w:rFonts w:hint="eastAsia" w:ascii="黑体" w:hAnsi="黑体" w:eastAsia="黑体" w:cs="黑体"/>
          <w:u w:val="none"/>
          <w:lang w:val="en-US" w:eastAsia="zh-CN"/>
        </w:rPr>
        <w:t>问题和风险挑战</w:t>
      </w:r>
      <w:bookmarkEnd w:id="4"/>
      <w:bookmarkEnd w:id="5"/>
    </w:p>
    <w:p w14:paraId="6797C874">
      <w:pPr>
        <w:pStyle w:val="4"/>
        <w:bidi w:val="0"/>
        <w:ind w:left="0" w:leftChars="0" w:firstLine="420" w:firstLineChars="0"/>
        <w:rPr>
          <w:rFonts w:hint="eastAsia"/>
          <w:color w:val="auto"/>
          <w:u w:val="none"/>
          <w:lang w:val="en-US" w:eastAsia="zh-CN"/>
        </w:rPr>
      </w:pPr>
      <w:bookmarkStart w:id="6" w:name="_Hlk129616623"/>
      <w:r>
        <w:rPr>
          <w:rFonts w:hint="eastAsia"/>
          <w:color w:val="auto"/>
          <w:u w:val="none"/>
          <w:lang w:val="en-US" w:eastAsia="zh-CN"/>
        </w:rPr>
        <w:t>国土空间开发利用与保护问题</w:t>
      </w:r>
    </w:p>
    <w:p w14:paraId="0B90A39E">
      <w:pPr>
        <w:keepNext w:val="0"/>
        <w:keepLines w:val="0"/>
        <w:pageBreakBefore w:val="0"/>
        <w:widowControl w:val="0"/>
        <w:kinsoku/>
        <w:overflowPunct/>
        <w:topLinePunct w:val="0"/>
        <w:autoSpaceDE/>
        <w:autoSpaceDN/>
        <w:bidi w:val="0"/>
        <w:spacing w:line="600" w:lineRule="exact"/>
        <w:textAlignment w:val="auto"/>
        <w:rPr>
          <w:rFonts w:hint="eastAsia" w:eastAsia="仿宋_GB2312"/>
          <w:lang w:eastAsia="zh-CN"/>
        </w:rPr>
      </w:pPr>
      <w:r>
        <w:rPr>
          <w:rFonts w:hint="eastAsia"/>
          <w:u w:val="none"/>
          <w:lang w:eastAsia="zh-CN"/>
        </w:rPr>
        <w:t>自然生态强化保护。古城镇所在的桓仁地区作为重要的水源涵养区，已被纳入国家重点生态功能区体系，承担着维系区域生态平衡和保障水源安全的重要使命。作为区域绿色屏障的关键组成部分，古城镇在工业发展、农业现代化建设以及旅游开发等多个方面都面临着严格的生态红线约束，发展空间和开发强度受到明确限制。在此背景下，如何科学平衡生态环境保护与经济社会发展的关系，有效破解开发与保护之间的现实矛盾，已成为当前亟需解决的核心议题。</w:t>
      </w:r>
    </w:p>
    <w:p w14:paraId="18558F81">
      <w:pPr>
        <w:keepNext w:val="0"/>
        <w:keepLines w:val="0"/>
        <w:pageBreakBefore w:val="0"/>
        <w:widowControl w:val="0"/>
        <w:kinsoku/>
        <w:overflowPunct/>
        <w:topLinePunct w:val="0"/>
        <w:autoSpaceDE/>
        <w:autoSpaceDN/>
        <w:bidi w:val="0"/>
        <w:spacing w:line="600" w:lineRule="exact"/>
        <w:textAlignment w:val="auto"/>
        <w:rPr>
          <w:rFonts w:hint="eastAsia" w:eastAsia="仿宋_GB2312"/>
          <w:lang w:eastAsia="zh-CN"/>
        </w:rPr>
      </w:pPr>
      <w:r>
        <w:rPr>
          <w:rFonts w:hint="eastAsia"/>
          <w:u w:val="none"/>
          <w:lang w:eastAsia="zh-CN"/>
        </w:rPr>
        <w:t>城镇发展动力不足。受宏观经济环境及区域发展基础等多重因素影响，古城镇整体经济总量有限，内生增长动力明显不足。尽管已规划布局航空小镇、农产品精深加工等产业方向，但这些产业尚未形成规模效应，未能有效带动区域经济实现预期增长。与此同时，城镇开发建设规模相对有限，空间拓展和产业集聚能力较弱，难以形成强有力的发展引擎，进一步制约了城镇综合竞争力的提升。</w:t>
      </w:r>
    </w:p>
    <w:p w14:paraId="5D881F02">
      <w:pPr>
        <w:keepNext w:val="0"/>
        <w:keepLines w:val="0"/>
        <w:pageBreakBefore w:val="0"/>
        <w:widowControl w:val="0"/>
        <w:kinsoku/>
        <w:overflowPunct/>
        <w:topLinePunct w:val="0"/>
        <w:autoSpaceDE/>
        <w:autoSpaceDN/>
        <w:bidi w:val="0"/>
        <w:spacing w:line="600" w:lineRule="exact"/>
        <w:textAlignment w:val="auto"/>
        <w:rPr>
          <w:rFonts w:hint="eastAsia" w:eastAsia="仿宋_GB2312"/>
          <w:lang w:eastAsia="zh-CN"/>
        </w:rPr>
      </w:pPr>
      <w:r>
        <w:rPr>
          <w:rFonts w:hint="eastAsia"/>
          <w:u w:val="none"/>
          <w:lang w:eastAsia="zh-CN"/>
        </w:rPr>
        <w:t>产业偏重亟待转型。当前，古城镇的工业发展仍以传统产业为主，产业结构较为单一，存在明显的结构性问题。一般性加工、资源依赖型以及初级产品生产仍占据主导地位，缺乏高附加值、高技术含量的产业形态。城镇经济主要依靠资源类产业支撑，新兴产业培育进展缓慢，占比明显偏低。因此，亟需探索传统产业转型升级的新路径，加快构建多元协同的现代产业体系，推动形成具有区域特色的主导产业集群。</w:t>
      </w:r>
    </w:p>
    <w:p w14:paraId="5E321FFD">
      <w:pPr>
        <w:keepNext w:val="0"/>
        <w:keepLines w:val="0"/>
        <w:pageBreakBefore w:val="0"/>
        <w:widowControl w:val="0"/>
        <w:kinsoku/>
        <w:overflowPunct/>
        <w:topLinePunct w:val="0"/>
        <w:autoSpaceDE/>
        <w:autoSpaceDN/>
        <w:bidi w:val="0"/>
        <w:spacing w:line="600" w:lineRule="exact"/>
        <w:textAlignment w:val="auto"/>
        <w:rPr>
          <w:rFonts w:hint="eastAsia" w:eastAsia="仿宋_GB2312"/>
          <w:lang w:eastAsia="zh-CN"/>
        </w:rPr>
      </w:pPr>
      <w:r>
        <w:rPr>
          <w:rFonts w:hint="eastAsia"/>
          <w:u w:val="none"/>
          <w:lang w:eastAsia="zh-CN"/>
        </w:rPr>
        <w:t>设施保障能力不足。在城乡公共服务设施建设方面，古城镇存在明显的配置不均衡问题，部分村庄的基础设施和公共服务覆盖仍较为薄弱，农村地区的设施建设水平和服务能力有待提高。镇区范围内的配套设施同样存在短板，建成区的功能品质仍需进一步提升，亟待推动精细化、专业化发展。特别是在养老院等公办服务设施方面，亟需加强资源投入和制度保障，切实增强基本公共服务的兜底能力。</w:t>
      </w:r>
    </w:p>
    <w:p w14:paraId="69526CD9">
      <w:pPr>
        <w:pStyle w:val="4"/>
        <w:bidi w:val="0"/>
        <w:ind w:left="0" w:leftChars="0" w:firstLine="420" w:firstLineChars="0"/>
        <w:rPr>
          <w:rFonts w:hint="eastAsia"/>
          <w:color w:val="auto"/>
          <w:u w:val="none"/>
          <w:lang w:val="en-US" w:eastAsia="zh-CN"/>
        </w:rPr>
      </w:pPr>
      <w:r>
        <w:rPr>
          <w:rFonts w:hint="eastAsia"/>
          <w:color w:val="auto"/>
          <w:u w:val="none"/>
          <w:lang w:val="en-US" w:eastAsia="zh-CN"/>
        </w:rPr>
        <w:t>国土空间开发保护面临风险</w:t>
      </w:r>
    </w:p>
    <w:p w14:paraId="5ED1EA0F">
      <w:pPr>
        <w:keepNext w:val="0"/>
        <w:keepLines w:val="0"/>
        <w:pageBreakBefore w:val="0"/>
        <w:widowControl w:val="0"/>
        <w:kinsoku/>
        <w:overflowPunct/>
        <w:topLinePunct w:val="0"/>
        <w:autoSpaceDE/>
        <w:autoSpaceDN/>
        <w:bidi w:val="0"/>
        <w:spacing w:line="600" w:lineRule="exact"/>
        <w:textAlignment w:val="auto"/>
        <w:rPr>
          <w:rFonts w:hint="eastAsia" w:eastAsia="仿宋_GB2312"/>
          <w:lang w:eastAsia="zh-CN"/>
        </w:rPr>
      </w:pPr>
      <w:r>
        <w:rPr>
          <w:rFonts w:hint="eastAsia"/>
          <w:u w:val="none"/>
          <w:lang w:eastAsia="zh-CN"/>
        </w:rPr>
        <w:t>古城镇在城镇化进程中正面临显著的人口收缩与深度老龄化双重挑战，这些因素严重制约了城镇的整体活力和区域竞争力。当前，古城镇已步入人口负增长阶段，受到持续偏低的出生率以及青壮年人口外流的双重影响，总人口数量呈现不断缩减态势。与此同时，镇域范围内各村庄的老龄化程度不断加深，已明显超出全国老龄化平均水平，人口结构失衡问题日益突出，人口减少的幅度还在逐年扩大。</w:t>
      </w:r>
    </w:p>
    <w:bookmarkEnd w:id="6"/>
    <w:p w14:paraId="42E8C4E3">
      <w:pPr>
        <w:keepNext w:val="0"/>
        <w:keepLines w:val="0"/>
        <w:pageBreakBefore w:val="0"/>
        <w:widowControl w:val="0"/>
        <w:kinsoku/>
        <w:overflowPunct/>
        <w:topLinePunct w:val="0"/>
        <w:autoSpaceDE/>
        <w:autoSpaceDN/>
        <w:bidi w:val="0"/>
        <w:spacing w:line="600" w:lineRule="exact"/>
        <w:textAlignment w:val="auto"/>
        <w:rPr>
          <w:rFonts w:hint="eastAsia" w:eastAsia="仿宋_GB2312"/>
          <w:lang w:eastAsia="zh-CN"/>
        </w:rPr>
      </w:pPr>
      <w:r>
        <w:rPr>
          <w:rFonts w:hint="eastAsia"/>
          <w:u w:val="none"/>
          <w:lang w:eastAsia="zh-CN"/>
        </w:rPr>
        <w:t>在农业空间保护方面，古城镇面临的形势十分严峻。该地区以山地和丘陵为主要地貌类型，山体面积广大而可用耕地资源稀缺，耕地分布零散、集中连片程度低，规模化经营难度大。农田水利基础设施薄弱，部分沟渠、塘坝等设施年久失修，功能退化严重。更突出的是，部分优质耕地与城镇未来建设适宜区域存在空间重叠，开发与保护之间的矛盾日益凸显，给国土空间规划与永续发展带来巨大压力。</w:t>
      </w:r>
    </w:p>
    <w:p w14:paraId="150F1238">
      <w:pPr>
        <w:keepNext w:val="0"/>
        <w:keepLines w:val="0"/>
        <w:pageBreakBefore w:val="0"/>
        <w:widowControl w:val="0"/>
        <w:kinsoku/>
        <w:overflowPunct/>
        <w:topLinePunct w:val="0"/>
        <w:autoSpaceDE/>
        <w:autoSpaceDN/>
        <w:bidi w:val="0"/>
        <w:spacing w:line="600" w:lineRule="exact"/>
        <w:textAlignment w:val="auto"/>
        <w:rPr>
          <w:rFonts w:hint="eastAsia"/>
          <w:u w:val="none"/>
          <w:lang w:eastAsia="zh-CN"/>
        </w:rPr>
      </w:pPr>
      <w:r>
        <w:rPr>
          <w:rFonts w:hint="eastAsia"/>
          <w:u w:val="none"/>
          <w:lang w:eastAsia="zh-CN"/>
        </w:rPr>
        <w:t>此外，古城镇还面临较高的自然灾害风险。该地地质条件复杂，断裂发育、岩层不稳定，存在较高的潜在地质灾害风险。在强降雨等极端天气条件下，局部地区易诱发崩塌、滑坡、泥石流和地面塌陷等突发性地质灾害。同时，洪涝等气象灾害也时有发生，自然生态系统的固碳能力和生态调节功能较弱。在全球气候变化加剧的背景下，古城镇应对极端气候事件和突发性地质灾害的形势愈发严峻，防灾减灾与韧性建设任务艰巨。</w:t>
      </w:r>
    </w:p>
    <w:p w14:paraId="421547FD">
      <w:pPr>
        <w:pStyle w:val="3"/>
        <w:bidi w:val="0"/>
        <w:ind w:left="0" w:leftChars="0" w:firstLine="420" w:firstLineChars="0"/>
        <w:rPr>
          <w:rFonts w:hint="eastAsia" w:ascii="黑体" w:hAnsi="黑体" w:eastAsia="黑体" w:cs="黑体"/>
          <w:u w:val="none"/>
          <w:lang w:val="en-US" w:eastAsia="zh-CN"/>
        </w:rPr>
      </w:pPr>
      <w:bookmarkStart w:id="7" w:name="_Toc24806"/>
      <w:bookmarkStart w:id="8" w:name="_Toc8326"/>
      <w:r>
        <w:rPr>
          <w:rFonts w:hint="eastAsia" w:ascii="黑体" w:hAnsi="黑体" w:eastAsia="黑体" w:cs="黑体"/>
          <w:u w:val="none"/>
          <w:lang w:val="en-US" w:eastAsia="zh-CN"/>
        </w:rPr>
        <w:t>机遇使命</w:t>
      </w:r>
      <w:bookmarkEnd w:id="7"/>
      <w:bookmarkEnd w:id="8"/>
    </w:p>
    <w:p w14:paraId="457792B8">
      <w:pPr>
        <w:pStyle w:val="4"/>
        <w:bidi w:val="0"/>
        <w:ind w:left="0" w:leftChars="0" w:firstLine="420" w:firstLineChars="0"/>
        <w:rPr>
          <w:rFonts w:hint="eastAsia"/>
          <w:color w:val="auto"/>
          <w:u w:val="none"/>
          <w:lang w:val="en-US" w:eastAsia="zh-CN"/>
        </w:rPr>
      </w:pPr>
      <w:r>
        <w:rPr>
          <w:rFonts w:hint="eastAsia"/>
          <w:color w:val="auto"/>
          <w:u w:val="none"/>
          <w:lang w:val="en-US" w:eastAsia="zh-CN"/>
        </w:rPr>
        <w:t>新型城镇化和乡村振兴战略</w:t>
      </w:r>
    </w:p>
    <w:p w14:paraId="17448692">
      <w:pPr>
        <w:keepNext w:val="0"/>
        <w:keepLines w:val="0"/>
        <w:pageBreakBefore w:val="0"/>
        <w:widowControl w:val="0"/>
        <w:kinsoku/>
        <w:overflowPunct/>
        <w:topLinePunct w:val="0"/>
        <w:autoSpaceDE/>
        <w:autoSpaceDN/>
        <w:bidi w:val="0"/>
        <w:spacing w:line="600" w:lineRule="exact"/>
        <w:textAlignment w:val="auto"/>
        <w:rPr>
          <w:u w:val="none"/>
        </w:rPr>
      </w:pPr>
      <w:bookmarkStart w:id="9" w:name="_Toc152937187"/>
      <w:bookmarkStart w:id="10" w:name="_Hlk129364386"/>
      <w:r>
        <w:rPr>
          <w:rFonts w:hint="eastAsia"/>
          <w:color w:val="auto"/>
          <w:u w:val="none"/>
          <w:lang w:val="en-US" w:eastAsia="zh-CN"/>
        </w:rPr>
        <w:t>彰显古城城乡建设优势。</w:t>
      </w:r>
      <w:r>
        <w:rPr>
          <w:rFonts w:hint="eastAsia"/>
          <w:u w:val="none"/>
        </w:rPr>
        <w:t>在提高城镇化质量为导向的新型城镇化战略背景下，古城镇城镇化建设迎来了良好发展机遇，良好区位优势和建设基础为古城镇新型城镇化发展提供了发展机遇。丰富的资源为古城镇乡村振兴发展提供了产业基础，充分利用基础优势，坚持走三产融合、绿色发展之路。</w:t>
      </w:r>
    </w:p>
    <w:p w14:paraId="5747E785">
      <w:pPr>
        <w:pStyle w:val="4"/>
        <w:bidi w:val="0"/>
        <w:ind w:left="0" w:leftChars="0" w:firstLine="420" w:firstLineChars="0"/>
        <w:rPr>
          <w:rFonts w:hint="eastAsia"/>
          <w:color w:val="auto"/>
          <w:u w:val="none"/>
          <w:lang w:val="en-US" w:eastAsia="zh-CN"/>
        </w:rPr>
      </w:pPr>
      <w:r>
        <w:rPr>
          <w:rFonts w:hint="eastAsia"/>
          <w:color w:val="auto"/>
          <w:u w:val="none"/>
          <w:lang w:val="en-US" w:eastAsia="zh-CN"/>
        </w:rPr>
        <w:t>构建区域发展新格局</w:t>
      </w:r>
    </w:p>
    <w:p w14:paraId="56653064">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lang w:val="en-US" w:eastAsia="zh-CN"/>
        </w:rPr>
        <w:t>进一步促进与周边区域协同发展。</w:t>
      </w:r>
      <w:r>
        <w:rPr>
          <w:rFonts w:hint="eastAsia"/>
          <w:u w:val="none"/>
        </w:rPr>
        <w:t>辽宁构建“一圈一带两区”区域发展格局，将更有利于本溪市、桓仁县发挥地处辽东绿色经济区的优势作用。在此背景下，古城镇加强与周边乡镇在设施配套、产业发展、环境保护等方面的协同与共建共享，共同打造交通共联、产业共链、平台共享、生态共保、文体旅共建、社会共治的绿色经济区重要节点，将大幅提升古城镇区域交通条件以及区域服务能力。</w:t>
      </w:r>
    </w:p>
    <w:p w14:paraId="08ABB002">
      <w:pPr>
        <w:pStyle w:val="2"/>
        <w:spacing w:before="360" w:after="360"/>
        <w:rPr>
          <w:rFonts w:hint="eastAsia" w:ascii="方正小标宋简体" w:hAnsi="方正小标宋简体" w:eastAsia="方正小标宋简体" w:cs="方正小标宋简体"/>
          <w:color w:val="auto"/>
          <w:u w:val="none"/>
          <w:lang w:val="en-US" w:eastAsia="zh-CN"/>
        </w:rPr>
      </w:pPr>
      <w:bookmarkStart w:id="11" w:name="_Toc26352"/>
      <w:bookmarkStart w:id="12" w:name="_Toc29371"/>
      <w:r>
        <w:rPr>
          <w:rFonts w:hint="eastAsia" w:ascii="方正小标宋简体" w:hAnsi="方正小标宋简体" w:eastAsia="方正小标宋简体" w:cs="方正小标宋简体"/>
          <w:color w:val="auto"/>
          <w:u w:val="none"/>
          <w:lang w:val="en-US" w:eastAsia="zh-CN"/>
        </w:rPr>
        <w:t>发展定位与目标</w:t>
      </w:r>
      <w:bookmarkEnd w:id="9"/>
      <w:bookmarkEnd w:id="11"/>
      <w:bookmarkEnd w:id="12"/>
    </w:p>
    <w:p w14:paraId="3D8BF6CC">
      <w:pPr>
        <w:pStyle w:val="3"/>
        <w:bidi w:val="0"/>
        <w:ind w:left="0" w:leftChars="0" w:firstLine="420" w:firstLineChars="0"/>
        <w:rPr>
          <w:rFonts w:hint="eastAsia" w:ascii="黑体" w:hAnsi="黑体" w:eastAsia="黑体" w:cs="黑体"/>
          <w:u w:val="none"/>
          <w:lang w:val="en-US" w:eastAsia="zh-CN"/>
        </w:rPr>
      </w:pPr>
      <w:bookmarkStart w:id="13" w:name="_Toc20431"/>
      <w:bookmarkStart w:id="14" w:name="_Toc29092"/>
      <w:bookmarkStart w:id="15" w:name="_Toc152937188"/>
      <w:bookmarkStart w:id="16" w:name="_Hlk128122639"/>
      <w:r>
        <w:rPr>
          <w:rFonts w:hint="eastAsia" w:ascii="黑体" w:hAnsi="黑体" w:eastAsia="黑体" w:cs="黑体"/>
          <w:u w:val="none"/>
          <w:lang w:val="en-US" w:eastAsia="zh-CN"/>
        </w:rPr>
        <w:t>乡镇功能定位</w:t>
      </w:r>
      <w:bookmarkEnd w:id="13"/>
      <w:bookmarkEnd w:id="14"/>
      <w:bookmarkEnd w:id="15"/>
    </w:p>
    <w:bookmarkEnd w:id="16"/>
    <w:p w14:paraId="3D87C12F">
      <w:pPr>
        <w:pStyle w:val="4"/>
        <w:bidi w:val="0"/>
        <w:ind w:left="0" w:leftChars="0" w:firstLine="420" w:firstLineChars="0"/>
        <w:rPr>
          <w:rFonts w:hint="eastAsia"/>
          <w:color w:val="auto"/>
          <w:u w:val="none"/>
          <w:lang w:val="en-US" w:eastAsia="zh-CN"/>
        </w:rPr>
      </w:pPr>
      <w:r>
        <w:rPr>
          <w:rFonts w:hint="eastAsia"/>
          <w:color w:val="auto"/>
          <w:u w:val="none"/>
          <w:lang w:val="en-US" w:eastAsia="zh-CN"/>
        </w:rPr>
        <w:t>城镇功能定位</w:t>
      </w:r>
    </w:p>
    <w:p w14:paraId="08BD9C2D">
      <w:pPr>
        <w:keepNext w:val="0"/>
        <w:keepLines w:val="0"/>
        <w:pageBreakBefore w:val="0"/>
        <w:widowControl w:val="0"/>
        <w:kinsoku/>
        <w:overflowPunct/>
        <w:topLinePunct w:val="0"/>
        <w:autoSpaceDE/>
        <w:autoSpaceDN/>
        <w:bidi w:val="0"/>
        <w:spacing w:line="600" w:lineRule="exact"/>
        <w:textAlignment w:val="auto"/>
        <w:rPr>
          <w:color w:val="2E75B6" w:themeColor="accent5" w:themeShade="BF"/>
          <w:u w:val="none"/>
        </w:rPr>
      </w:pPr>
      <w:r>
        <w:rPr>
          <w:rFonts w:cs="Times New Roman"/>
          <w:u w:val="none"/>
        </w:rPr>
        <w:t>落实上位规划要求，结合</w:t>
      </w:r>
      <w:r>
        <w:rPr>
          <w:rFonts w:hint="eastAsia" w:cs="Times New Roman"/>
          <w:u w:val="none"/>
          <w:lang w:val="en-US" w:eastAsia="zh-CN"/>
        </w:rPr>
        <w:t>古城</w:t>
      </w:r>
      <w:r>
        <w:rPr>
          <w:rFonts w:cs="Times New Roman"/>
          <w:u w:val="none"/>
        </w:rPr>
        <w:t>镇资源环境条件和产业发展基础等，</w:t>
      </w:r>
      <w:r>
        <w:rPr>
          <w:rFonts w:hint="default" w:ascii="Times New Roman" w:hAnsi="Times New Roman" w:eastAsia="仿宋_GB2312" w:cs="Times New Roman"/>
          <w:b w:val="0"/>
          <w:bCs w:val="0"/>
          <w:snapToGrid/>
          <w:color w:val="auto"/>
          <w:kern w:val="2"/>
          <w:sz w:val="32"/>
          <w:szCs w:val="22"/>
          <w:highlight w:val="none"/>
          <w:u w:val="none"/>
          <w:lang w:val="en-US" w:eastAsia="zh-CN"/>
        </w:rPr>
        <w:t>将</w:t>
      </w:r>
      <w:r>
        <w:rPr>
          <w:rFonts w:hint="eastAsia" w:ascii="Times New Roman" w:hAnsi="Times New Roman" w:cs="Times New Roman"/>
          <w:b w:val="0"/>
          <w:bCs w:val="0"/>
          <w:snapToGrid/>
          <w:color w:val="auto"/>
          <w:kern w:val="2"/>
          <w:sz w:val="32"/>
          <w:szCs w:val="22"/>
          <w:highlight w:val="none"/>
          <w:u w:val="none"/>
          <w:lang w:val="en-US" w:eastAsia="zh-CN"/>
        </w:rPr>
        <w:t>古城</w:t>
      </w:r>
      <w:r>
        <w:rPr>
          <w:rFonts w:hint="default" w:ascii="Times New Roman" w:hAnsi="Times New Roman" w:eastAsia="仿宋_GB2312" w:cs="Times New Roman"/>
          <w:b w:val="0"/>
          <w:bCs w:val="0"/>
          <w:snapToGrid/>
          <w:color w:val="auto"/>
          <w:kern w:val="2"/>
          <w:sz w:val="32"/>
          <w:szCs w:val="22"/>
          <w:highlight w:val="none"/>
          <w:u w:val="none"/>
          <w:lang w:val="en-US" w:eastAsia="zh-CN"/>
        </w:rPr>
        <w:t>镇建设成为工</w:t>
      </w:r>
      <w:r>
        <w:rPr>
          <w:rFonts w:hint="eastAsia" w:ascii="仿宋_GB2312" w:hAnsi="仿宋_GB2312" w:eastAsia="仿宋_GB2312" w:cs="仿宋_GB2312"/>
          <w:b w:val="0"/>
          <w:bCs w:val="0"/>
          <w:snapToGrid/>
          <w:color w:val="auto"/>
          <w:kern w:val="2"/>
          <w:sz w:val="32"/>
          <w:szCs w:val="24"/>
          <w:highlight w:val="none"/>
          <w:u w:val="none"/>
          <w:lang w:val="en-US" w:eastAsia="zh-CN"/>
        </w:rPr>
        <w:t>业集贸型重点镇</w:t>
      </w:r>
      <w:r>
        <w:rPr>
          <w:rFonts w:hint="eastAsia" w:ascii="仿宋_GB2312" w:hAnsi="仿宋_GB2312" w:cs="仿宋_GB2312"/>
          <w:b w:val="0"/>
          <w:bCs w:val="0"/>
          <w:snapToGrid/>
          <w:color w:val="auto"/>
          <w:kern w:val="2"/>
          <w:sz w:val="32"/>
          <w:szCs w:val="24"/>
          <w:highlight w:val="none"/>
          <w:u w:val="none"/>
          <w:lang w:val="en-US" w:eastAsia="zh-CN"/>
        </w:rPr>
        <w:t>，</w:t>
      </w:r>
      <w:r>
        <w:rPr>
          <w:rFonts w:hint="eastAsia"/>
          <w:u w:val="none"/>
        </w:rPr>
        <w:t>主体功能为重点生态功能区</w:t>
      </w:r>
      <w:r>
        <w:rPr>
          <w:rFonts w:hint="eastAsia" w:eastAsia="仿宋_GB2312"/>
          <w:u w:val="none"/>
          <w:lang w:eastAsia="zh-CN"/>
        </w:rPr>
        <w:t>。</w:t>
      </w:r>
      <w:r>
        <w:rPr>
          <w:rFonts w:hint="eastAsia"/>
          <w:u w:val="none"/>
        </w:rPr>
        <w:t>立足古城镇丰富的林下资源和农产品加工条件、优美的山水资源等核心优势，以林下特色种植、农产品精深加工为产业主体，以农业全产业链发展与综合服务业全面融合为特色的工贸带动型乡镇。</w:t>
      </w:r>
    </w:p>
    <w:p w14:paraId="6AA91E75">
      <w:pPr>
        <w:keepNext w:val="0"/>
        <w:keepLines w:val="0"/>
        <w:pageBreakBefore w:val="0"/>
        <w:widowControl w:val="0"/>
        <w:kinsoku/>
        <w:overflowPunct/>
        <w:topLinePunct w:val="0"/>
        <w:autoSpaceDE/>
        <w:autoSpaceDN/>
        <w:bidi w:val="0"/>
        <w:spacing w:line="600" w:lineRule="exact"/>
        <w:ind w:firstLine="643"/>
        <w:textAlignment w:val="auto"/>
        <w:rPr>
          <w:u w:val="none"/>
        </w:rPr>
      </w:pPr>
      <w:r>
        <w:rPr>
          <w:rFonts w:hint="eastAsia"/>
          <w:b/>
          <w:bCs/>
          <w:u w:val="none"/>
        </w:rPr>
        <w:t>打造“省级特色航空小镇”。</w:t>
      </w:r>
      <w:r>
        <w:rPr>
          <w:rFonts w:hint="eastAsia"/>
          <w:u w:val="none"/>
        </w:rPr>
        <w:t>以在古城</w:t>
      </w:r>
      <w:r>
        <w:rPr>
          <w:rFonts w:hint="eastAsia" w:eastAsia="仿宋_GB2312"/>
          <w:u w:val="none"/>
          <w:lang w:eastAsia="zh-CN"/>
        </w:rPr>
        <w:t>镇</w:t>
      </w:r>
      <w:r>
        <w:rPr>
          <w:rFonts w:hint="eastAsia"/>
          <w:u w:val="none"/>
        </w:rPr>
        <w:t>境内新建的辽宁省桓仁五女山运输机场项目为依托，结合古城镇风貌特色和人文环境，配套占地面积2000亩，建设生态廊道，陆续引入航空食品生产企业，发展医疗、商务等配套设施，全面发展临空相关产业，促进通航、农业、旅游业、物流业为主导的复合型产业共同发展的“航空小镇”。</w:t>
      </w:r>
    </w:p>
    <w:p w14:paraId="75025D9F">
      <w:pPr>
        <w:keepNext w:val="0"/>
        <w:keepLines w:val="0"/>
        <w:pageBreakBefore w:val="0"/>
        <w:widowControl w:val="0"/>
        <w:kinsoku/>
        <w:overflowPunct/>
        <w:topLinePunct w:val="0"/>
        <w:autoSpaceDE/>
        <w:autoSpaceDN/>
        <w:bidi w:val="0"/>
        <w:spacing w:line="600" w:lineRule="exact"/>
        <w:ind w:firstLine="643"/>
        <w:textAlignment w:val="auto"/>
        <w:rPr>
          <w:u w:val="none"/>
        </w:rPr>
      </w:pPr>
      <w:r>
        <w:rPr>
          <w:rFonts w:hint="eastAsia"/>
          <w:b/>
          <w:bCs/>
          <w:u w:val="none"/>
        </w:rPr>
        <w:t>打造“本溪优质稻米生产</w:t>
      </w:r>
      <w:r>
        <w:rPr>
          <w:rFonts w:hint="eastAsia" w:ascii="Times New Roman" w:eastAsia="仿宋_GB2312"/>
          <w:b/>
          <w:bCs/>
          <w:u w:val="none"/>
          <w:lang w:val="en-US" w:eastAsia="zh-CN"/>
        </w:rPr>
        <w:t>综合体</w:t>
      </w:r>
      <w:r>
        <w:rPr>
          <w:rFonts w:hint="eastAsia"/>
          <w:b/>
          <w:bCs/>
          <w:u w:val="none"/>
        </w:rPr>
        <w:t>”。</w:t>
      </w:r>
      <w:r>
        <w:rPr>
          <w:rFonts w:hint="eastAsia"/>
          <w:u w:val="none"/>
        </w:rPr>
        <w:t>结合古城镇特色农产品产业资源优势，打造本溪市优质稻米生产基地。通过农文旅产业联动发展，打造古城稻香田园综合体。</w:t>
      </w:r>
    </w:p>
    <w:p w14:paraId="76CE84E9">
      <w:pPr>
        <w:keepNext w:val="0"/>
        <w:keepLines w:val="0"/>
        <w:pageBreakBefore w:val="0"/>
        <w:widowControl w:val="0"/>
        <w:kinsoku/>
        <w:overflowPunct/>
        <w:topLinePunct w:val="0"/>
        <w:autoSpaceDE/>
        <w:autoSpaceDN/>
        <w:bidi w:val="0"/>
        <w:spacing w:line="600" w:lineRule="exact"/>
        <w:ind w:firstLine="643"/>
        <w:textAlignment w:val="auto"/>
        <w:rPr>
          <w:color w:val="2E75B6" w:themeColor="accent5" w:themeShade="BF"/>
          <w:u w:val="none"/>
        </w:rPr>
      </w:pPr>
      <w:r>
        <w:rPr>
          <w:rFonts w:hint="eastAsia"/>
          <w:b/>
          <w:bCs/>
          <w:u w:val="none"/>
        </w:rPr>
        <w:t>打造“桓仁县域北部</w:t>
      </w:r>
      <w:r>
        <w:rPr>
          <w:rFonts w:hint="eastAsia" w:ascii="Times New Roman" w:eastAsia="仿宋_GB2312"/>
          <w:b/>
          <w:bCs/>
          <w:u w:val="none"/>
          <w:lang w:val="en-US" w:eastAsia="zh-CN"/>
        </w:rPr>
        <w:t>门户</w:t>
      </w:r>
      <w:r>
        <w:rPr>
          <w:rFonts w:hint="eastAsia"/>
          <w:b/>
          <w:bCs/>
          <w:u w:val="none"/>
        </w:rPr>
        <w:t>”。</w:t>
      </w:r>
      <w:r>
        <w:rPr>
          <w:rFonts w:hint="eastAsia"/>
          <w:u w:val="none"/>
        </w:rPr>
        <w:t>推进古城中心镇建设</w:t>
      </w:r>
      <w:r>
        <w:rPr>
          <w:rFonts w:hint="eastAsia" w:eastAsia="仿宋_GB2312"/>
          <w:u w:val="none"/>
          <w:lang w:eastAsia="zh-CN"/>
        </w:rPr>
        <w:t>，</w:t>
      </w:r>
      <w:r>
        <w:rPr>
          <w:rFonts w:hint="eastAsia"/>
          <w:u w:val="none"/>
        </w:rPr>
        <w:t>以建设现代化小城市为目标，加快中心镇建设步伐，科学规划空间布局，承接县城功能和服务，带动周边乡镇发展的能力，打造县域新增长极。</w:t>
      </w:r>
    </w:p>
    <w:p w14:paraId="50F41EB8">
      <w:pPr>
        <w:pStyle w:val="3"/>
        <w:bidi w:val="0"/>
        <w:ind w:left="0" w:leftChars="0" w:firstLine="420" w:firstLineChars="0"/>
        <w:rPr>
          <w:rFonts w:hint="eastAsia" w:ascii="黑体" w:hAnsi="黑体" w:eastAsia="黑体" w:cs="黑体"/>
          <w:u w:val="none"/>
          <w:lang w:val="en-US" w:eastAsia="zh-CN"/>
        </w:rPr>
      </w:pPr>
      <w:bookmarkStart w:id="17" w:name="_Toc5122"/>
      <w:bookmarkStart w:id="18" w:name="_Toc4133"/>
      <w:r>
        <w:rPr>
          <w:rFonts w:hint="eastAsia" w:ascii="黑体" w:hAnsi="黑体" w:eastAsia="黑体" w:cs="黑体"/>
          <w:u w:val="none"/>
          <w:lang w:val="en-US" w:eastAsia="zh-CN"/>
        </w:rPr>
        <w:t>国土空间开发保护目标</w:t>
      </w:r>
      <w:bookmarkEnd w:id="17"/>
      <w:bookmarkEnd w:id="18"/>
    </w:p>
    <w:p w14:paraId="404B6710">
      <w:pPr>
        <w:pStyle w:val="4"/>
        <w:bidi w:val="0"/>
        <w:ind w:left="0" w:leftChars="0" w:firstLine="420" w:firstLineChars="0"/>
        <w:rPr>
          <w:rFonts w:hint="eastAsia"/>
          <w:color w:val="auto"/>
          <w:u w:val="none"/>
          <w:lang w:val="en-US" w:eastAsia="zh-CN"/>
        </w:rPr>
      </w:pPr>
      <w:r>
        <w:rPr>
          <w:rFonts w:hint="eastAsia"/>
          <w:color w:val="auto"/>
          <w:u w:val="none"/>
          <w:lang w:val="en-US" w:eastAsia="zh-CN"/>
        </w:rPr>
        <w:t>国土空间开发保护目标</w:t>
      </w:r>
    </w:p>
    <w:p w14:paraId="1F189246">
      <w:pPr>
        <w:keepNext w:val="0"/>
        <w:keepLines w:val="0"/>
        <w:pageBreakBefore w:val="0"/>
        <w:widowControl w:val="0"/>
        <w:kinsoku/>
        <w:overflowPunct/>
        <w:topLinePunct w:val="0"/>
        <w:autoSpaceDE/>
        <w:autoSpaceDN/>
        <w:bidi w:val="0"/>
        <w:spacing w:line="600" w:lineRule="exact"/>
        <w:textAlignment w:val="auto"/>
        <w:rPr>
          <w:rFonts w:hint="eastAsia" w:eastAsia="仿宋_GB2312"/>
          <w:lang w:eastAsia="zh-CN"/>
        </w:rPr>
      </w:pPr>
      <w:r>
        <w:rPr>
          <w:rFonts w:hint="eastAsia"/>
          <w:u w:val="none"/>
          <w:lang w:eastAsia="zh-CN"/>
        </w:rPr>
        <w:t>总体目标：坚定不移地以人民群众对美好生活的向往为根本导向，始终致力于增进人民福祉，全面提升国土空间的整体魅力与品质，加快推进国土空间治理体系与治理能力现代化进程，努力构建粮食安全与生态安全保障稳固、环境质量持续改善、生态修复成效显著、人与自然关系更加和谐统一的美丽古城新面貌。</w:t>
      </w:r>
    </w:p>
    <w:p w14:paraId="13A0FCE8">
      <w:pPr>
        <w:keepNext w:val="0"/>
        <w:keepLines w:val="0"/>
        <w:pageBreakBefore w:val="0"/>
        <w:widowControl w:val="0"/>
        <w:kinsoku/>
        <w:overflowPunct/>
        <w:topLinePunct w:val="0"/>
        <w:autoSpaceDE/>
        <w:autoSpaceDN/>
        <w:bidi w:val="0"/>
        <w:spacing w:line="600" w:lineRule="exact"/>
        <w:textAlignment w:val="auto"/>
        <w:rPr>
          <w:rFonts w:hint="eastAsia" w:eastAsia="仿宋_GB2312"/>
          <w:lang w:eastAsia="zh-CN"/>
        </w:rPr>
      </w:pPr>
      <w:r>
        <w:rPr>
          <w:rFonts w:hint="eastAsia"/>
          <w:u w:val="none"/>
          <w:lang w:eastAsia="zh-CN"/>
        </w:rPr>
        <w:t>规划至2025年，坚持以绿色发展理念为根本底色，全面摆脱传统发展路径依赖，彻底告别粗放型发展模式，实现经济社会发展的全面绿色转型，初步构建起生态环境优美、绿色发展优势突出、对外开放活力充沛、创新能力显著增强、营商环境持续优化、人民群众幸福指数不断提高的振兴发展新格局。国土空间保护水平实现显著提升，以国土空间总体规划为基础、以统一用途管制为核心手段的国土空间开发保护制度体系基本建立并有效运行。</w:t>
      </w:r>
    </w:p>
    <w:p w14:paraId="1200E9C8">
      <w:pPr>
        <w:keepNext w:val="0"/>
        <w:keepLines w:val="0"/>
        <w:pageBreakBefore w:val="0"/>
        <w:widowControl w:val="0"/>
        <w:kinsoku/>
        <w:overflowPunct/>
        <w:topLinePunct w:val="0"/>
        <w:autoSpaceDE/>
        <w:autoSpaceDN/>
        <w:bidi w:val="0"/>
        <w:spacing w:line="600" w:lineRule="exact"/>
        <w:textAlignment w:val="auto"/>
        <w:rPr>
          <w:rFonts w:hint="eastAsia" w:eastAsia="仿宋_GB2312"/>
          <w:lang w:eastAsia="zh-CN"/>
        </w:rPr>
      </w:pPr>
      <w:r>
        <w:rPr>
          <w:rFonts w:hint="eastAsia"/>
          <w:u w:val="none"/>
          <w:lang w:eastAsia="zh-CN"/>
        </w:rPr>
        <w:t>规划至2035年，基本形成主体功能清晰明确、区域间优势互补、整体实现高质量发展的国土空间开发保护新格局。城镇综合承载能力持续增强，新型城镇化建设和乡村振兴战略协同推进，城镇空间布局更趋紧凑高效，城乡人居环境得到系统性改善。国土空间开发保护结构不断优化，形成以镇中心区为核心发展极、以重点村落为重要支撑节点的多中心、网络化、集约型、开放协同的国土空间开发保护体系。各类资源利用效率大幅提高，资源保障能力显著增强，基本建立集约高效、绿色低碳、循环可持续的资源利用体系。</w:t>
      </w:r>
    </w:p>
    <w:bookmarkEnd w:id="10"/>
    <w:p w14:paraId="0C5C0CF0">
      <w:pPr>
        <w:keepNext w:val="0"/>
        <w:keepLines w:val="0"/>
        <w:pageBreakBefore w:val="0"/>
        <w:widowControl w:val="0"/>
        <w:kinsoku/>
        <w:overflowPunct/>
        <w:topLinePunct w:val="0"/>
        <w:autoSpaceDE/>
        <w:autoSpaceDN/>
        <w:bidi w:val="0"/>
        <w:spacing w:line="600" w:lineRule="exact"/>
        <w:textAlignment w:val="auto"/>
        <w:rPr>
          <w:rFonts w:hint="eastAsia"/>
          <w:u w:val="none"/>
          <w:lang w:eastAsia="zh-CN"/>
        </w:rPr>
      </w:pPr>
      <w:bookmarkStart w:id="19" w:name="_Toc152937190"/>
      <w:bookmarkStart w:id="20" w:name="_Toc133419320"/>
      <w:r>
        <w:rPr>
          <w:rFonts w:hint="eastAsia"/>
          <w:u w:val="none"/>
          <w:lang w:eastAsia="zh-CN"/>
        </w:rPr>
        <w:t>展望至2050年，全面实现国土空间治理体系与治理能力的现代化。城乡融合、区域协同、生产生活生态良性互动的国土空间“生命共同体”格局整体形成，生态环境实现自然修复和良性循环。全面建成生态宜居、经济繁荣、社会富裕、具有可持续竞争力的生态文明新城镇，打造安全可靠、绿色低碳、开放包容、智慧高效、富有综合竞争力的美丽国土，进一步巩固和提升古城镇在桓仁县区域发展格局中的战略核心地位，为市县级重大发展战略的实施提供坚实支撑和强劲动力。</w:t>
      </w:r>
    </w:p>
    <w:p w14:paraId="42691B92">
      <w:pPr>
        <w:pStyle w:val="4"/>
        <w:bidi w:val="0"/>
        <w:ind w:left="0" w:leftChars="0" w:firstLine="420" w:firstLineChars="0"/>
        <w:rPr>
          <w:rFonts w:hint="eastAsia"/>
          <w:color w:val="auto"/>
          <w:u w:val="none"/>
          <w:lang w:val="en-US" w:eastAsia="zh-CN"/>
        </w:rPr>
      </w:pPr>
      <w:r>
        <w:rPr>
          <w:rFonts w:hint="eastAsia"/>
          <w:color w:val="auto"/>
          <w:u w:val="none"/>
          <w:lang w:val="en-US" w:eastAsia="zh-CN"/>
        </w:rPr>
        <w:t>指标管控</w:t>
      </w:r>
    </w:p>
    <w:p w14:paraId="263E4BE3">
      <w:pPr>
        <w:keepNext w:val="0"/>
        <w:keepLines w:val="0"/>
        <w:pageBreakBefore w:val="0"/>
        <w:widowControl w:val="0"/>
        <w:kinsoku/>
        <w:overflowPunct/>
        <w:topLinePunct w:val="0"/>
        <w:autoSpaceDE/>
        <w:autoSpaceDN/>
        <w:bidi w:val="0"/>
        <w:spacing w:line="600" w:lineRule="exact"/>
        <w:jc w:val="left"/>
        <w:textAlignment w:val="auto"/>
        <w:rPr>
          <w:rFonts w:hint="eastAsia" w:ascii="仿宋_GB2312" w:hAnsi="仿宋_GB2312"/>
          <w:szCs w:val="24"/>
          <w:u w:val="none"/>
        </w:rPr>
      </w:pPr>
      <w:r>
        <w:rPr>
          <w:rFonts w:hint="eastAsia" w:ascii="仿宋_GB2312" w:hAnsi="仿宋_GB2312"/>
          <w:szCs w:val="24"/>
          <w:u w:val="none"/>
        </w:rPr>
        <w:t>本次规划在落实上位规划传导管控要求的基础上，结合古城镇发展定位和规划目标，衔接乡村振兴发展战略。构建由约束性和预期性两类指标体系构成的古城镇国土空间总体规划指标体系。</w:t>
      </w:r>
    </w:p>
    <w:p w14:paraId="12A3BCD6">
      <w:pPr>
        <w:keepNext w:val="0"/>
        <w:keepLines w:val="0"/>
        <w:pageBreakBefore w:val="0"/>
        <w:widowControl w:val="0"/>
        <w:kinsoku/>
        <w:overflowPunct/>
        <w:topLinePunct w:val="0"/>
        <w:autoSpaceDE/>
        <w:autoSpaceDN/>
        <w:bidi w:val="0"/>
        <w:spacing w:line="600" w:lineRule="exact"/>
        <w:jc w:val="left"/>
        <w:textAlignment w:val="auto"/>
        <w:rPr>
          <w:rFonts w:hint="eastAsia" w:ascii="仿宋_GB2312" w:hAnsi="仿宋_GB2312"/>
          <w:szCs w:val="24"/>
          <w:u w:val="none"/>
        </w:rPr>
      </w:pPr>
    </w:p>
    <w:p w14:paraId="336242CD">
      <w:pPr>
        <w:keepNext w:val="0"/>
        <w:keepLines w:val="0"/>
        <w:pageBreakBefore w:val="0"/>
        <w:widowControl w:val="0"/>
        <w:kinsoku/>
        <w:overflowPunct/>
        <w:topLinePunct w:val="0"/>
        <w:autoSpaceDE/>
        <w:autoSpaceDN/>
        <w:bidi w:val="0"/>
        <w:spacing w:line="600" w:lineRule="exact"/>
        <w:jc w:val="left"/>
        <w:textAlignment w:val="auto"/>
        <w:rPr>
          <w:rFonts w:hint="eastAsia" w:ascii="仿宋_GB2312" w:hAnsi="仿宋_GB2312"/>
          <w:szCs w:val="24"/>
          <w:u w:val="none"/>
        </w:rPr>
      </w:pPr>
    </w:p>
    <w:p w14:paraId="1A475125">
      <w:pPr>
        <w:keepNext w:val="0"/>
        <w:keepLines w:val="0"/>
        <w:pageBreakBefore w:val="0"/>
        <w:widowControl w:val="0"/>
        <w:kinsoku/>
        <w:overflowPunct/>
        <w:topLinePunct w:val="0"/>
        <w:autoSpaceDE/>
        <w:autoSpaceDN/>
        <w:bidi w:val="0"/>
        <w:spacing w:line="600" w:lineRule="exact"/>
        <w:jc w:val="left"/>
        <w:textAlignment w:val="auto"/>
        <w:rPr>
          <w:rFonts w:hint="eastAsia" w:ascii="仿宋_GB2312" w:hAnsi="仿宋_GB2312"/>
          <w:szCs w:val="24"/>
          <w:u w:val="none"/>
        </w:rPr>
      </w:pPr>
    </w:p>
    <w:p w14:paraId="066F3FF7">
      <w:pPr>
        <w:keepNext w:val="0"/>
        <w:keepLines w:val="0"/>
        <w:pageBreakBefore w:val="0"/>
        <w:widowControl w:val="0"/>
        <w:kinsoku/>
        <w:overflowPunct/>
        <w:topLinePunct w:val="0"/>
        <w:autoSpaceDE/>
        <w:autoSpaceDN/>
        <w:bidi w:val="0"/>
        <w:spacing w:line="600" w:lineRule="exact"/>
        <w:jc w:val="left"/>
        <w:textAlignment w:val="auto"/>
        <w:rPr>
          <w:rFonts w:hint="eastAsia" w:ascii="仿宋_GB2312" w:hAnsi="仿宋_GB2312"/>
          <w:szCs w:val="24"/>
          <w:u w:val="none"/>
        </w:rPr>
      </w:pPr>
    </w:p>
    <w:p w14:paraId="4EED6AAF">
      <w:pPr>
        <w:keepNext w:val="0"/>
        <w:keepLines w:val="0"/>
        <w:pageBreakBefore w:val="0"/>
        <w:widowControl w:val="0"/>
        <w:kinsoku/>
        <w:wordWrap/>
        <w:overflowPunct/>
        <w:topLinePunct w:val="0"/>
        <w:autoSpaceDE/>
        <w:autoSpaceDN/>
        <w:bidi w:val="0"/>
        <w:adjustRightInd w:val="0"/>
        <w:snapToGrid w:val="0"/>
        <w:spacing w:after="219" w:afterLines="50" w:line="600" w:lineRule="exact"/>
        <w:ind w:firstLine="0" w:firstLineChars="0"/>
        <w:jc w:val="center"/>
        <w:textAlignment w:val="auto"/>
        <w:outlineLvl w:val="9"/>
        <w:rPr>
          <w:rFonts w:hint="eastAsia" w:ascii="黑体" w:hAnsi="黑体" w:eastAsia="黑体" w:cs="黑体"/>
          <w:b w:val="0"/>
          <w:bCs w:val="0"/>
          <w:color w:val="000000"/>
          <w:u w:val="none"/>
        </w:rPr>
      </w:pPr>
      <w:bookmarkStart w:id="21" w:name="_Toc14431"/>
      <w:bookmarkStart w:id="22" w:name="_Toc12382"/>
      <w:bookmarkStart w:id="23" w:name="_Toc30870"/>
      <w:bookmarkStart w:id="24" w:name="_Toc25582"/>
      <w:r>
        <w:rPr>
          <w:rFonts w:hint="eastAsia" w:ascii="黑体" w:hAnsi="黑体" w:eastAsia="黑体" w:cs="黑体"/>
          <w:b w:val="0"/>
          <w:bCs w:val="0"/>
          <w:color w:val="000000"/>
          <w:u w:val="none"/>
        </w:rPr>
        <w:t>规划指标表</w:t>
      </w:r>
      <w:bookmarkEnd w:id="21"/>
      <w:bookmarkEnd w:id="22"/>
      <w:bookmarkEnd w:id="23"/>
      <w:bookmarkEnd w:id="24"/>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1189"/>
        <w:gridCol w:w="1961"/>
        <w:gridCol w:w="854"/>
        <w:gridCol w:w="1292"/>
        <w:gridCol w:w="1322"/>
        <w:gridCol w:w="863"/>
        <w:gridCol w:w="896"/>
      </w:tblGrid>
      <w:tr w14:paraId="2362F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41" w:type="pct"/>
            <w:shd w:val="clear" w:color="auto" w:fill="auto"/>
            <w:vAlign w:val="center"/>
          </w:tcPr>
          <w:p w14:paraId="5ED8ED0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b/>
                <w:bCs/>
                <w:color w:val="auto"/>
                <w:kern w:val="0"/>
                <w:sz w:val="21"/>
                <w:szCs w:val="21"/>
                <w:u w:val="none"/>
              </w:rPr>
            </w:pPr>
            <w:r>
              <w:rPr>
                <w:rFonts w:hint="default" w:ascii="Times New Roman" w:hAnsi="Times New Roman" w:eastAsia="仿宋_GB2312" w:cs="Times New Roman"/>
                <w:b/>
                <w:bCs/>
                <w:color w:val="auto"/>
                <w:kern w:val="0"/>
                <w:sz w:val="21"/>
                <w:szCs w:val="21"/>
                <w:u w:val="none"/>
              </w:rPr>
              <w:t>编号</w:t>
            </w:r>
          </w:p>
        </w:tc>
        <w:tc>
          <w:tcPr>
            <w:tcW w:w="1789" w:type="pct"/>
            <w:gridSpan w:val="2"/>
            <w:shd w:val="clear" w:color="auto" w:fill="auto"/>
            <w:vAlign w:val="center"/>
          </w:tcPr>
          <w:p w14:paraId="668C6BF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b/>
                <w:bCs/>
                <w:color w:val="auto"/>
                <w:kern w:val="0"/>
                <w:sz w:val="21"/>
                <w:szCs w:val="21"/>
                <w:u w:val="none"/>
              </w:rPr>
            </w:pPr>
            <w:r>
              <w:rPr>
                <w:rFonts w:hint="default" w:ascii="Times New Roman" w:hAnsi="Times New Roman" w:eastAsia="仿宋_GB2312" w:cs="Times New Roman"/>
                <w:b/>
                <w:bCs/>
                <w:color w:val="auto"/>
                <w:kern w:val="0"/>
                <w:sz w:val="21"/>
                <w:szCs w:val="21"/>
                <w:u w:val="none"/>
              </w:rPr>
              <w:t>指标名称</w:t>
            </w:r>
          </w:p>
        </w:tc>
        <w:tc>
          <w:tcPr>
            <w:tcW w:w="485" w:type="pct"/>
            <w:shd w:val="clear" w:color="auto" w:fill="auto"/>
            <w:vAlign w:val="center"/>
          </w:tcPr>
          <w:p w14:paraId="2FAA2A2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b/>
                <w:bCs/>
                <w:color w:val="auto"/>
                <w:kern w:val="0"/>
                <w:sz w:val="21"/>
                <w:szCs w:val="21"/>
                <w:u w:val="none"/>
              </w:rPr>
            </w:pPr>
            <w:r>
              <w:rPr>
                <w:rFonts w:hint="default" w:ascii="Times New Roman" w:hAnsi="Times New Roman" w:eastAsia="仿宋_GB2312" w:cs="Times New Roman"/>
                <w:b/>
                <w:bCs/>
                <w:color w:val="auto"/>
                <w:kern w:val="0"/>
                <w:sz w:val="21"/>
                <w:szCs w:val="21"/>
                <w:u w:val="none"/>
              </w:rPr>
              <w:t>规划</w:t>
            </w:r>
          </w:p>
          <w:p w14:paraId="0A335A7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b/>
                <w:bCs/>
                <w:color w:val="auto"/>
                <w:kern w:val="0"/>
                <w:sz w:val="21"/>
                <w:szCs w:val="21"/>
                <w:u w:val="none"/>
              </w:rPr>
            </w:pPr>
            <w:r>
              <w:rPr>
                <w:rFonts w:hint="default" w:ascii="Times New Roman" w:hAnsi="Times New Roman" w:eastAsia="仿宋_GB2312" w:cs="Times New Roman"/>
                <w:b/>
                <w:bCs/>
                <w:color w:val="auto"/>
                <w:kern w:val="0"/>
                <w:sz w:val="21"/>
                <w:szCs w:val="21"/>
                <w:u w:val="none"/>
              </w:rPr>
              <w:t>基期年</w:t>
            </w:r>
          </w:p>
        </w:tc>
        <w:tc>
          <w:tcPr>
            <w:tcW w:w="733" w:type="pct"/>
            <w:shd w:val="clear" w:color="auto" w:fill="auto"/>
            <w:vAlign w:val="center"/>
          </w:tcPr>
          <w:p w14:paraId="7140AF5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b/>
                <w:bCs/>
                <w:color w:val="auto"/>
                <w:kern w:val="0"/>
                <w:sz w:val="21"/>
                <w:szCs w:val="21"/>
                <w:u w:val="none"/>
              </w:rPr>
            </w:pPr>
            <w:r>
              <w:rPr>
                <w:rFonts w:hint="default" w:ascii="Times New Roman" w:hAnsi="Times New Roman" w:eastAsia="仿宋_GB2312" w:cs="Times New Roman"/>
                <w:b/>
                <w:bCs/>
                <w:color w:val="auto"/>
                <w:kern w:val="0"/>
                <w:sz w:val="21"/>
                <w:szCs w:val="21"/>
                <w:u w:val="none"/>
              </w:rPr>
              <w:t>规划</w:t>
            </w:r>
          </w:p>
          <w:p w14:paraId="1640396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b/>
                <w:bCs/>
                <w:color w:val="auto"/>
                <w:kern w:val="0"/>
                <w:sz w:val="21"/>
                <w:szCs w:val="21"/>
                <w:u w:val="none"/>
              </w:rPr>
            </w:pPr>
            <w:r>
              <w:rPr>
                <w:rFonts w:hint="default" w:ascii="Times New Roman" w:hAnsi="Times New Roman" w:eastAsia="仿宋_GB2312" w:cs="Times New Roman"/>
                <w:b/>
                <w:bCs/>
                <w:color w:val="auto"/>
                <w:kern w:val="0"/>
                <w:sz w:val="21"/>
                <w:szCs w:val="21"/>
                <w:u w:val="none"/>
              </w:rPr>
              <w:t>近期年</w:t>
            </w:r>
          </w:p>
        </w:tc>
        <w:tc>
          <w:tcPr>
            <w:tcW w:w="750" w:type="pct"/>
            <w:shd w:val="clear" w:color="auto" w:fill="auto"/>
            <w:vAlign w:val="center"/>
          </w:tcPr>
          <w:p w14:paraId="073EC9BC">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b/>
                <w:bCs/>
                <w:color w:val="auto"/>
                <w:kern w:val="0"/>
                <w:sz w:val="21"/>
                <w:szCs w:val="21"/>
                <w:u w:val="none"/>
              </w:rPr>
            </w:pPr>
            <w:r>
              <w:rPr>
                <w:rFonts w:hint="default" w:ascii="Times New Roman" w:hAnsi="Times New Roman" w:eastAsia="仿宋_GB2312" w:cs="Times New Roman"/>
                <w:b/>
                <w:bCs/>
                <w:color w:val="auto"/>
                <w:kern w:val="0"/>
                <w:sz w:val="21"/>
                <w:szCs w:val="21"/>
                <w:u w:val="none"/>
              </w:rPr>
              <w:t>规划</w:t>
            </w:r>
          </w:p>
          <w:p w14:paraId="70F77F7B">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b/>
                <w:bCs/>
                <w:color w:val="auto"/>
                <w:kern w:val="0"/>
                <w:sz w:val="21"/>
                <w:szCs w:val="21"/>
                <w:u w:val="none"/>
              </w:rPr>
            </w:pPr>
            <w:r>
              <w:rPr>
                <w:rFonts w:hint="default" w:ascii="Times New Roman" w:hAnsi="Times New Roman" w:eastAsia="仿宋_GB2312" w:cs="Times New Roman"/>
                <w:b/>
                <w:bCs/>
                <w:color w:val="auto"/>
                <w:kern w:val="0"/>
                <w:sz w:val="21"/>
                <w:szCs w:val="21"/>
                <w:u w:val="none"/>
              </w:rPr>
              <w:t>目标年</w:t>
            </w:r>
          </w:p>
        </w:tc>
        <w:tc>
          <w:tcPr>
            <w:tcW w:w="490" w:type="pct"/>
            <w:shd w:val="clear" w:color="auto" w:fill="auto"/>
            <w:vAlign w:val="center"/>
          </w:tcPr>
          <w:p w14:paraId="2717A32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b/>
                <w:bCs/>
                <w:color w:val="auto"/>
                <w:kern w:val="0"/>
                <w:sz w:val="21"/>
                <w:szCs w:val="21"/>
                <w:u w:val="none"/>
              </w:rPr>
            </w:pPr>
            <w:r>
              <w:rPr>
                <w:rFonts w:hint="default" w:ascii="Times New Roman" w:hAnsi="Times New Roman" w:eastAsia="仿宋_GB2312" w:cs="Times New Roman"/>
                <w:b/>
                <w:bCs/>
                <w:color w:val="auto"/>
                <w:kern w:val="0"/>
                <w:sz w:val="21"/>
                <w:szCs w:val="21"/>
                <w:u w:val="none"/>
              </w:rPr>
              <w:t>指标</w:t>
            </w:r>
          </w:p>
          <w:p w14:paraId="59770E0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b/>
                <w:bCs/>
                <w:color w:val="auto"/>
                <w:kern w:val="0"/>
                <w:sz w:val="21"/>
                <w:szCs w:val="21"/>
                <w:u w:val="none"/>
              </w:rPr>
            </w:pPr>
            <w:r>
              <w:rPr>
                <w:rFonts w:hint="default" w:ascii="Times New Roman" w:hAnsi="Times New Roman" w:eastAsia="仿宋_GB2312" w:cs="Times New Roman"/>
                <w:b/>
                <w:bCs/>
                <w:color w:val="auto"/>
                <w:kern w:val="0"/>
                <w:sz w:val="21"/>
                <w:szCs w:val="21"/>
                <w:u w:val="none"/>
              </w:rPr>
              <w:t>属性</w:t>
            </w:r>
          </w:p>
        </w:tc>
        <w:tc>
          <w:tcPr>
            <w:tcW w:w="508" w:type="pct"/>
            <w:shd w:val="clear" w:color="auto" w:fill="auto"/>
            <w:vAlign w:val="center"/>
          </w:tcPr>
          <w:p w14:paraId="2BE5E3E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b/>
                <w:bCs/>
                <w:color w:val="auto"/>
                <w:kern w:val="0"/>
                <w:sz w:val="21"/>
                <w:szCs w:val="21"/>
                <w:u w:val="none"/>
              </w:rPr>
            </w:pPr>
            <w:r>
              <w:rPr>
                <w:rFonts w:hint="default" w:ascii="Times New Roman" w:hAnsi="Times New Roman" w:eastAsia="仿宋_GB2312" w:cs="Times New Roman"/>
                <w:b/>
                <w:bCs/>
                <w:color w:val="auto"/>
                <w:kern w:val="0"/>
                <w:sz w:val="21"/>
                <w:szCs w:val="21"/>
                <w:u w:val="none"/>
              </w:rPr>
              <w:t>指标</w:t>
            </w:r>
          </w:p>
          <w:p w14:paraId="4D541C2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b/>
                <w:bCs/>
                <w:color w:val="auto"/>
                <w:kern w:val="0"/>
                <w:sz w:val="21"/>
                <w:szCs w:val="21"/>
                <w:u w:val="none"/>
              </w:rPr>
            </w:pPr>
            <w:r>
              <w:rPr>
                <w:rFonts w:hint="default" w:ascii="Times New Roman" w:hAnsi="Times New Roman" w:eastAsia="仿宋_GB2312" w:cs="Times New Roman"/>
                <w:b/>
                <w:bCs/>
                <w:color w:val="auto"/>
                <w:kern w:val="0"/>
                <w:sz w:val="21"/>
                <w:szCs w:val="21"/>
                <w:u w:val="none"/>
              </w:rPr>
              <w:t>层级</w:t>
            </w:r>
          </w:p>
        </w:tc>
      </w:tr>
      <w:tr w14:paraId="53820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5000" w:type="pct"/>
            <w:gridSpan w:val="8"/>
            <w:shd w:val="clear" w:color="auto" w:fill="auto"/>
            <w:vAlign w:val="center"/>
          </w:tcPr>
          <w:p w14:paraId="4CF582E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一、空间底线</w:t>
            </w:r>
          </w:p>
        </w:tc>
      </w:tr>
      <w:tr w14:paraId="60134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41" w:type="pct"/>
            <w:shd w:val="clear" w:color="auto" w:fill="auto"/>
            <w:vAlign w:val="center"/>
          </w:tcPr>
          <w:p w14:paraId="07E99D5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1</w:t>
            </w:r>
          </w:p>
        </w:tc>
        <w:tc>
          <w:tcPr>
            <w:tcW w:w="1789" w:type="pct"/>
            <w:gridSpan w:val="2"/>
            <w:shd w:val="clear" w:color="auto" w:fill="auto"/>
            <w:vAlign w:val="center"/>
          </w:tcPr>
          <w:p w14:paraId="71D2B06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default" w:ascii="Times New Roman" w:hAnsi="Times New Roman" w:eastAsia="仿宋_GB2312" w:cs="Times New Roman"/>
                <w:color w:val="auto"/>
                <w:kern w:val="0"/>
                <w:sz w:val="21"/>
                <w:szCs w:val="21"/>
                <w:u w:val="none"/>
              </w:rPr>
              <w:t>耕地保有量</w:t>
            </w:r>
            <w:r>
              <w:rPr>
                <w:rFonts w:hint="default" w:ascii="Times New Roman" w:hAnsi="Times New Roman" w:eastAsia="仿宋_GB2312" w:cs="Times New Roman"/>
                <w:color w:val="auto"/>
                <w:kern w:val="0"/>
                <w:sz w:val="21"/>
                <w:szCs w:val="21"/>
                <w:u w:val="none"/>
                <w:lang w:eastAsia="zh-CN"/>
              </w:rPr>
              <w:t>(</w:t>
            </w:r>
            <w:r>
              <w:rPr>
                <w:rFonts w:hint="default" w:ascii="Times New Roman" w:hAnsi="Times New Roman" w:eastAsia="仿宋_GB2312" w:cs="Times New Roman"/>
                <w:color w:val="auto"/>
                <w:kern w:val="0"/>
                <w:sz w:val="21"/>
                <w:szCs w:val="21"/>
                <w:u w:val="none"/>
              </w:rPr>
              <w:t>亩</w:t>
            </w:r>
            <w:r>
              <w:rPr>
                <w:rFonts w:hint="eastAsia" w:ascii="Times New Roman" w:hAnsi="Times New Roman" w:cs="Times New Roman"/>
                <w:color w:val="auto"/>
                <w:kern w:val="0"/>
                <w:sz w:val="21"/>
                <w:szCs w:val="21"/>
                <w:u w:val="none"/>
                <w:lang w:eastAsia="zh-CN"/>
              </w:rPr>
              <w:t>)</w:t>
            </w:r>
          </w:p>
        </w:tc>
        <w:tc>
          <w:tcPr>
            <w:tcW w:w="485" w:type="pct"/>
            <w:shd w:val="clear" w:color="auto" w:fill="auto"/>
            <w:vAlign w:val="center"/>
          </w:tcPr>
          <w:p w14:paraId="4C00EE8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val="en-US" w:eastAsia="zh-CN"/>
              </w:rPr>
            </w:pPr>
            <w:r>
              <w:rPr>
                <w:rFonts w:hint="default" w:ascii="Times New Roman" w:hAnsi="Times New Roman" w:eastAsia="仿宋_GB2312" w:cs="Times New Roman"/>
                <w:color w:val="auto"/>
                <w:kern w:val="0"/>
                <w:sz w:val="21"/>
                <w:szCs w:val="21"/>
                <w:u w:val="none"/>
              </w:rPr>
              <w:t>－</w:t>
            </w:r>
          </w:p>
        </w:tc>
        <w:tc>
          <w:tcPr>
            <w:tcW w:w="733" w:type="pct"/>
            <w:shd w:val="clear" w:color="auto" w:fill="auto"/>
            <w:vAlign w:val="center"/>
          </w:tcPr>
          <w:p w14:paraId="7438D62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w:t>
            </w:r>
            <w:r>
              <w:rPr>
                <w:rFonts w:hint="default" w:ascii="Times New Roman" w:hAnsi="Times New Roman" w:eastAsia="仿宋_GB2312" w:cs="Times New Roman"/>
                <w:color w:val="auto"/>
                <w:kern w:val="0"/>
                <w:sz w:val="21"/>
                <w:szCs w:val="21"/>
                <w:u w:val="none"/>
                <w:lang w:val="en-US" w:eastAsia="zh-CN"/>
              </w:rPr>
              <w:t>73238.19</w:t>
            </w:r>
          </w:p>
        </w:tc>
        <w:tc>
          <w:tcPr>
            <w:tcW w:w="750" w:type="pct"/>
            <w:shd w:val="clear" w:color="auto" w:fill="auto"/>
            <w:vAlign w:val="center"/>
          </w:tcPr>
          <w:p w14:paraId="31717E7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w:t>
            </w:r>
            <w:r>
              <w:rPr>
                <w:rFonts w:hint="default" w:ascii="Times New Roman" w:hAnsi="Times New Roman" w:eastAsia="仿宋_GB2312" w:cs="Times New Roman"/>
                <w:color w:val="auto"/>
                <w:kern w:val="0"/>
                <w:sz w:val="21"/>
                <w:szCs w:val="21"/>
                <w:u w:val="none"/>
                <w:lang w:val="en-US" w:eastAsia="zh-CN"/>
              </w:rPr>
              <w:t>73238.19</w:t>
            </w:r>
          </w:p>
        </w:tc>
        <w:tc>
          <w:tcPr>
            <w:tcW w:w="490" w:type="pct"/>
            <w:shd w:val="clear" w:color="auto" w:fill="auto"/>
            <w:vAlign w:val="center"/>
          </w:tcPr>
          <w:p w14:paraId="361EFBF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约束性</w:t>
            </w:r>
          </w:p>
        </w:tc>
        <w:tc>
          <w:tcPr>
            <w:tcW w:w="508" w:type="pct"/>
            <w:shd w:val="clear" w:color="auto" w:fill="auto"/>
            <w:vAlign w:val="center"/>
          </w:tcPr>
          <w:p w14:paraId="15BA315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全域</w:t>
            </w:r>
          </w:p>
        </w:tc>
      </w:tr>
      <w:tr w14:paraId="12B08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41" w:type="pct"/>
            <w:shd w:val="clear" w:color="auto" w:fill="auto"/>
            <w:vAlign w:val="center"/>
          </w:tcPr>
          <w:p w14:paraId="1CDDE95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2</w:t>
            </w:r>
          </w:p>
        </w:tc>
        <w:tc>
          <w:tcPr>
            <w:tcW w:w="1789" w:type="pct"/>
            <w:gridSpan w:val="2"/>
            <w:shd w:val="clear" w:color="auto" w:fill="auto"/>
            <w:vAlign w:val="center"/>
          </w:tcPr>
          <w:p w14:paraId="32EA29B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default" w:ascii="Times New Roman" w:hAnsi="Times New Roman" w:eastAsia="仿宋_GB2312" w:cs="Times New Roman"/>
                <w:color w:val="auto"/>
                <w:kern w:val="0"/>
                <w:sz w:val="21"/>
                <w:szCs w:val="21"/>
                <w:u w:val="none"/>
              </w:rPr>
              <w:t>永久基本农田保护面积</w:t>
            </w:r>
            <w:r>
              <w:rPr>
                <w:rFonts w:hint="default" w:ascii="Times New Roman" w:hAnsi="Times New Roman" w:eastAsia="仿宋_GB2312" w:cs="Times New Roman"/>
                <w:color w:val="auto"/>
                <w:kern w:val="0"/>
                <w:sz w:val="21"/>
                <w:szCs w:val="21"/>
                <w:u w:val="none"/>
                <w:lang w:eastAsia="zh-CN"/>
              </w:rPr>
              <w:t>(</w:t>
            </w:r>
            <w:r>
              <w:rPr>
                <w:rFonts w:hint="default" w:ascii="Times New Roman" w:hAnsi="Times New Roman" w:eastAsia="仿宋_GB2312" w:cs="Times New Roman"/>
                <w:color w:val="auto"/>
                <w:kern w:val="0"/>
                <w:sz w:val="21"/>
                <w:szCs w:val="21"/>
                <w:u w:val="none"/>
              </w:rPr>
              <w:t>亩</w:t>
            </w:r>
            <w:r>
              <w:rPr>
                <w:rFonts w:hint="eastAsia" w:ascii="Times New Roman" w:hAnsi="Times New Roman" w:cs="Times New Roman"/>
                <w:color w:val="auto"/>
                <w:kern w:val="0"/>
                <w:sz w:val="21"/>
                <w:szCs w:val="21"/>
                <w:u w:val="none"/>
                <w:lang w:eastAsia="zh-CN"/>
              </w:rPr>
              <w:t>)</w:t>
            </w:r>
          </w:p>
        </w:tc>
        <w:tc>
          <w:tcPr>
            <w:tcW w:w="485" w:type="pct"/>
            <w:shd w:val="clear" w:color="auto" w:fill="auto"/>
            <w:vAlign w:val="center"/>
          </w:tcPr>
          <w:p w14:paraId="1F1CD50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val="en-US" w:eastAsia="zh-CN"/>
              </w:rPr>
            </w:pPr>
            <w:r>
              <w:rPr>
                <w:rFonts w:hint="default" w:ascii="Times New Roman" w:hAnsi="Times New Roman" w:eastAsia="仿宋_GB2312" w:cs="Times New Roman"/>
                <w:color w:val="auto"/>
                <w:kern w:val="0"/>
                <w:sz w:val="21"/>
                <w:szCs w:val="21"/>
                <w:u w:val="none"/>
              </w:rPr>
              <w:t>－</w:t>
            </w:r>
          </w:p>
        </w:tc>
        <w:tc>
          <w:tcPr>
            <w:tcW w:w="733" w:type="pct"/>
            <w:shd w:val="clear" w:color="auto" w:fill="auto"/>
            <w:vAlign w:val="center"/>
          </w:tcPr>
          <w:p w14:paraId="735343C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≥61861.47</w:t>
            </w:r>
          </w:p>
        </w:tc>
        <w:tc>
          <w:tcPr>
            <w:tcW w:w="750" w:type="pct"/>
            <w:shd w:val="clear" w:color="auto" w:fill="auto"/>
            <w:vAlign w:val="center"/>
          </w:tcPr>
          <w:p w14:paraId="2DCE4F3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≥18799.06</w:t>
            </w:r>
          </w:p>
        </w:tc>
        <w:tc>
          <w:tcPr>
            <w:tcW w:w="490" w:type="pct"/>
            <w:shd w:val="clear" w:color="auto" w:fill="auto"/>
            <w:vAlign w:val="center"/>
          </w:tcPr>
          <w:p w14:paraId="3B4593C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约束性</w:t>
            </w:r>
          </w:p>
        </w:tc>
        <w:tc>
          <w:tcPr>
            <w:tcW w:w="508" w:type="pct"/>
            <w:shd w:val="clear" w:color="auto" w:fill="auto"/>
            <w:vAlign w:val="center"/>
          </w:tcPr>
          <w:p w14:paraId="03F8E9D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全域</w:t>
            </w:r>
          </w:p>
        </w:tc>
      </w:tr>
      <w:tr w14:paraId="41C2A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41" w:type="pct"/>
            <w:shd w:val="clear" w:color="auto" w:fill="auto"/>
            <w:vAlign w:val="center"/>
          </w:tcPr>
          <w:p w14:paraId="7E1F599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3</w:t>
            </w:r>
          </w:p>
        </w:tc>
        <w:tc>
          <w:tcPr>
            <w:tcW w:w="1789" w:type="pct"/>
            <w:gridSpan w:val="2"/>
            <w:shd w:val="clear" w:color="auto" w:fill="auto"/>
            <w:vAlign w:val="center"/>
          </w:tcPr>
          <w:p w14:paraId="56D7FAA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default" w:ascii="Times New Roman" w:hAnsi="Times New Roman" w:eastAsia="仿宋_GB2312" w:cs="Times New Roman"/>
                <w:color w:val="auto"/>
                <w:kern w:val="0"/>
                <w:sz w:val="21"/>
                <w:szCs w:val="21"/>
                <w:u w:val="none"/>
              </w:rPr>
              <w:t>生态保护红线面积</w:t>
            </w:r>
            <w:r>
              <w:rPr>
                <w:rFonts w:hint="default" w:ascii="Times New Roman" w:hAnsi="Times New Roman" w:eastAsia="仿宋_GB2312" w:cs="Times New Roman"/>
                <w:color w:val="auto"/>
                <w:kern w:val="0"/>
                <w:sz w:val="21"/>
                <w:szCs w:val="21"/>
                <w:u w:val="none"/>
                <w:lang w:eastAsia="zh-CN"/>
              </w:rPr>
              <w:t>(</w:t>
            </w:r>
            <w:r>
              <w:rPr>
                <w:rFonts w:hint="default" w:ascii="Times New Roman" w:hAnsi="Times New Roman" w:eastAsia="仿宋_GB2312" w:cs="Times New Roman"/>
                <w:color w:val="auto"/>
                <w:kern w:val="0"/>
                <w:sz w:val="21"/>
                <w:szCs w:val="21"/>
                <w:u w:val="none"/>
              </w:rPr>
              <w:t>公顷</w:t>
            </w:r>
            <w:r>
              <w:rPr>
                <w:rFonts w:hint="eastAsia" w:ascii="Times New Roman" w:hAnsi="Times New Roman" w:cs="Times New Roman"/>
                <w:color w:val="auto"/>
                <w:kern w:val="0"/>
                <w:sz w:val="21"/>
                <w:szCs w:val="21"/>
                <w:u w:val="none"/>
                <w:lang w:eastAsia="zh-CN"/>
              </w:rPr>
              <w:t>)</w:t>
            </w:r>
          </w:p>
        </w:tc>
        <w:tc>
          <w:tcPr>
            <w:tcW w:w="485" w:type="pct"/>
            <w:shd w:val="clear" w:color="auto" w:fill="auto"/>
            <w:vAlign w:val="center"/>
          </w:tcPr>
          <w:p w14:paraId="5276F24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default" w:ascii="Times New Roman" w:hAnsi="Times New Roman" w:eastAsia="仿宋_GB2312" w:cs="Times New Roman"/>
                <w:color w:val="auto"/>
                <w:kern w:val="0"/>
                <w:sz w:val="21"/>
                <w:szCs w:val="21"/>
                <w:u w:val="none"/>
              </w:rPr>
              <w:t>－</w:t>
            </w:r>
          </w:p>
        </w:tc>
        <w:tc>
          <w:tcPr>
            <w:tcW w:w="733" w:type="pct"/>
            <w:shd w:val="clear" w:color="auto" w:fill="auto"/>
            <w:vAlign w:val="center"/>
          </w:tcPr>
          <w:p w14:paraId="4727C78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default" w:ascii="Times New Roman" w:hAnsi="Times New Roman" w:eastAsia="仿宋_GB2312" w:cs="Times New Roman"/>
                <w:color w:val="auto"/>
                <w:kern w:val="0"/>
                <w:sz w:val="21"/>
                <w:szCs w:val="21"/>
                <w:u w:val="none"/>
              </w:rPr>
              <w:t>≥</w:t>
            </w:r>
            <w:r>
              <w:rPr>
                <w:rFonts w:hint="default" w:ascii="Times New Roman" w:hAnsi="Times New Roman" w:eastAsia="仿宋_GB2312" w:cs="Times New Roman"/>
                <w:color w:val="auto"/>
                <w:kern w:val="0"/>
                <w:sz w:val="21"/>
                <w:szCs w:val="21"/>
                <w:u w:val="none"/>
                <w:lang w:eastAsia="zh-CN"/>
              </w:rPr>
              <w:t>12129.36</w:t>
            </w:r>
          </w:p>
        </w:tc>
        <w:tc>
          <w:tcPr>
            <w:tcW w:w="750" w:type="pct"/>
            <w:shd w:val="clear" w:color="auto" w:fill="auto"/>
            <w:vAlign w:val="center"/>
          </w:tcPr>
          <w:p w14:paraId="7E09DD3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default" w:ascii="Times New Roman" w:hAnsi="Times New Roman" w:eastAsia="仿宋_GB2312" w:cs="Times New Roman"/>
                <w:color w:val="auto"/>
                <w:kern w:val="0"/>
                <w:sz w:val="21"/>
                <w:szCs w:val="21"/>
                <w:u w:val="none"/>
              </w:rPr>
              <w:t>≥</w:t>
            </w:r>
            <w:r>
              <w:rPr>
                <w:rFonts w:hint="default" w:ascii="Times New Roman" w:hAnsi="Times New Roman" w:eastAsia="仿宋_GB2312" w:cs="Times New Roman"/>
                <w:color w:val="auto"/>
                <w:kern w:val="0"/>
                <w:sz w:val="21"/>
                <w:szCs w:val="21"/>
                <w:u w:val="none"/>
                <w:lang w:eastAsia="zh-CN"/>
              </w:rPr>
              <w:t>12129.36</w:t>
            </w:r>
          </w:p>
        </w:tc>
        <w:tc>
          <w:tcPr>
            <w:tcW w:w="490" w:type="pct"/>
            <w:shd w:val="clear" w:color="auto" w:fill="auto"/>
            <w:vAlign w:val="center"/>
          </w:tcPr>
          <w:p w14:paraId="12E6B48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约束性</w:t>
            </w:r>
          </w:p>
        </w:tc>
        <w:tc>
          <w:tcPr>
            <w:tcW w:w="508" w:type="pct"/>
            <w:shd w:val="clear" w:color="auto" w:fill="auto"/>
            <w:vAlign w:val="center"/>
          </w:tcPr>
          <w:p w14:paraId="3A3B692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全域</w:t>
            </w:r>
          </w:p>
        </w:tc>
      </w:tr>
      <w:tr w14:paraId="61BB9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41" w:type="pct"/>
            <w:shd w:val="clear" w:color="auto" w:fill="auto"/>
            <w:vAlign w:val="center"/>
          </w:tcPr>
          <w:p w14:paraId="6EB4EC4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4</w:t>
            </w:r>
          </w:p>
        </w:tc>
        <w:tc>
          <w:tcPr>
            <w:tcW w:w="1789" w:type="pct"/>
            <w:gridSpan w:val="2"/>
            <w:shd w:val="clear" w:color="auto" w:fill="auto"/>
            <w:vAlign w:val="center"/>
          </w:tcPr>
          <w:p w14:paraId="42E6E73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default" w:ascii="Times New Roman" w:hAnsi="Times New Roman" w:eastAsia="仿宋_GB2312" w:cs="Times New Roman"/>
                <w:color w:val="auto"/>
                <w:kern w:val="0"/>
                <w:sz w:val="21"/>
                <w:szCs w:val="21"/>
                <w:u w:val="none"/>
              </w:rPr>
              <w:t>大陆自然岸线保有率</w:t>
            </w:r>
            <w:r>
              <w:rPr>
                <w:rFonts w:hint="default" w:ascii="Times New Roman" w:hAnsi="Times New Roman" w:eastAsia="仿宋_GB2312" w:cs="Times New Roman"/>
                <w:color w:val="auto"/>
                <w:kern w:val="0"/>
                <w:sz w:val="21"/>
                <w:szCs w:val="21"/>
                <w:u w:val="none"/>
                <w:lang w:eastAsia="zh-CN"/>
              </w:rPr>
              <w:t>(</w:t>
            </w:r>
            <w:r>
              <w:rPr>
                <w:rFonts w:hint="default" w:ascii="Times New Roman" w:hAnsi="Times New Roman" w:eastAsia="仿宋_GB2312" w:cs="Times New Roman"/>
                <w:color w:val="auto"/>
                <w:kern w:val="0"/>
                <w:sz w:val="21"/>
                <w:szCs w:val="21"/>
                <w:u w:val="none"/>
              </w:rPr>
              <w:t>%</w:t>
            </w:r>
            <w:r>
              <w:rPr>
                <w:rFonts w:hint="eastAsia" w:ascii="Times New Roman" w:hAnsi="Times New Roman" w:cs="Times New Roman"/>
                <w:color w:val="auto"/>
                <w:kern w:val="0"/>
                <w:sz w:val="21"/>
                <w:szCs w:val="21"/>
                <w:u w:val="none"/>
                <w:lang w:eastAsia="zh-CN"/>
              </w:rPr>
              <w:t>)</w:t>
            </w:r>
          </w:p>
        </w:tc>
        <w:tc>
          <w:tcPr>
            <w:tcW w:w="485" w:type="pct"/>
            <w:shd w:val="clear" w:color="auto" w:fill="auto"/>
            <w:vAlign w:val="center"/>
          </w:tcPr>
          <w:p w14:paraId="4B8742B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w:t>
            </w:r>
          </w:p>
        </w:tc>
        <w:tc>
          <w:tcPr>
            <w:tcW w:w="733" w:type="pct"/>
            <w:shd w:val="clear" w:color="auto" w:fill="auto"/>
            <w:vAlign w:val="center"/>
          </w:tcPr>
          <w:p w14:paraId="76E2E4B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w:t>
            </w:r>
          </w:p>
        </w:tc>
        <w:tc>
          <w:tcPr>
            <w:tcW w:w="750" w:type="pct"/>
            <w:shd w:val="clear" w:color="auto" w:fill="auto"/>
            <w:vAlign w:val="center"/>
          </w:tcPr>
          <w:p w14:paraId="4ACEE0C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w:t>
            </w:r>
          </w:p>
        </w:tc>
        <w:tc>
          <w:tcPr>
            <w:tcW w:w="490" w:type="pct"/>
            <w:shd w:val="clear" w:color="auto" w:fill="auto"/>
            <w:vAlign w:val="center"/>
          </w:tcPr>
          <w:p w14:paraId="724AF2C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约束性</w:t>
            </w:r>
          </w:p>
        </w:tc>
        <w:tc>
          <w:tcPr>
            <w:tcW w:w="508" w:type="pct"/>
            <w:shd w:val="clear" w:color="auto" w:fill="auto"/>
            <w:vAlign w:val="center"/>
          </w:tcPr>
          <w:p w14:paraId="0ACC0EF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全域</w:t>
            </w:r>
          </w:p>
        </w:tc>
      </w:tr>
      <w:tr w14:paraId="0D9DA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41" w:type="pct"/>
            <w:shd w:val="clear" w:color="auto" w:fill="auto"/>
            <w:vAlign w:val="center"/>
          </w:tcPr>
          <w:p w14:paraId="25CABD6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5</w:t>
            </w:r>
          </w:p>
        </w:tc>
        <w:tc>
          <w:tcPr>
            <w:tcW w:w="1789" w:type="pct"/>
            <w:gridSpan w:val="2"/>
            <w:shd w:val="clear" w:color="auto" w:fill="auto"/>
            <w:vAlign w:val="center"/>
          </w:tcPr>
          <w:p w14:paraId="4C0EDD2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自然保护地陆域面积占陆域</w:t>
            </w:r>
          </w:p>
          <w:p w14:paraId="23B472A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default" w:ascii="Times New Roman" w:hAnsi="Times New Roman" w:eastAsia="仿宋_GB2312" w:cs="Times New Roman"/>
                <w:color w:val="auto"/>
                <w:kern w:val="0"/>
                <w:sz w:val="21"/>
                <w:szCs w:val="21"/>
                <w:u w:val="none"/>
              </w:rPr>
              <w:t>国土面积比例</w:t>
            </w:r>
            <w:r>
              <w:rPr>
                <w:rFonts w:hint="default" w:ascii="Times New Roman" w:hAnsi="Times New Roman" w:eastAsia="仿宋_GB2312" w:cs="Times New Roman"/>
                <w:color w:val="auto"/>
                <w:kern w:val="0"/>
                <w:sz w:val="21"/>
                <w:szCs w:val="21"/>
                <w:u w:val="none"/>
                <w:lang w:eastAsia="zh-CN"/>
              </w:rPr>
              <w:t>(</w:t>
            </w:r>
            <w:r>
              <w:rPr>
                <w:rFonts w:hint="default" w:ascii="Times New Roman" w:hAnsi="Times New Roman" w:eastAsia="仿宋_GB2312" w:cs="Times New Roman"/>
                <w:color w:val="auto"/>
                <w:kern w:val="0"/>
                <w:sz w:val="21"/>
                <w:szCs w:val="21"/>
                <w:u w:val="none"/>
              </w:rPr>
              <w:t>%</w:t>
            </w:r>
            <w:r>
              <w:rPr>
                <w:rFonts w:hint="eastAsia" w:ascii="Times New Roman" w:hAnsi="Times New Roman" w:cs="Times New Roman"/>
                <w:color w:val="auto"/>
                <w:kern w:val="0"/>
                <w:sz w:val="21"/>
                <w:szCs w:val="21"/>
                <w:u w:val="none"/>
                <w:lang w:eastAsia="zh-CN"/>
              </w:rPr>
              <w:t>)</w:t>
            </w:r>
          </w:p>
        </w:tc>
        <w:tc>
          <w:tcPr>
            <w:tcW w:w="485" w:type="pct"/>
            <w:shd w:val="clear" w:color="auto" w:fill="auto"/>
            <w:vAlign w:val="center"/>
          </w:tcPr>
          <w:p w14:paraId="66896BF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val="en-US" w:eastAsia="zh-CN"/>
              </w:rPr>
            </w:pPr>
            <w:r>
              <w:rPr>
                <w:rFonts w:hint="default" w:ascii="Times New Roman" w:hAnsi="Times New Roman" w:eastAsia="仿宋_GB2312" w:cs="Times New Roman"/>
                <w:color w:val="auto"/>
                <w:kern w:val="0"/>
                <w:sz w:val="21"/>
                <w:szCs w:val="21"/>
                <w:u w:val="none"/>
                <w:lang w:val="en-US" w:eastAsia="zh-CN"/>
              </w:rPr>
              <w:t>0</w:t>
            </w:r>
          </w:p>
        </w:tc>
        <w:tc>
          <w:tcPr>
            <w:tcW w:w="733" w:type="pct"/>
            <w:shd w:val="clear" w:color="auto" w:fill="auto"/>
            <w:vAlign w:val="center"/>
          </w:tcPr>
          <w:p w14:paraId="0545BD4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Times New Roman" w:hAnsi="Times New Roman" w:eastAsia="仿宋_GB2312" w:cs="Times New Roman"/>
                <w:color w:val="auto"/>
                <w:kern w:val="0"/>
                <w:sz w:val="21"/>
                <w:szCs w:val="21"/>
                <w:u w:val="none"/>
                <w:lang w:val="en-US" w:eastAsia="zh-CN"/>
              </w:rPr>
            </w:pPr>
            <w:r>
              <w:rPr>
                <w:rFonts w:hint="eastAsia" w:ascii="Times New Roman" w:hAnsi="Times New Roman" w:cs="Times New Roman"/>
                <w:color w:val="auto"/>
                <w:kern w:val="0"/>
                <w:sz w:val="21"/>
                <w:szCs w:val="21"/>
                <w:u w:val="none"/>
                <w:lang w:val="en-US" w:eastAsia="zh-CN"/>
              </w:rPr>
              <w:t>0</w:t>
            </w:r>
          </w:p>
        </w:tc>
        <w:tc>
          <w:tcPr>
            <w:tcW w:w="750" w:type="pct"/>
            <w:shd w:val="clear" w:color="auto" w:fill="auto"/>
            <w:vAlign w:val="center"/>
          </w:tcPr>
          <w:p w14:paraId="4E668E7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Times New Roman" w:hAnsi="Times New Roman" w:eastAsia="仿宋_GB2312" w:cs="Times New Roman"/>
                <w:color w:val="auto"/>
                <w:kern w:val="0"/>
                <w:sz w:val="21"/>
                <w:szCs w:val="21"/>
                <w:u w:val="none"/>
                <w:lang w:val="en-US" w:eastAsia="zh-CN"/>
              </w:rPr>
            </w:pPr>
            <w:r>
              <w:rPr>
                <w:rFonts w:hint="eastAsia" w:ascii="Times New Roman" w:hAnsi="Times New Roman" w:cs="Times New Roman"/>
                <w:color w:val="auto"/>
                <w:kern w:val="0"/>
                <w:sz w:val="21"/>
                <w:szCs w:val="21"/>
                <w:u w:val="none"/>
                <w:lang w:val="en-US" w:eastAsia="zh-CN"/>
              </w:rPr>
              <w:t>0</w:t>
            </w:r>
          </w:p>
        </w:tc>
        <w:tc>
          <w:tcPr>
            <w:tcW w:w="490" w:type="pct"/>
            <w:shd w:val="clear" w:color="auto" w:fill="auto"/>
            <w:vAlign w:val="center"/>
          </w:tcPr>
          <w:p w14:paraId="07A4BD4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预期性</w:t>
            </w:r>
          </w:p>
        </w:tc>
        <w:tc>
          <w:tcPr>
            <w:tcW w:w="508" w:type="pct"/>
            <w:shd w:val="clear" w:color="auto" w:fill="auto"/>
            <w:vAlign w:val="center"/>
          </w:tcPr>
          <w:p w14:paraId="1780981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全域</w:t>
            </w:r>
          </w:p>
        </w:tc>
      </w:tr>
      <w:tr w14:paraId="267F4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41" w:type="pct"/>
            <w:shd w:val="clear" w:color="auto" w:fill="auto"/>
            <w:vAlign w:val="center"/>
          </w:tcPr>
          <w:p w14:paraId="0423A0D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6</w:t>
            </w:r>
          </w:p>
        </w:tc>
        <w:tc>
          <w:tcPr>
            <w:tcW w:w="1789" w:type="pct"/>
            <w:gridSpan w:val="2"/>
            <w:shd w:val="clear" w:color="auto" w:fill="auto"/>
            <w:vAlign w:val="center"/>
          </w:tcPr>
          <w:p w14:paraId="7BAE785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default" w:ascii="Times New Roman" w:hAnsi="Times New Roman" w:eastAsia="仿宋_GB2312" w:cs="Times New Roman"/>
                <w:color w:val="auto"/>
                <w:kern w:val="0"/>
                <w:sz w:val="21"/>
                <w:szCs w:val="21"/>
                <w:u w:val="none"/>
              </w:rPr>
              <w:t>森林覆盖率</w:t>
            </w:r>
            <w:r>
              <w:rPr>
                <w:rFonts w:hint="default" w:ascii="Times New Roman" w:hAnsi="Times New Roman" w:eastAsia="仿宋_GB2312" w:cs="Times New Roman"/>
                <w:color w:val="auto"/>
                <w:kern w:val="0"/>
                <w:sz w:val="21"/>
                <w:szCs w:val="21"/>
                <w:u w:val="none"/>
                <w:lang w:eastAsia="zh-CN"/>
              </w:rPr>
              <w:t>(</w:t>
            </w:r>
            <w:r>
              <w:rPr>
                <w:rFonts w:hint="default" w:ascii="Times New Roman" w:hAnsi="Times New Roman" w:eastAsia="仿宋_GB2312" w:cs="Times New Roman"/>
                <w:color w:val="auto"/>
                <w:kern w:val="0"/>
                <w:sz w:val="21"/>
                <w:szCs w:val="21"/>
                <w:u w:val="none"/>
              </w:rPr>
              <w:t>%</w:t>
            </w:r>
            <w:r>
              <w:rPr>
                <w:rFonts w:hint="eastAsia" w:ascii="Times New Roman" w:hAnsi="Times New Roman" w:cs="Times New Roman"/>
                <w:color w:val="auto"/>
                <w:kern w:val="0"/>
                <w:sz w:val="21"/>
                <w:szCs w:val="21"/>
                <w:u w:val="none"/>
                <w:lang w:eastAsia="zh-CN"/>
              </w:rPr>
              <w:t>)</w:t>
            </w:r>
          </w:p>
        </w:tc>
        <w:tc>
          <w:tcPr>
            <w:tcW w:w="485" w:type="pct"/>
            <w:shd w:val="clear" w:color="auto" w:fill="auto"/>
            <w:vAlign w:val="center"/>
          </w:tcPr>
          <w:p w14:paraId="420C1EB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w:t>
            </w:r>
          </w:p>
        </w:tc>
        <w:tc>
          <w:tcPr>
            <w:tcW w:w="733" w:type="pct"/>
            <w:shd w:val="clear" w:color="auto" w:fill="auto"/>
            <w:vAlign w:val="center"/>
          </w:tcPr>
          <w:p w14:paraId="4AFAF48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依据上级下达任务确定</w:t>
            </w:r>
          </w:p>
        </w:tc>
        <w:tc>
          <w:tcPr>
            <w:tcW w:w="750" w:type="pct"/>
            <w:shd w:val="clear" w:color="auto" w:fill="auto"/>
            <w:vAlign w:val="center"/>
          </w:tcPr>
          <w:p w14:paraId="2AAD0D5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依据上级下达任务确定</w:t>
            </w:r>
          </w:p>
        </w:tc>
        <w:tc>
          <w:tcPr>
            <w:tcW w:w="490" w:type="pct"/>
            <w:shd w:val="clear" w:color="auto" w:fill="auto"/>
            <w:vAlign w:val="center"/>
          </w:tcPr>
          <w:p w14:paraId="3EB30EB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预期性</w:t>
            </w:r>
          </w:p>
        </w:tc>
        <w:tc>
          <w:tcPr>
            <w:tcW w:w="508" w:type="pct"/>
            <w:shd w:val="clear" w:color="auto" w:fill="auto"/>
            <w:vAlign w:val="center"/>
          </w:tcPr>
          <w:p w14:paraId="50F0670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全域</w:t>
            </w:r>
          </w:p>
        </w:tc>
      </w:tr>
      <w:tr w14:paraId="1D716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41" w:type="pct"/>
            <w:shd w:val="clear" w:color="auto" w:fill="auto"/>
            <w:vAlign w:val="center"/>
          </w:tcPr>
          <w:p w14:paraId="6D29B7A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7</w:t>
            </w:r>
          </w:p>
        </w:tc>
        <w:tc>
          <w:tcPr>
            <w:tcW w:w="1789" w:type="pct"/>
            <w:gridSpan w:val="2"/>
            <w:shd w:val="clear" w:color="auto" w:fill="auto"/>
            <w:vAlign w:val="center"/>
          </w:tcPr>
          <w:p w14:paraId="78752D6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default" w:ascii="Times New Roman" w:hAnsi="Times New Roman" w:eastAsia="仿宋_GB2312" w:cs="Times New Roman"/>
                <w:color w:val="auto"/>
                <w:kern w:val="0"/>
                <w:sz w:val="21"/>
                <w:szCs w:val="21"/>
                <w:u w:val="none"/>
              </w:rPr>
              <w:t>林地保有量</w:t>
            </w:r>
            <w:r>
              <w:rPr>
                <w:rFonts w:hint="default" w:ascii="Times New Roman" w:hAnsi="Times New Roman" w:eastAsia="仿宋_GB2312" w:cs="Times New Roman"/>
                <w:color w:val="auto"/>
                <w:kern w:val="0"/>
                <w:sz w:val="21"/>
                <w:szCs w:val="21"/>
                <w:u w:val="none"/>
                <w:lang w:eastAsia="zh-CN"/>
              </w:rPr>
              <w:t>(</w:t>
            </w:r>
            <w:r>
              <w:rPr>
                <w:rFonts w:hint="default" w:ascii="Times New Roman" w:hAnsi="Times New Roman" w:eastAsia="仿宋_GB2312" w:cs="Times New Roman"/>
                <w:color w:val="auto"/>
                <w:kern w:val="0"/>
                <w:sz w:val="21"/>
                <w:szCs w:val="21"/>
                <w:u w:val="none"/>
              </w:rPr>
              <w:t>公顷</w:t>
            </w:r>
            <w:r>
              <w:rPr>
                <w:rFonts w:hint="eastAsia" w:ascii="Times New Roman" w:hAnsi="Times New Roman" w:cs="Times New Roman"/>
                <w:color w:val="auto"/>
                <w:kern w:val="0"/>
                <w:sz w:val="21"/>
                <w:szCs w:val="21"/>
                <w:u w:val="none"/>
                <w:lang w:eastAsia="zh-CN"/>
              </w:rPr>
              <w:t>)</w:t>
            </w:r>
          </w:p>
        </w:tc>
        <w:tc>
          <w:tcPr>
            <w:tcW w:w="485" w:type="pct"/>
            <w:shd w:val="clear" w:color="auto" w:fill="auto"/>
            <w:vAlign w:val="center"/>
          </w:tcPr>
          <w:p w14:paraId="5C6CF76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w:t>
            </w:r>
          </w:p>
        </w:tc>
        <w:tc>
          <w:tcPr>
            <w:tcW w:w="733" w:type="pct"/>
            <w:shd w:val="clear" w:color="auto" w:fill="auto"/>
            <w:vAlign w:val="center"/>
          </w:tcPr>
          <w:p w14:paraId="1B09779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依据上级下达任务确定</w:t>
            </w:r>
          </w:p>
        </w:tc>
        <w:tc>
          <w:tcPr>
            <w:tcW w:w="750" w:type="pct"/>
            <w:shd w:val="clear" w:color="auto" w:fill="auto"/>
            <w:vAlign w:val="center"/>
          </w:tcPr>
          <w:p w14:paraId="7A52C21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依据上级下达任务确定</w:t>
            </w:r>
          </w:p>
        </w:tc>
        <w:tc>
          <w:tcPr>
            <w:tcW w:w="490" w:type="pct"/>
            <w:shd w:val="clear" w:color="auto" w:fill="auto"/>
            <w:vAlign w:val="center"/>
          </w:tcPr>
          <w:p w14:paraId="1C3DD30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预期性</w:t>
            </w:r>
          </w:p>
        </w:tc>
        <w:tc>
          <w:tcPr>
            <w:tcW w:w="508" w:type="pct"/>
            <w:shd w:val="clear" w:color="auto" w:fill="auto"/>
            <w:vAlign w:val="center"/>
          </w:tcPr>
          <w:p w14:paraId="4D1B65A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全域</w:t>
            </w:r>
          </w:p>
        </w:tc>
      </w:tr>
      <w:tr w14:paraId="355D6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41" w:type="pct"/>
            <w:shd w:val="clear" w:color="auto" w:fill="auto"/>
            <w:vAlign w:val="center"/>
          </w:tcPr>
          <w:p w14:paraId="4F4EF0E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8</w:t>
            </w:r>
          </w:p>
        </w:tc>
        <w:tc>
          <w:tcPr>
            <w:tcW w:w="1789" w:type="pct"/>
            <w:gridSpan w:val="2"/>
            <w:shd w:val="clear" w:color="auto" w:fill="auto"/>
            <w:vAlign w:val="center"/>
          </w:tcPr>
          <w:p w14:paraId="166178A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default" w:ascii="Times New Roman" w:hAnsi="Times New Roman" w:eastAsia="仿宋_GB2312" w:cs="Times New Roman"/>
                <w:color w:val="auto"/>
                <w:kern w:val="0"/>
                <w:sz w:val="21"/>
                <w:szCs w:val="21"/>
                <w:u w:val="none"/>
              </w:rPr>
              <w:t>湿地保护率</w:t>
            </w:r>
            <w:r>
              <w:rPr>
                <w:rFonts w:hint="default" w:ascii="Times New Roman" w:hAnsi="Times New Roman" w:eastAsia="仿宋_GB2312" w:cs="Times New Roman"/>
                <w:color w:val="auto"/>
                <w:kern w:val="0"/>
                <w:sz w:val="21"/>
                <w:szCs w:val="21"/>
                <w:u w:val="none"/>
                <w:lang w:eastAsia="zh-CN"/>
              </w:rPr>
              <w:t>(</w:t>
            </w:r>
            <w:r>
              <w:rPr>
                <w:rFonts w:hint="default" w:ascii="Times New Roman" w:hAnsi="Times New Roman" w:eastAsia="仿宋_GB2312" w:cs="Times New Roman"/>
                <w:color w:val="auto"/>
                <w:kern w:val="0"/>
                <w:sz w:val="21"/>
                <w:szCs w:val="21"/>
                <w:u w:val="none"/>
              </w:rPr>
              <w:t>%</w:t>
            </w:r>
            <w:r>
              <w:rPr>
                <w:rFonts w:hint="eastAsia" w:ascii="Times New Roman" w:hAnsi="Times New Roman" w:cs="Times New Roman"/>
                <w:color w:val="auto"/>
                <w:kern w:val="0"/>
                <w:sz w:val="21"/>
                <w:szCs w:val="21"/>
                <w:u w:val="none"/>
                <w:lang w:eastAsia="zh-CN"/>
              </w:rPr>
              <w:t>)</w:t>
            </w:r>
          </w:p>
        </w:tc>
        <w:tc>
          <w:tcPr>
            <w:tcW w:w="485" w:type="pct"/>
            <w:shd w:val="clear" w:color="auto" w:fill="auto"/>
            <w:vAlign w:val="center"/>
          </w:tcPr>
          <w:p w14:paraId="5A02239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w:t>
            </w:r>
          </w:p>
        </w:tc>
        <w:tc>
          <w:tcPr>
            <w:tcW w:w="733" w:type="pct"/>
            <w:shd w:val="clear" w:color="auto" w:fill="auto"/>
            <w:vAlign w:val="center"/>
          </w:tcPr>
          <w:p w14:paraId="3697258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依据上级下达任务确定</w:t>
            </w:r>
          </w:p>
        </w:tc>
        <w:tc>
          <w:tcPr>
            <w:tcW w:w="750" w:type="pct"/>
            <w:shd w:val="clear" w:color="auto" w:fill="auto"/>
            <w:vAlign w:val="center"/>
          </w:tcPr>
          <w:p w14:paraId="166F608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依据上级下达任务确定</w:t>
            </w:r>
          </w:p>
        </w:tc>
        <w:tc>
          <w:tcPr>
            <w:tcW w:w="490" w:type="pct"/>
            <w:shd w:val="clear" w:color="auto" w:fill="auto"/>
            <w:vAlign w:val="center"/>
          </w:tcPr>
          <w:p w14:paraId="4AC0D6F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预期性</w:t>
            </w:r>
          </w:p>
        </w:tc>
        <w:tc>
          <w:tcPr>
            <w:tcW w:w="508" w:type="pct"/>
            <w:shd w:val="clear" w:color="auto" w:fill="auto"/>
            <w:vAlign w:val="center"/>
          </w:tcPr>
          <w:p w14:paraId="3CD1DAC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全域</w:t>
            </w:r>
          </w:p>
        </w:tc>
      </w:tr>
      <w:tr w14:paraId="7BD5A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41" w:type="pct"/>
            <w:shd w:val="clear" w:color="auto" w:fill="auto"/>
            <w:vAlign w:val="center"/>
          </w:tcPr>
          <w:p w14:paraId="3FF080D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9</w:t>
            </w:r>
          </w:p>
        </w:tc>
        <w:tc>
          <w:tcPr>
            <w:tcW w:w="1789" w:type="pct"/>
            <w:gridSpan w:val="2"/>
            <w:shd w:val="clear" w:color="auto" w:fill="auto"/>
            <w:vAlign w:val="center"/>
          </w:tcPr>
          <w:p w14:paraId="055EDEB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default" w:ascii="Times New Roman" w:hAnsi="Times New Roman" w:eastAsia="仿宋_GB2312" w:cs="Times New Roman"/>
                <w:color w:val="auto"/>
                <w:kern w:val="0"/>
                <w:sz w:val="21"/>
                <w:szCs w:val="21"/>
                <w:u w:val="none"/>
              </w:rPr>
              <w:t>水域空间保有量</w:t>
            </w:r>
            <w:r>
              <w:rPr>
                <w:rFonts w:hint="default" w:ascii="Times New Roman" w:hAnsi="Times New Roman" w:eastAsia="仿宋_GB2312" w:cs="Times New Roman"/>
                <w:color w:val="auto"/>
                <w:kern w:val="0"/>
                <w:sz w:val="21"/>
                <w:szCs w:val="21"/>
                <w:u w:val="none"/>
                <w:lang w:eastAsia="zh-CN"/>
              </w:rPr>
              <w:t>(</w:t>
            </w:r>
            <w:r>
              <w:rPr>
                <w:rFonts w:hint="default" w:ascii="Times New Roman" w:hAnsi="Times New Roman" w:eastAsia="仿宋_GB2312" w:cs="Times New Roman"/>
                <w:color w:val="auto"/>
                <w:kern w:val="0"/>
                <w:sz w:val="21"/>
                <w:szCs w:val="21"/>
                <w:u w:val="none"/>
              </w:rPr>
              <w:t>公顷</w:t>
            </w:r>
            <w:r>
              <w:rPr>
                <w:rFonts w:hint="eastAsia" w:ascii="Times New Roman" w:hAnsi="Times New Roman" w:cs="Times New Roman"/>
                <w:color w:val="auto"/>
                <w:kern w:val="0"/>
                <w:sz w:val="21"/>
                <w:szCs w:val="21"/>
                <w:u w:val="none"/>
                <w:lang w:eastAsia="zh-CN"/>
              </w:rPr>
              <w:t>)</w:t>
            </w:r>
          </w:p>
        </w:tc>
        <w:tc>
          <w:tcPr>
            <w:tcW w:w="485" w:type="pct"/>
            <w:shd w:val="clear" w:color="auto" w:fill="auto"/>
            <w:vAlign w:val="center"/>
          </w:tcPr>
          <w:p w14:paraId="41268A0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default" w:ascii="Times New Roman" w:hAnsi="Times New Roman" w:eastAsia="仿宋_GB2312" w:cs="Times New Roman"/>
                <w:color w:val="auto"/>
                <w:kern w:val="0"/>
                <w:sz w:val="21"/>
                <w:szCs w:val="21"/>
                <w:u w:val="none"/>
                <w:lang w:eastAsia="zh-CN"/>
              </w:rPr>
              <w:t>－</w:t>
            </w:r>
          </w:p>
        </w:tc>
        <w:tc>
          <w:tcPr>
            <w:tcW w:w="733" w:type="pct"/>
            <w:shd w:val="clear" w:color="auto" w:fill="auto"/>
            <w:vAlign w:val="center"/>
          </w:tcPr>
          <w:p w14:paraId="3548EAF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default" w:ascii="Times New Roman" w:hAnsi="Times New Roman" w:eastAsia="仿宋_GB2312" w:cs="Times New Roman"/>
                <w:color w:val="auto"/>
                <w:kern w:val="0"/>
                <w:sz w:val="21"/>
                <w:szCs w:val="21"/>
                <w:u w:val="none"/>
              </w:rPr>
              <w:t>依据上级下达任务确定</w:t>
            </w:r>
          </w:p>
        </w:tc>
        <w:tc>
          <w:tcPr>
            <w:tcW w:w="750" w:type="pct"/>
            <w:shd w:val="clear" w:color="auto" w:fill="auto"/>
            <w:vAlign w:val="center"/>
          </w:tcPr>
          <w:p w14:paraId="1A09151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default" w:ascii="Times New Roman" w:hAnsi="Times New Roman" w:eastAsia="仿宋_GB2312" w:cs="Times New Roman"/>
                <w:color w:val="auto"/>
                <w:kern w:val="0"/>
                <w:sz w:val="21"/>
                <w:szCs w:val="21"/>
                <w:u w:val="none"/>
              </w:rPr>
              <w:t>依据上级下达任务确定</w:t>
            </w:r>
          </w:p>
        </w:tc>
        <w:tc>
          <w:tcPr>
            <w:tcW w:w="490" w:type="pct"/>
            <w:shd w:val="clear" w:color="auto" w:fill="auto"/>
            <w:vAlign w:val="center"/>
          </w:tcPr>
          <w:p w14:paraId="46BD468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预期性</w:t>
            </w:r>
          </w:p>
        </w:tc>
        <w:tc>
          <w:tcPr>
            <w:tcW w:w="508" w:type="pct"/>
            <w:shd w:val="clear" w:color="auto" w:fill="auto"/>
            <w:vAlign w:val="center"/>
          </w:tcPr>
          <w:p w14:paraId="5902B8F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全域</w:t>
            </w:r>
          </w:p>
        </w:tc>
      </w:tr>
      <w:tr w14:paraId="6AEBE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41" w:type="pct"/>
            <w:shd w:val="clear" w:color="auto" w:fill="auto"/>
            <w:vAlign w:val="center"/>
          </w:tcPr>
          <w:p w14:paraId="680FA58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10</w:t>
            </w:r>
          </w:p>
        </w:tc>
        <w:tc>
          <w:tcPr>
            <w:tcW w:w="1789" w:type="pct"/>
            <w:gridSpan w:val="2"/>
            <w:shd w:val="clear" w:color="auto" w:fill="auto"/>
            <w:vAlign w:val="center"/>
          </w:tcPr>
          <w:p w14:paraId="3BE9C7F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城镇开发边界扩展倍数</w:t>
            </w:r>
          </w:p>
        </w:tc>
        <w:tc>
          <w:tcPr>
            <w:tcW w:w="485" w:type="pct"/>
            <w:shd w:val="clear" w:color="auto" w:fill="auto"/>
            <w:vAlign w:val="center"/>
          </w:tcPr>
          <w:p w14:paraId="6BF796F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w:t>
            </w:r>
          </w:p>
        </w:tc>
        <w:tc>
          <w:tcPr>
            <w:tcW w:w="733" w:type="pct"/>
            <w:shd w:val="clear" w:color="auto" w:fill="auto"/>
            <w:vAlign w:val="center"/>
          </w:tcPr>
          <w:p w14:paraId="7D82259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≤1</w:t>
            </w:r>
          </w:p>
        </w:tc>
        <w:tc>
          <w:tcPr>
            <w:tcW w:w="750" w:type="pct"/>
            <w:shd w:val="clear" w:color="auto" w:fill="auto"/>
            <w:vAlign w:val="center"/>
          </w:tcPr>
          <w:p w14:paraId="5DC408A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≤1</w:t>
            </w:r>
          </w:p>
        </w:tc>
        <w:tc>
          <w:tcPr>
            <w:tcW w:w="490" w:type="pct"/>
            <w:shd w:val="clear" w:color="auto" w:fill="auto"/>
            <w:vAlign w:val="center"/>
          </w:tcPr>
          <w:p w14:paraId="0520C82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约束性</w:t>
            </w:r>
          </w:p>
        </w:tc>
        <w:tc>
          <w:tcPr>
            <w:tcW w:w="508" w:type="pct"/>
            <w:shd w:val="clear" w:color="auto" w:fill="auto"/>
            <w:vAlign w:val="center"/>
          </w:tcPr>
          <w:p w14:paraId="7445868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全域</w:t>
            </w:r>
          </w:p>
        </w:tc>
      </w:tr>
      <w:tr w14:paraId="3F293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41" w:type="pct"/>
            <w:shd w:val="clear" w:color="auto" w:fill="auto"/>
            <w:vAlign w:val="center"/>
          </w:tcPr>
          <w:p w14:paraId="02E3CBB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11</w:t>
            </w:r>
          </w:p>
        </w:tc>
        <w:tc>
          <w:tcPr>
            <w:tcW w:w="1789" w:type="pct"/>
            <w:gridSpan w:val="2"/>
            <w:shd w:val="clear" w:color="auto" w:fill="auto"/>
            <w:vAlign w:val="center"/>
          </w:tcPr>
          <w:p w14:paraId="6010DDF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default" w:ascii="Times New Roman" w:hAnsi="Times New Roman" w:eastAsia="仿宋_GB2312" w:cs="Times New Roman"/>
                <w:color w:val="auto"/>
                <w:kern w:val="0"/>
                <w:sz w:val="21"/>
                <w:szCs w:val="21"/>
                <w:u w:val="none"/>
              </w:rPr>
              <w:t>村庄建设边界划定面积</w:t>
            </w:r>
            <w:r>
              <w:rPr>
                <w:rFonts w:hint="default" w:ascii="Times New Roman" w:hAnsi="Times New Roman" w:eastAsia="仿宋_GB2312" w:cs="Times New Roman"/>
                <w:color w:val="auto"/>
                <w:kern w:val="0"/>
                <w:sz w:val="21"/>
                <w:szCs w:val="21"/>
                <w:u w:val="none"/>
                <w:lang w:eastAsia="zh-CN"/>
              </w:rPr>
              <w:t>(</w:t>
            </w:r>
            <w:r>
              <w:rPr>
                <w:rFonts w:hint="default" w:ascii="Times New Roman" w:hAnsi="Times New Roman" w:eastAsia="仿宋_GB2312" w:cs="Times New Roman"/>
                <w:color w:val="auto"/>
                <w:kern w:val="0"/>
                <w:sz w:val="21"/>
                <w:szCs w:val="21"/>
                <w:u w:val="none"/>
              </w:rPr>
              <w:t>公顷</w:t>
            </w:r>
            <w:r>
              <w:rPr>
                <w:rFonts w:hint="eastAsia" w:ascii="Times New Roman" w:hAnsi="Times New Roman" w:cs="Times New Roman"/>
                <w:color w:val="auto"/>
                <w:kern w:val="0"/>
                <w:sz w:val="21"/>
                <w:szCs w:val="21"/>
                <w:u w:val="none"/>
                <w:lang w:eastAsia="zh-CN"/>
              </w:rPr>
              <w:t>)</w:t>
            </w:r>
          </w:p>
        </w:tc>
        <w:tc>
          <w:tcPr>
            <w:tcW w:w="485" w:type="pct"/>
            <w:shd w:val="clear" w:color="auto" w:fill="auto"/>
            <w:vAlign w:val="center"/>
          </w:tcPr>
          <w:p w14:paraId="7641944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val="en-US" w:eastAsia="zh-CN"/>
              </w:rPr>
            </w:pPr>
            <w:r>
              <w:rPr>
                <w:rFonts w:hint="default" w:ascii="Times New Roman" w:hAnsi="Times New Roman" w:eastAsia="仿宋_GB2312" w:cs="Times New Roman"/>
                <w:color w:val="auto"/>
                <w:kern w:val="0"/>
                <w:sz w:val="21"/>
                <w:szCs w:val="21"/>
                <w:u w:val="none"/>
              </w:rPr>
              <w:t>－</w:t>
            </w:r>
          </w:p>
        </w:tc>
        <w:tc>
          <w:tcPr>
            <w:tcW w:w="733" w:type="pct"/>
            <w:shd w:val="clear" w:color="auto" w:fill="auto"/>
            <w:vAlign w:val="center"/>
          </w:tcPr>
          <w:p w14:paraId="7CDB337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lang w:val="en-US" w:eastAsia="zh-CN"/>
              </w:rPr>
              <w:t>358.24</w:t>
            </w:r>
          </w:p>
        </w:tc>
        <w:tc>
          <w:tcPr>
            <w:tcW w:w="750" w:type="pct"/>
            <w:shd w:val="clear" w:color="auto" w:fill="auto"/>
            <w:vAlign w:val="center"/>
          </w:tcPr>
          <w:p w14:paraId="13EA31A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lang w:val="en-US" w:eastAsia="zh-CN"/>
              </w:rPr>
              <w:t>358.24</w:t>
            </w:r>
          </w:p>
        </w:tc>
        <w:tc>
          <w:tcPr>
            <w:tcW w:w="490" w:type="pct"/>
            <w:shd w:val="clear" w:color="auto" w:fill="auto"/>
            <w:vAlign w:val="center"/>
          </w:tcPr>
          <w:p w14:paraId="48FC41D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约束性</w:t>
            </w:r>
          </w:p>
        </w:tc>
        <w:tc>
          <w:tcPr>
            <w:tcW w:w="508" w:type="pct"/>
            <w:shd w:val="clear" w:color="auto" w:fill="auto"/>
            <w:vAlign w:val="center"/>
          </w:tcPr>
          <w:p w14:paraId="3655336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全域</w:t>
            </w:r>
          </w:p>
        </w:tc>
      </w:tr>
      <w:tr w14:paraId="0197E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41" w:type="pct"/>
            <w:vMerge w:val="restart"/>
            <w:shd w:val="clear" w:color="auto" w:fill="auto"/>
            <w:vAlign w:val="center"/>
          </w:tcPr>
          <w:p w14:paraId="3D85B3F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12</w:t>
            </w:r>
          </w:p>
        </w:tc>
        <w:tc>
          <w:tcPr>
            <w:tcW w:w="675" w:type="pct"/>
            <w:vMerge w:val="restart"/>
            <w:shd w:val="clear" w:color="auto" w:fill="auto"/>
            <w:vAlign w:val="center"/>
          </w:tcPr>
          <w:p w14:paraId="3593AF0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default" w:ascii="Times New Roman" w:hAnsi="Times New Roman" w:eastAsia="仿宋_GB2312" w:cs="Times New Roman"/>
                <w:color w:val="auto"/>
                <w:kern w:val="0"/>
                <w:sz w:val="21"/>
                <w:szCs w:val="21"/>
                <w:u w:val="none"/>
              </w:rPr>
              <w:t>自然和文化遗产</w:t>
            </w:r>
            <w:r>
              <w:rPr>
                <w:rFonts w:hint="default" w:ascii="Times New Roman" w:hAnsi="Times New Roman" w:eastAsia="仿宋_GB2312" w:cs="Times New Roman"/>
                <w:color w:val="auto"/>
                <w:kern w:val="0"/>
                <w:sz w:val="21"/>
                <w:szCs w:val="21"/>
                <w:u w:val="none"/>
                <w:lang w:eastAsia="zh-CN"/>
              </w:rPr>
              <w:t>(</w:t>
            </w:r>
            <w:r>
              <w:rPr>
                <w:rFonts w:hint="default" w:ascii="Times New Roman" w:hAnsi="Times New Roman" w:eastAsia="仿宋_GB2312" w:cs="Times New Roman"/>
                <w:color w:val="auto"/>
                <w:kern w:val="0"/>
                <w:sz w:val="21"/>
                <w:szCs w:val="21"/>
                <w:u w:val="none"/>
              </w:rPr>
              <w:t>处</w:t>
            </w:r>
            <w:r>
              <w:rPr>
                <w:rFonts w:hint="eastAsia" w:ascii="Times New Roman" w:hAnsi="Times New Roman" w:cs="Times New Roman"/>
                <w:color w:val="auto"/>
                <w:kern w:val="0"/>
                <w:sz w:val="21"/>
                <w:szCs w:val="21"/>
                <w:u w:val="none"/>
                <w:lang w:eastAsia="zh-CN"/>
              </w:rPr>
              <w:t>)</w:t>
            </w:r>
          </w:p>
        </w:tc>
        <w:tc>
          <w:tcPr>
            <w:tcW w:w="1113" w:type="pct"/>
            <w:shd w:val="clear" w:color="auto" w:fill="auto"/>
            <w:vAlign w:val="center"/>
          </w:tcPr>
          <w:p w14:paraId="5462582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省级文物保护单位</w:t>
            </w:r>
          </w:p>
        </w:tc>
        <w:tc>
          <w:tcPr>
            <w:tcW w:w="485" w:type="pct"/>
            <w:shd w:val="clear" w:color="auto" w:fill="auto"/>
            <w:vAlign w:val="center"/>
          </w:tcPr>
          <w:p w14:paraId="24DE134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eastAsia" w:ascii="Times New Roman" w:hAnsi="Times New Roman" w:cs="Times New Roman"/>
                <w:color w:val="auto"/>
                <w:kern w:val="0"/>
                <w:sz w:val="21"/>
                <w:szCs w:val="21"/>
                <w:u w:val="none"/>
                <w:lang w:val="en-US" w:eastAsia="zh-CN"/>
              </w:rPr>
              <w:t>1</w:t>
            </w:r>
          </w:p>
        </w:tc>
        <w:tc>
          <w:tcPr>
            <w:tcW w:w="733" w:type="pct"/>
            <w:shd w:val="clear" w:color="auto" w:fill="auto"/>
            <w:vAlign w:val="center"/>
          </w:tcPr>
          <w:p w14:paraId="3A395FF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default" w:ascii="Times New Roman" w:hAnsi="Times New Roman" w:eastAsia="仿宋_GB2312" w:cs="Times New Roman"/>
                <w:color w:val="auto"/>
                <w:kern w:val="0"/>
                <w:sz w:val="21"/>
                <w:szCs w:val="21"/>
                <w:u w:val="none"/>
              </w:rPr>
              <w:t>≥</w:t>
            </w:r>
            <w:r>
              <w:rPr>
                <w:rFonts w:hint="eastAsia" w:ascii="Times New Roman" w:hAnsi="Times New Roman" w:cs="Times New Roman"/>
                <w:color w:val="auto"/>
                <w:kern w:val="0"/>
                <w:sz w:val="21"/>
                <w:szCs w:val="21"/>
                <w:u w:val="none"/>
                <w:lang w:val="en-US" w:eastAsia="zh-CN"/>
              </w:rPr>
              <w:t>1</w:t>
            </w:r>
          </w:p>
        </w:tc>
        <w:tc>
          <w:tcPr>
            <w:tcW w:w="750" w:type="pct"/>
            <w:shd w:val="clear" w:color="auto" w:fill="auto"/>
            <w:vAlign w:val="center"/>
          </w:tcPr>
          <w:p w14:paraId="196C424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default" w:ascii="Times New Roman" w:hAnsi="Times New Roman" w:eastAsia="仿宋_GB2312" w:cs="Times New Roman"/>
                <w:color w:val="auto"/>
                <w:kern w:val="0"/>
                <w:sz w:val="21"/>
                <w:szCs w:val="21"/>
                <w:u w:val="none"/>
              </w:rPr>
              <w:t>≥</w:t>
            </w:r>
            <w:r>
              <w:rPr>
                <w:rFonts w:hint="eastAsia" w:ascii="Times New Roman" w:hAnsi="Times New Roman" w:cs="Times New Roman"/>
                <w:color w:val="auto"/>
                <w:kern w:val="0"/>
                <w:sz w:val="21"/>
                <w:szCs w:val="21"/>
                <w:u w:val="none"/>
                <w:lang w:val="en-US" w:eastAsia="zh-CN"/>
              </w:rPr>
              <w:t>1</w:t>
            </w:r>
          </w:p>
        </w:tc>
        <w:tc>
          <w:tcPr>
            <w:tcW w:w="490" w:type="pct"/>
            <w:shd w:val="clear" w:color="auto" w:fill="auto"/>
            <w:vAlign w:val="center"/>
          </w:tcPr>
          <w:p w14:paraId="7C4B298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预期性</w:t>
            </w:r>
          </w:p>
        </w:tc>
        <w:tc>
          <w:tcPr>
            <w:tcW w:w="508" w:type="pct"/>
            <w:shd w:val="clear" w:color="auto" w:fill="auto"/>
            <w:vAlign w:val="center"/>
          </w:tcPr>
          <w:p w14:paraId="270F933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全域</w:t>
            </w:r>
          </w:p>
        </w:tc>
      </w:tr>
      <w:tr w14:paraId="4B770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41" w:type="pct"/>
            <w:vMerge w:val="continue"/>
            <w:shd w:val="clear" w:color="auto" w:fill="auto"/>
            <w:vAlign w:val="center"/>
          </w:tcPr>
          <w:p w14:paraId="1594C4E2">
            <w:pPr>
              <w:keepNext w:val="0"/>
              <w:keepLines w:val="0"/>
              <w:widowControl/>
              <w:suppressLineNumbers w:val="0"/>
              <w:wordWrap w:val="0"/>
              <w:spacing w:before="0" w:beforeAutospacing="0" w:after="0" w:afterAutospacing="0" w:line="240" w:lineRule="exact"/>
              <w:ind w:left="0" w:right="0" w:firstLine="0" w:firstLineChars="0"/>
              <w:jc w:val="center"/>
              <w:rPr>
                <w:rFonts w:hint="default" w:ascii="Times New Roman" w:hAnsi="Times New Roman" w:eastAsia="仿宋_GB2312" w:cs="Times New Roman"/>
                <w:color w:val="auto"/>
                <w:sz w:val="21"/>
                <w:szCs w:val="21"/>
                <w:u w:val="none"/>
              </w:rPr>
            </w:pPr>
          </w:p>
        </w:tc>
        <w:tc>
          <w:tcPr>
            <w:tcW w:w="675" w:type="pct"/>
            <w:vMerge w:val="continue"/>
            <w:shd w:val="clear" w:color="auto" w:fill="auto"/>
            <w:vAlign w:val="center"/>
          </w:tcPr>
          <w:p w14:paraId="6AA99FF8">
            <w:pPr>
              <w:keepNext w:val="0"/>
              <w:keepLines w:val="0"/>
              <w:widowControl/>
              <w:suppressLineNumbers w:val="0"/>
              <w:wordWrap w:val="0"/>
              <w:spacing w:before="0" w:beforeAutospacing="0" w:after="0" w:afterAutospacing="0" w:line="240" w:lineRule="exact"/>
              <w:ind w:left="0" w:right="0" w:firstLine="0" w:firstLineChars="0"/>
              <w:jc w:val="center"/>
              <w:rPr>
                <w:rFonts w:hint="default" w:ascii="Times New Roman" w:hAnsi="Times New Roman" w:eastAsia="仿宋_GB2312" w:cs="Times New Roman"/>
                <w:color w:val="auto"/>
                <w:sz w:val="21"/>
                <w:szCs w:val="21"/>
                <w:u w:val="none"/>
              </w:rPr>
            </w:pPr>
          </w:p>
        </w:tc>
        <w:tc>
          <w:tcPr>
            <w:tcW w:w="1113" w:type="pct"/>
            <w:shd w:val="clear" w:color="auto" w:fill="auto"/>
            <w:vAlign w:val="center"/>
          </w:tcPr>
          <w:p w14:paraId="448E2CE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市级文物保护单位</w:t>
            </w:r>
          </w:p>
        </w:tc>
        <w:tc>
          <w:tcPr>
            <w:tcW w:w="485" w:type="pct"/>
            <w:shd w:val="clear" w:color="auto" w:fill="auto"/>
            <w:vAlign w:val="center"/>
          </w:tcPr>
          <w:p w14:paraId="55533B7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default" w:ascii="Times New Roman" w:hAnsi="Times New Roman" w:eastAsia="仿宋_GB2312" w:cs="Times New Roman"/>
                <w:color w:val="auto"/>
                <w:kern w:val="0"/>
                <w:sz w:val="21"/>
                <w:szCs w:val="21"/>
                <w:u w:val="none"/>
                <w:lang w:val="en-US" w:eastAsia="zh-CN"/>
              </w:rPr>
              <w:t>3</w:t>
            </w:r>
          </w:p>
        </w:tc>
        <w:tc>
          <w:tcPr>
            <w:tcW w:w="733" w:type="pct"/>
            <w:shd w:val="clear" w:color="auto" w:fill="auto"/>
            <w:vAlign w:val="center"/>
          </w:tcPr>
          <w:p w14:paraId="6A4C1FC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default" w:ascii="Times New Roman" w:hAnsi="Times New Roman" w:eastAsia="仿宋_GB2312" w:cs="Times New Roman"/>
                <w:color w:val="auto"/>
                <w:kern w:val="0"/>
                <w:sz w:val="21"/>
                <w:szCs w:val="21"/>
                <w:u w:val="none"/>
              </w:rPr>
              <w:t>≥</w:t>
            </w:r>
            <w:r>
              <w:rPr>
                <w:rFonts w:hint="default" w:ascii="Times New Roman" w:hAnsi="Times New Roman" w:eastAsia="仿宋_GB2312" w:cs="Times New Roman"/>
                <w:color w:val="auto"/>
                <w:kern w:val="0"/>
                <w:sz w:val="21"/>
                <w:szCs w:val="21"/>
                <w:u w:val="none"/>
                <w:lang w:val="en-US" w:eastAsia="zh-CN"/>
              </w:rPr>
              <w:t>3</w:t>
            </w:r>
          </w:p>
        </w:tc>
        <w:tc>
          <w:tcPr>
            <w:tcW w:w="750" w:type="pct"/>
            <w:shd w:val="clear" w:color="auto" w:fill="auto"/>
            <w:vAlign w:val="center"/>
          </w:tcPr>
          <w:p w14:paraId="2ACAAD0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default" w:ascii="Times New Roman" w:hAnsi="Times New Roman" w:eastAsia="仿宋_GB2312" w:cs="Times New Roman"/>
                <w:color w:val="auto"/>
                <w:kern w:val="0"/>
                <w:sz w:val="21"/>
                <w:szCs w:val="21"/>
                <w:u w:val="none"/>
              </w:rPr>
              <w:t>≥</w:t>
            </w:r>
            <w:r>
              <w:rPr>
                <w:rFonts w:hint="default" w:ascii="Times New Roman" w:hAnsi="Times New Roman" w:eastAsia="仿宋_GB2312" w:cs="Times New Roman"/>
                <w:color w:val="auto"/>
                <w:kern w:val="0"/>
                <w:sz w:val="21"/>
                <w:szCs w:val="21"/>
                <w:u w:val="none"/>
                <w:lang w:val="en-US" w:eastAsia="zh-CN"/>
              </w:rPr>
              <w:t>3</w:t>
            </w:r>
          </w:p>
        </w:tc>
        <w:tc>
          <w:tcPr>
            <w:tcW w:w="490" w:type="pct"/>
            <w:shd w:val="clear" w:color="auto" w:fill="auto"/>
            <w:vAlign w:val="center"/>
          </w:tcPr>
          <w:p w14:paraId="2940A46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预期性</w:t>
            </w:r>
          </w:p>
        </w:tc>
        <w:tc>
          <w:tcPr>
            <w:tcW w:w="508" w:type="pct"/>
            <w:shd w:val="clear" w:color="auto" w:fill="auto"/>
            <w:vAlign w:val="center"/>
          </w:tcPr>
          <w:p w14:paraId="12CBB23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全域</w:t>
            </w:r>
          </w:p>
        </w:tc>
      </w:tr>
      <w:tr w14:paraId="62E2C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41" w:type="pct"/>
            <w:vMerge w:val="continue"/>
            <w:shd w:val="clear" w:color="auto" w:fill="auto"/>
            <w:vAlign w:val="center"/>
          </w:tcPr>
          <w:p w14:paraId="18BF9003">
            <w:pPr>
              <w:keepNext w:val="0"/>
              <w:keepLines w:val="0"/>
              <w:widowControl/>
              <w:suppressLineNumbers w:val="0"/>
              <w:wordWrap w:val="0"/>
              <w:spacing w:before="0" w:beforeAutospacing="0" w:after="0" w:afterAutospacing="0" w:line="240" w:lineRule="exact"/>
              <w:ind w:left="0" w:right="0" w:firstLine="0" w:firstLineChars="0"/>
              <w:jc w:val="center"/>
              <w:rPr>
                <w:rFonts w:hint="default" w:ascii="Times New Roman" w:hAnsi="Times New Roman" w:eastAsia="仿宋_GB2312" w:cs="Times New Roman"/>
                <w:color w:val="auto"/>
                <w:sz w:val="21"/>
                <w:szCs w:val="21"/>
                <w:u w:val="none"/>
              </w:rPr>
            </w:pPr>
          </w:p>
        </w:tc>
        <w:tc>
          <w:tcPr>
            <w:tcW w:w="675" w:type="pct"/>
            <w:vMerge w:val="continue"/>
            <w:shd w:val="clear" w:color="auto" w:fill="auto"/>
            <w:vAlign w:val="center"/>
          </w:tcPr>
          <w:p w14:paraId="3B7D0610">
            <w:pPr>
              <w:keepNext w:val="0"/>
              <w:keepLines w:val="0"/>
              <w:widowControl/>
              <w:suppressLineNumbers w:val="0"/>
              <w:wordWrap w:val="0"/>
              <w:spacing w:before="0" w:beforeAutospacing="0" w:after="0" w:afterAutospacing="0" w:line="240" w:lineRule="exact"/>
              <w:ind w:left="0" w:right="0" w:firstLine="0" w:firstLineChars="0"/>
              <w:jc w:val="center"/>
              <w:rPr>
                <w:rFonts w:hint="default" w:ascii="Times New Roman" w:hAnsi="Times New Roman" w:eastAsia="仿宋_GB2312" w:cs="Times New Roman"/>
                <w:color w:val="auto"/>
                <w:sz w:val="21"/>
                <w:szCs w:val="21"/>
                <w:u w:val="none"/>
              </w:rPr>
            </w:pPr>
          </w:p>
        </w:tc>
        <w:tc>
          <w:tcPr>
            <w:tcW w:w="1113" w:type="pct"/>
            <w:shd w:val="clear" w:color="auto" w:fill="auto"/>
            <w:vAlign w:val="center"/>
          </w:tcPr>
          <w:p w14:paraId="604E64F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县级文物保护单位</w:t>
            </w:r>
          </w:p>
        </w:tc>
        <w:tc>
          <w:tcPr>
            <w:tcW w:w="485" w:type="pct"/>
            <w:shd w:val="clear" w:color="auto" w:fill="auto"/>
            <w:vAlign w:val="center"/>
          </w:tcPr>
          <w:p w14:paraId="322810A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eastAsia" w:ascii="Times New Roman" w:hAnsi="Times New Roman" w:cs="Times New Roman"/>
                <w:color w:val="auto"/>
                <w:kern w:val="0"/>
                <w:sz w:val="21"/>
                <w:szCs w:val="21"/>
                <w:u w:val="none"/>
                <w:lang w:val="en-US" w:eastAsia="zh-CN"/>
              </w:rPr>
              <w:t>2</w:t>
            </w:r>
          </w:p>
        </w:tc>
        <w:tc>
          <w:tcPr>
            <w:tcW w:w="733" w:type="pct"/>
            <w:shd w:val="clear" w:color="auto" w:fill="auto"/>
            <w:vAlign w:val="center"/>
          </w:tcPr>
          <w:p w14:paraId="5E21A76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default" w:ascii="Times New Roman" w:hAnsi="Times New Roman" w:eastAsia="仿宋_GB2312" w:cs="Times New Roman"/>
                <w:color w:val="auto"/>
                <w:kern w:val="0"/>
                <w:sz w:val="21"/>
                <w:szCs w:val="21"/>
                <w:u w:val="none"/>
              </w:rPr>
              <w:t>≥</w:t>
            </w:r>
            <w:r>
              <w:rPr>
                <w:rFonts w:hint="eastAsia" w:ascii="Times New Roman" w:hAnsi="Times New Roman" w:cs="Times New Roman"/>
                <w:color w:val="auto"/>
                <w:kern w:val="0"/>
                <w:sz w:val="21"/>
                <w:szCs w:val="21"/>
                <w:u w:val="none"/>
                <w:lang w:val="en-US" w:eastAsia="zh-CN"/>
              </w:rPr>
              <w:t>2</w:t>
            </w:r>
          </w:p>
        </w:tc>
        <w:tc>
          <w:tcPr>
            <w:tcW w:w="750" w:type="pct"/>
            <w:shd w:val="clear" w:color="auto" w:fill="auto"/>
            <w:vAlign w:val="center"/>
          </w:tcPr>
          <w:p w14:paraId="7234A53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default" w:ascii="Times New Roman" w:hAnsi="Times New Roman" w:eastAsia="仿宋_GB2312" w:cs="Times New Roman"/>
                <w:color w:val="auto"/>
                <w:kern w:val="0"/>
                <w:sz w:val="21"/>
                <w:szCs w:val="21"/>
                <w:u w:val="none"/>
              </w:rPr>
              <w:t>≥</w:t>
            </w:r>
            <w:r>
              <w:rPr>
                <w:rFonts w:hint="eastAsia" w:ascii="Times New Roman" w:hAnsi="Times New Roman" w:cs="Times New Roman"/>
                <w:color w:val="auto"/>
                <w:kern w:val="0"/>
                <w:sz w:val="21"/>
                <w:szCs w:val="21"/>
                <w:u w:val="none"/>
                <w:lang w:val="en-US" w:eastAsia="zh-CN"/>
              </w:rPr>
              <w:t>2</w:t>
            </w:r>
          </w:p>
        </w:tc>
        <w:tc>
          <w:tcPr>
            <w:tcW w:w="490" w:type="pct"/>
            <w:shd w:val="clear" w:color="auto" w:fill="auto"/>
            <w:vAlign w:val="center"/>
          </w:tcPr>
          <w:p w14:paraId="69CFD29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预期性</w:t>
            </w:r>
          </w:p>
        </w:tc>
        <w:tc>
          <w:tcPr>
            <w:tcW w:w="508" w:type="pct"/>
            <w:shd w:val="clear" w:color="auto" w:fill="auto"/>
            <w:vAlign w:val="center"/>
          </w:tcPr>
          <w:p w14:paraId="47B875A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全域</w:t>
            </w:r>
          </w:p>
        </w:tc>
      </w:tr>
      <w:tr w14:paraId="47596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41" w:type="pct"/>
            <w:shd w:val="clear" w:color="auto" w:fill="auto"/>
            <w:vAlign w:val="center"/>
          </w:tcPr>
          <w:p w14:paraId="78F6CBF6">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default" w:ascii="Times New Roman" w:hAnsi="Times New Roman" w:eastAsia="仿宋_GB2312" w:cs="Times New Roman"/>
                <w:color w:val="auto"/>
                <w:sz w:val="21"/>
                <w:szCs w:val="21"/>
                <w:u w:val="none"/>
                <w:lang w:val="en-US" w:eastAsia="zh-CN"/>
              </w:rPr>
              <w:t>13</w:t>
            </w:r>
          </w:p>
        </w:tc>
        <w:tc>
          <w:tcPr>
            <w:tcW w:w="1789" w:type="pct"/>
            <w:gridSpan w:val="2"/>
            <w:shd w:val="clear" w:color="auto" w:fill="auto"/>
            <w:vAlign w:val="center"/>
          </w:tcPr>
          <w:p w14:paraId="5637D9F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default" w:ascii="Times New Roman" w:hAnsi="Times New Roman" w:eastAsia="仿宋_GB2312" w:cs="Times New Roman"/>
                <w:color w:val="auto"/>
                <w:kern w:val="0"/>
                <w:sz w:val="21"/>
                <w:szCs w:val="21"/>
                <w:u w:val="none"/>
              </w:rPr>
              <w:t>常住人口规模</w:t>
            </w:r>
            <w:r>
              <w:rPr>
                <w:rFonts w:hint="default" w:ascii="Times New Roman" w:hAnsi="Times New Roman" w:eastAsia="仿宋_GB2312" w:cs="Times New Roman"/>
                <w:color w:val="auto"/>
                <w:kern w:val="0"/>
                <w:sz w:val="21"/>
                <w:szCs w:val="21"/>
                <w:u w:val="none"/>
                <w:lang w:eastAsia="zh-CN"/>
              </w:rPr>
              <w:t>(</w:t>
            </w:r>
            <w:r>
              <w:rPr>
                <w:rFonts w:hint="default" w:ascii="Times New Roman" w:hAnsi="Times New Roman" w:eastAsia="仿宋_GB2312" w:cs="Times New Roman"/>
                <w:color w:val="auto"/>
                <w:kern w:val="0"/>
                <w:sz w:val="21"/>
                <w:szCs w:val="21"/>
                <w:u w:val="none"/>
                <w:lang w:val="en-US" w:eastAsia="zh-CN"/>
              </w:rPr>
              <w:t>万人</w:t>
            </w:r>
            <w:r>
              <w:rPr>
                <w:rFonts w:hint="eastAsia" w:ascii="Times New Roman" w:hAnsi="Times New Roman" w:cs="Times New Roman"/>
                <w:color w:val="auto"/>
                <w:kern w:val="0"/>
                <w:sz w:val="21"/>
                <w:szCs w:val="21"/>
                <w:u w:val="none"/>
                <w:lang w:val="en-US" w:eastAsia="zh-CN"/>
              </w:rPr>
              <w:t>)</w:t>
            </w:r>
          </w:p>
        </w:tc>
        <w:tc>
          <w:tcPr>
            <w:tcW w:w="485" w:type="pct"/>
            <w:shd w:val="clear" w:color="auto" w:fill="auto"/>
            <w:vAlign w:val="center"/>
          </w:tcPr>
          <w:p w14:paraId="566B13A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w:t>
            </w:r>
          </w:p>
        </w:tc>
        <w:tc>
          <w:tcPr>
            <w:tcW w:w="733" w:type="pct"/>
            <w:shd w:val="clear" w:color="auto" w:fill="auto"/>
            <w:vAlign w:val="center"/>
          </w:tcPr>
          <w:p w14:paraId="6540556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val="en-US" w:eastAsia="zh-CN"/>
              </w:rPr>
            </w:pPr>
            <w:r>
              <w:rPr>
                <w:rFonts w:hint="eastAsia" w:ascii="Times New Roman" w:hAnsi="Times New Roman" w:cs="Times New Roman"/>
                <w:color w:val="auto"/>
                <w:kern w:val="0"/>
                <w:sz w:val="21"/>
                <w:szCs w:val="21"/>
                <w:u w:val="none"/>
                <w:lang w:val="en-US" w:eastAsia="zh-CN"/>
              </w:rPr>
              <w:t>2.6</w:t>
            </w:r>
          </w:p>
        </w:tc>
        <w:tc>
          <w:tcPr>
            <w:tcW w:w="750" w:type="pct"/>
            <w:shd w:val="clear" w:color="auto" w:fill="auto"/>
            <w:vAlign w:val="center"/>
          </w:tcPr>
          <w:p w14:paraId="648D292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val="en-US" w:eastAsia="zh-CN"/>
              </w:rPr>
            </w:pPr>
            <w:r>
              <w:rPr>
                <w:rFonts w:hint="eastAsia" w:ascii="Times New Roman" w:hAnsi="Times New Roman" w:cs="Times New Roman"/>
                <w:color w:val="auto"/>
                <w:kern w:val="0"/>
                <w:sz w:val="21"/>
                <w:szCs w:val="21"/>
                <w:u w:val="none"/>
                <w:lang w:val="en-US" w:eastAsia="zh-CN"/>
              </w:rPr>
              <w:t>2.8</w:t>
            </w:r>
          </w:p>
        </w:tc>
        <w:tc>
          <w:tcPr>
            <w:tcW w:w="490" w:type="pct"/>
            <w:shd w:val="clear" w:color="auto" w:fill="auto"/>
            <w:vAlign w:val="center"/>
          </w:tcPr>
          <w:p w14:paraId="33A0503A">
            <w:pPr>
              <w:keepNext w:val="0"/>
              <w:keepLines w:val="0"/>
              <w:widowControl/>
              <w:suppressLineNumbers w:val="0"/>
              <w:wordWrap w:val="0"/>
              <w:adjustRightInd/>
              <w:snapToGrid/>
              <w:spacing w:before="0" w:beforeAutospacing="0" w:after="0" w:afterAutospacing="0" w:line="240" w:lineRule="exact"/>
              <w:ind w:left="0" w:right="0" w:firstLine="0" w:firstLineChars="0"/>
              <w:jc w:val="center"/>
              <w:rPr>
                <w:rFonts w:hint="default" w:ascii="Times New Roman" w:hAnsi="Times New Roman" w:eastAsia="仿宋_GB2312" w:cs="Times New Roman"/>
                <w:color w:val="auto"/>
                <w:kern w:val="0"/>
                <w:sz w:val="21"/>
                <w:szCs w:val="21"/>
                <w:u w:val="none"/>
              </w:rPr>
            </w:pPr>
          </w:p>
        </w:tc>
        <w:tc>
          <w:tcPr>
            <w:tcW w:w="508" w:type="pct"/>
            <w:shd w:val="clear" w:color="auto" w:fill="auto"/>
            <w:vAlign w:val="center"/>
          </w:tcPr>
          <w:p w14:paraId="05D1053A">
            <w:pPr>
              <w:keepNext w:val="0"/>
              <w:keepLines w:val="0"/>
              <w:widowControl/>
              <w:suppressLineNumbers w:val="0"/>
              <w:wordWrap w:val="0"/>
              <w:adjustRightInd/>
              <w:snapToGrid/>
              <w:spacing w:before="0" w:beforeAutospacing="0" w:after="0" w:afterAutospacing="0" w:line="240" w:lineRule="exact"/>
              <w:ind w:left="0" w:right="0" w:firstLine="0" w:firstLineChars="0"/>
              <w:jc w:val="center"/>
              <w:rPr>
                <w:rFonts w:hint="default" w:ascii="Times New Roman" w:hAnsi="Times New Roman" w:eastAsia="仿宋_GB2312" w:cs="Times New Roman"/>
                <w:color w:val="auto"/>
                <w:kern w:val="0"/>
                <w:sz w:val="21"/>
                <w:szCs w:val="21"/>
                <w:u w:val="none"/>
              </w:rPr>
            </w:pPr>
          </w:p>
        </w:tc>
      </w:tr>
      <w:tr w14:paraId="1E9C3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41" w:type="pct"/>
            <w:shd w:val="clear" w:color="auto" w:fill="auto"/>
            <w:vAlign w:val="center"/>
          </w:tcPr>
          <w:p w14:paraId="11677F93">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default" w:ascii="Times New Roman" w:hAnsi="Times New Roman" w:eastAsia="仿宋_GB2312" w:cs="Times New Roman"/>
                <w:color w:val="auto"/>
                <w:sz w:val="21"/>
                <w:szCs w:val="21"/>
                <w:u w:val="none"/>
                <w:lang w:val="en-US" w:eastAsia="zh-CN"/>
              </w:rPr>
              <w:t>14</w:t>
            </w:r>
          </w:p>
        </w:tc>
        <w:tc>
          <w:tcPr>
            <w:tcW w:w="1789" w:type="pct"/>
            <w:gridSpan w:val="2"/>
            <w:shd w:val="clear" w:color="auto" w:fill="auto"/>
            <w:vAlign w:val="center"/>
          </w:tcPr>
          <w:p w14:paraId="55666DB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default" w:ascii="Times New Roman" w:hAnsi="Times New Roman" w:eastAsia="仿宋_GB2312" w:cs="Times New Roman"/>
                <w:color w:val="auto"/>
                <w:kern w:val="0"/>
                <w:sz w:val="21"/>
                <w:szCs w:val="21"/>
                <w:u w:val="none"/>
              </w:rPr>
              <w:t>常住人口城镇化率</w:t>
            </w:r>
            <w:r>
              <w:rPr>
                <w:rFonts w:hint="default" w:ascii="Times New Roman" w:hAnsi="Times New Roman" w:eastAsia="仿宋_GB2312" w:cs="Times New Roman"/>
                <w:color w:val="auto"/>
                <w:kern w:val="0"/>
                <w:sz w:val="21"/>
                <w:szCs w:val="21"/>
                <w:u w:val="none"/>
                <w:lang w:eastAsia="zh-CN"/>
              </w:rPr>
              <w:t>(</w:t>
            </w:r>
            <w:r>
              <w:rPr>
                <w:rFonts w:hint="default" w:ascii="Times New Roman" w:hAnsi="Times New Roman" w:eastAsia="仿宋_GB2312" w:cs="Times New Roman"/>
                <w:color w:val="auto"/>
                <w:kern w:val="0"/>
                <w:sz w:val="21"/>
                <w:szCs w:val="21"/>
                <w:u w:val="none"/>
                <w:lang w:val="en-US" w:eastAsia="zh-CN"/>
              </w:rPr>
              <w:t>%</w:t>
            </w:r>
            <w:r>
              <w:rPr>
                <w:rFonts w:hint="eastAsia" w:ascii="Times New Roman" w:hAnsi="Times New Roman" w:cs="Times New Roman"/>
                <w:color w:val="auto"/>
                <w:kern w:val="0"/>
                <w:sz w:val="21"/>
                <w:szCs w:val="21"/>
                <w:u w:val="none"/>
                <w:lang w:val="en-US" w:eastAsia="zh-CN"/>
              </w:rPr>
              <w:t>)</w:t>
            </w:r>
          </w:p>
        </w:tc>
        <w:tc>
          <w:tcPr>
            <w:tcW w:w="485" w:type="pct"/>
            <w:shd w:val="clear" w:color="auto" w:fill="auto"/>
            <w:vAlign w:val="center"/>
          </w:tcPr>
          <w:p w14:paraId="62D6A2F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w:t>
            </w:r>
          </w:p>
        </w:tc>
        <w:tc>
          <w:tcPr>
            <w:tcW w:w="733" w:type="pct"/>
            <w:shd w:val="clear" w:color="auto" w:fill="auto"/>
            <w:vAlign w:val="center"/>
          </w:tcPr>
          <w:p w14:paraId="44DEEA8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val="en-US" w:eastAsia="zh-CN"/>
              </w:rPr>
            </w:pPr>
            <w:r>
              <w:rPr>
                <w:rFonts w:hint="eastAsia" w:ascii="Times New Roman" w:hAnsi="Times New Roman" w:cs="Times New Roman"/>
                <w:color w:val="auto"/>
                <w:kern w:val="0"/>
                <w:sz w:val="21"/>
                <w:szCs w:val="21"/>
                <w:u w:val="none"/>
                <w:lang w:val="en-US" w:eastAsia="zh-CN"/>
              </w:rPr>
              <w:t>27.31</w:t>
            </w:r>
          </w:p>
        </w:tc>
        <w:tc>
          <w:tcPr>
            <w:tcW w:w="750" w:type="pct"/>
            <w:shd w:val="clear" w:color="auto" w:fill="auto"/>
            <w:vAlign w:val="center"/>
          </w:tcPr>
          <w:p w14:paraId="32FDEFD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val="en-US" w:eastAsia="zh-CN"/>
              </w:rPr>
            </w:pPr>
            <w:r>
              <w:rPr>
                <w:rFonts w:hint="eastAsia" w:ascii="Times New Roman" w:hAnsi="Times New Roman" w:cs="Times New Roman"/>
                <w:color w:val="auto"/>
                <w:kern w:val="0"/>
                <w:sz w:val="21"/>
                <w:szCs w:val="21"/>
                <w:u w:val="none"/>
                <w:lang w:val="en-US" w:eastAsia="zh-CN"/>
              </w:rPr>
              <w:t>40</w:t>
            </w:r>
          </w:p>
        </w:tc>
        <w:tc>
          <w:tcPr>
            <w:tcW w:w="490" w:type="pct"/>
            <w:shd w:val="clear" w:color="auto" w:fill="auto"/>
            <w:vAlign w:val="center"/>
          </w:tcPr>
          <w:p w14:paraId="02E1A53F">
            <w:pPr>
              <w:keepNext w:val="0"/>
              <w:keepLines w:val="0"/>
              <w:widowControl/>
              <w:suppressLineNumbers w:val="0"/>
              <w:wordWrap w:val="0"/>
              <w:adjustRightInd/>
              <w:snapToGrid/>
              <w:spacing w:before="0" w:beforeAutospacing="0" w:after="0" w:afterAutospacing="0" w:line="240" w:lineRule="exact"/>
              <w:ind w:left="0" w:right="0" w:firstLine="0" w:firstLineChars="0"/>
              <w:jc w:val="center"/>
              <w:rPr>
                <w:rFonts w:hint="default" w:ascii="Times New Roman" w:hAnsi="Times New Roman" w:eastAsia="仿宋_GB2312" w:cs="Times New Roman"/>
                <w:color w:val="auto"/>
                <w:kern w:val="0"/>
                <w:sz w:val="21"/>
                <w:szCs w:val="21"/>
                <w:u w:val="none"/>
              </w:rPr>
            </w:pPr>
          </w:p>
        </w:tc>
        <w:tc>
          <w:tcPr>
            <w:tcW w:w="508" w:type="pct"/>
            <w:shd w:val="clear" w:color="auto" w:fill="auto"/>
            <w:vAlign w:val="center"/>
          </w:tcPr>
          <w:p w14:paraId="7F73031B">
            <w:pPr>
              <w:keepNext w:val="0"/>
              <w:keepLines w:val="0"/>
              <w:widowControl/>
              <w:suppressLineNumbers w:val="0"/>
              <w:wordWrap w:val="0"/>
              <w:adjustRightInd/>
              <w:snapToGrid/>
              <w:spacing w:before="0" w:beforeAutospacing="0" w:after="0" w:afterAutospacing="0" w:line="240" w:lineRule="exact"/>
              <w:ind w:left="0" w:right="0" w:firstLine="0" w:firstLineChars="0"/>
              <w:jc w:val="center"/>
              <w:rPr>
                <w:rFonts w:hint="default" w:ascii="Times New Roman" w:hAnsi="Times New Roman" w:eastAsia="仿宋_GB2312" w:cs="Times New Roman"/>
                <w:color w:val="auto"/>
                <w:kern w:val="0"/>
                <w:sz w:val="21"/>
                <w:szCs w:val="21"/>
                <w:u w:val="none"/>
              </w:rPr>
            </w:pPr>
          </w:p>
        </w:tc>
      </w:tr>
      <w:tr w14:paraId="164C6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5000" w:type="pct"/>
            <w:gridSpan w:val="8"/>
            <w:shd w:val="clear" w:color="auto" w:fill="auto"/>
            <w:vAlign w:val="center"/>
          </w:tcPr>
          <w:p w14:paraId="2F89FD8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二、空间结构与效率</w:t>
            </w:r>
          </w:p>
        </w:tc>
      </w:tr>
      <w:tr w14:paraId="0A6C5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41" w:type="pct"/>
            <w:shd w:val="clear" w:color="auto" w:fill="auto"/>
            <w:vAlign w:val="center"/>
          </w:tcPr>
          <w:p w14:paraId="787EDA2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default" w:ascii="Times New Roman" w:hAnsi="Times New Roman" w:eastAsia="仿宋_GB2312" w:cs="Times New Roman"/>
                <w:color w:val="auto"/>
                <w:kern w:val="0"/>
                <w:sz w:val="21"/>
                <w:szCs w:val="21"/>
                <w:u w:val="none"/>
              </w:rPr>
              <w:t>1</w:t>
            </w:r>
            <w:r>
              <w:rPr>
                <w:rFonts w:hint="default" w:ascii="Times New Roman" w:hAnsi="Times New Roman" w:eastAsia="仿宋_GB2312" w:cs="Times New Roman"/>
                <w:color w:val="auto"/>
                <w:kern w:val="0"/>
                <w:sz w:val="21"/>
                <w:szCs w:val="21"/>
                <w:u w:val="none"/>
                <w:lang w:val="en-US" w:eastAsia="zh-CN"/>
              </w:rPr>
              <w:t>5</w:t>
            </w:r>
          </w:p>
        </w:tc>
        <w:tc>
          <w:tcPr>
            <w:tcW w:w="1789" w:type="pct"/>
            <w:gridSpan w:val="2"/>
            <w:shd w:val="clear" w:color="auto" w:fill="auto"/>
            <w:vAlign w:val="center"/>
          </w:tcPr>
          <w:p w14:paraId="6F6D943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default" w:ascii="Times New Roman" w:hAnsi="Times New Roman" w:eastAsia="仿宋_GB2312" w:cs="Times New Roman"/>
                <w:color w:val="auto"/>
                <w:kern w:val="0"/>
                <w:sz w:val="21"/>
                <w:szCs w:val="21"/>
                <w:u w:val="none"/>
              </w:rPr>
              <w:t>人均城镇建设用地面积</w:t>
            </w:r>
            <w:r>
              <w:rPr>
                <w:rFonts w:hint="default" w:ascii="Times New Roman" w:hAnsi="Times New Roman" w:eastAsia="仿宋_GB2312" w:cs="Times New Roman"/>
                <w:color w:val="auto"/>
                <w:kern w:val="0"/>
                <w:sz w:val="21"/>
                <w:szCs w:val="21"/>
                <w:u w:val="none"/>
                <w:lang w:eastAsia="zh-CN"/>
              </w:rPr>
              <w:t>(</w:t>
            </w:r>
            <w:r>
              <w:rPr>
                <w:rFonts w:hint="default" w:ascii="Times New Roman" w:hAnsi="Times New Roman" w:eastAsia="仿宋_GB2312" w:cs="Times New Roman"/>
                <w:color w:val="auto"/>
                <w:kern w:val="0"/>
                <w:sz w:val="21"/>
                <w:szCs w:val="21"/>
                <w:u w:val="none"/>
              </w:rPr>
              <w:t>平方米</w:t>
            </w:r>
            <w:r>
              <w:rPr>
                <w:rFonts w:hint="eastAsia" w:ascii="Times New Roman" w:hAnsi="Times New Roman" w:cs="Times New Roman"/>
                <w:color w:val="auto"/>
                <w:kern w:val="0"/>
                <w:sz w:val="21"/>
                <w:szCs w:val="21"/>
                <w:u w:val="none"/>
                <w:lang w:eastAsia="zh-CN"/>
              </w:rPr>
              <w:t>)</w:t>
            </w:r>
          </w:p>
        </w:tc>
        <w:tc>
          <w:tcPr>
            <w:tcW w:w="485" w:type="pct"/>
            <w:shd w:val="clear" w:color="auto" w:fill="auto"/>
            <w:vAlign w:val="center"/>
          </w:tcPr>
          <w:p w14:paraId="56928C8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val="en-US" w:eastAsia="zh-CN"/>
              </w:rPr>
            </w:pPr>
            <w:r>
              <w:rPr>
                <w:rFonts w:hint="default" w:ascii="Times New Roman" w:hAnsi="Times New Roman" w:eastAsia="仿宋_GB2312" w:cs="Times New Roman"/>
                <w:color w:val="auto"/>
                <w:kern w:val="0"/>
                <w:sz w:val="21"/>
                <w:szCs w:val="21"/>
                <w:u w:val="none"/>
                <w:lang w:val="en-US" w:eastAsia="zh-CN"/>
              </w:rPr>
              <w:t>140</w:t>
            </w:r>
          </w:p>
        </w:tc>
        <w:tc>
          <w:tcPr>
            <w:tcW w:w="733" w:type="pct"/>
            <w:shd w:val="clear" w:color="auto" w:fill="auto"/>
            <w:vAlign w:val="center"/>
          </w:tcPr>
          <w:p w14:paraId="7EE53BC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val="en-US" w:eastAsia="zh-CN"/>
              </w:rPr>
            </w:pPr>
            <w:r>
              <w:rPr>
                <w:rFonts w:hint="default" w:ascii="Times New Roman" w:hAnsi="Times New Roman" w:eastAsia="仿宋_GB2312" w:cs="Times New Roman"/>
                <w:color w:val="auto"/>
                <w:kern w:val="0"/>
                <w:sz w:val="21"/>
                <w:szCs w:val="21"/>
                <w:u w:val="none"/>
              </w:rPr>
              <w:t>≤</w:t>
            </w:r>
            <w:r>
              <w:rPr>
                <w:rFonts w:hint="default" w:ascii="Times New Roman" w:hAnsi="Times New Roman" w:eastAsia="仿宋_GB2312" w:cs="Times New Roman"/>
                <w:color w:val="auto"/>
                <w:kern w:val="0"/>
                <w:sz w:val="21"/>
                <w:szCs w:val="21"/>
                <w:u w:val="none"/>
                <w:lang w:val="en-US" w:eastAsia="zh-CN"/>
              </w:rPr>
              <w:t>140</w:t>
            </w:r>
          </w:p>
        </w:tc>
        <w:tc>
          <w:tcPr>
            <w:tcW w:w="750" w:type="pct"/>
            <w:shd w:val="clear" w:color="auto" w:fill="auto"/>
            <w:vAlign w:val="center"/>
          </w:tcPr>
          <w:p w14:paraId="5B3FAF5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val="en-US" w:eastAsia="zh-CN"/>
              </w:rPr>
            </w:pPr>
            <w:r>
              <w:rPr>
                <w:rFonts w:hint="default" w:ascii="Times New Roman" w:hAnsi="Times New Roman" w:eastAsia="仿宋_GB2312" w:cs="Times New Roman"/>
                <w:color w:val="auto"/>
                <w:kern w:val="0"/>
                <w:sz w:val="21"/>
                <w:szCs w:val="21"/>
                <w:u w:val="none"/>
              </w:rPr>
              <w:t>≤</w:t>
            </w:r>
            <w:r>
              <w:rPr>
                <w:rFonts w:hint="default" w:ascii="Times New Roman" w:hAnsi="Times New Roman" w:eastAsia="仿宋_GB2312" w:cs="Times New Roman"/>
                <w:color w:val="auto"/>
                <w:kern w:val="0"/>
                <w:sz w:val="21"/>
                <w:szCs w:val="21"/>
                <w:u w:val="none"/>
                <w:lang w:val="en-US" w:eastAsia="zh-CN"/>
              </w:rPr>
              <w:t>140</w:t>
            </w:r>
          </w:p>
        </w:tc>
        <w:tc>
          <w:tcPr>
            <w:tcW w:w="490" w:type="pct"/>
            <w:shd w:val="clear" w:color="auto" w:fill="auto"/>
            <w:vAlign w:val="center"/>
          </w:tcPr>
          <w:p w14:paraId="6F9355A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约束性</w:t>
            </w:r>
          </w:p>
        </w:tc>
        <w:tc>
          <w:tcPr>
            <w:tcW w:w="508" w:type="pct"/>
            <w:shd w:val="clear" w:color="auto" w:fill="auto"/>
            <w:vAlign w:val="center"/>
          </w:tcPr>
          <w:p w14:paraId="12377FB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全域</w:t>
            </w:r>
          </w:p>
        </w:tc>
      </w:tr>
      <w:tr w14:paraId="5F982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41" w:type="pct"/>
            <w:shd w:val="clear" w:color="auto" w:fill="auto"/>
            <w:vAlign w:val="center"/>
          </w:tcPr>
          <w:p w14:paraId="3E3A444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default" w:ascii="Times New Roman" w:hAnsi="Times New Roman" w:eastAsia="仿宋_GB2312" w:cs="Times New Roman"/>
                <w:color w:val="auto"/>
                <w:kern w:val="0"/>
                <w:sz w:val="21"/>
                <w:szCs w:val="21"/>
                <w:u w:val="none"/>
              </w:rPr>
              <w:t>1</w:t>
            </w:r>
            <w:r>
              <w:rPr>
                <w:rFonts w:hint="default" w:ascii="Times New Roman" w:hAnsi="Times New Roman" w:eastAsia="仿宋_GB2312" w:cs="Times New Roman"/>
                <w:color w:val="auto"/>
                <w:kern w:val="0"/>
                <w:sz w:val="21"/>
                <w:szCs w:val="21"/>
                <w:u w:val="none"/>
                <w:lang w:val="en-US" w:eastAsia="zh-CN"/>
              </w:rPr>
              <w:t>6</w:t>
            </w:r>
          </w:p>
        </w:tc>
        <w:tc>
          <w:tcPr>
            <w:tcW w:w="1789" w:type="pct"/>
            <w:gridSpan w:val="2"/>
            <w:shd w:val="clear" w:color="auto" w:fill="auto"/>
            <w:vAlign w:val="center"/>
          </w:tcPr>
          <w:p w14:paraId="4C56716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default" w:ascii="Times New Roman" w:hAnsi="Times New Roman" w:eastAsia="仿宋_GB2312" w:cs="Times New Roman"/>
                <w:color w:val="auto"/>
                <w:kern w:val="0"/>
                <w:sz w:val="21"/>
                <w:szCs w:val="21"/>
                <w:u w:val="none"/>
              </w:rPr>
              <w:t>人均应急避难场所面积</w:t>
            </w:r>
            <w:r>
              <w:rPr>
                <w:rFonts w:hint="default" w:ascii="Times New Roman" w:hAnsi="Times New Roman" w:eastAsia="仿宋_GB2312" w:cs="Times New Roman"/>
                <w:color w:val="auto"/>
                <w:kern w:val="0"/>
                <w:sz w:val="21"/>
                <w:szCs w:val="21"/>
                <w:u w:val="none"/>
                <w:lang w:eastAsia="zh-CN"/>
              </w:rPr>
              <w:t>(</w:t>
            </w:r>
            <w:r>
              <w:rPr>
                <w:rFonts w:hint="default" w:ascii="Times New Roman" w:hAnsi="Times New Roman" w:eastAsia="仿宋_GB2312" w:cs="Times New Roman"/>
                <w:color w:val="auto"/>
                <w:kern w:val="0"/>
                <w:sz w:val="21"/>
                <w:szCs w:val="21"/>
                <w:u w:val="none"/>
              </w:rPr>
              <w:t>平方米</w:t>
            </w:r>
            <w:r>
              <w:rPr>
                <w:rFonts w:hint="eastAsia" w:ascii="Times New Roman" w:hAnsi="Times New Roman" w:cs="Times New Roman"/>
                <w:color w:val="auto"/>
                <w:kern w:val="0"/>
                <w:sz w:val="21"/>
                <w:szCs w:val="21"/>
                <w:u w:val="none"/>
                <w:lang w:eastAsia="zh-CN"/>
              </w:rPr>
              <w:t>)</w:t>
            </w:r>
          </w:p>
        </w:tc>
        <w:tc>
          <w:tcPr>
            <w:tcW w:w="485" w:type="pct"/>
            <w:shd w:val="clear" w:color="auto" w:fill="auto"/>
            <w:vAlign w:val="center"/>
          </w:tcPr>
          <w:p w14:paraId="7497319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0.55</w:t>
            </w:r>
          </w:p>
        </w:tc>
        <w:tc>
          <w:tcPr>
            <w:tcW w:w="733" w:type="pct"/>
            <w:shd w:val="clear" w:color="auto" w:fill="auto"/>
            <w:vAlign w:val="center"/>
          </w:tcPr>
          <w:p w14:paraId="2F0724F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≥1.5</w:t>
            </w:r>
          </w:p>
        </w:tc>
        <w:tc>
          <w:tcPr>
            <w:tcW w:w="750" w:type="pct"/>
            <w:shd w:val="clear" w:color="auto" w:fill="auto"/>
            <w:vAlign w:val="center"/>
          </w:tcPr>
          <w:p w14:paraId="487F4D0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≥1.5</w:t>
            </w:r>
          </w:p>
        </w:tc>
        <w:tc>
          <w:tcPr>
            <w:tcW w:w="490" w:type="pct"/>
            <w:shd w:val="clear" w:color="auto" w:fill="auto"/>
            <w:vAlign w:val="center"/>
          </w:tcPr>
          <w:p w14:paraId="7E33A47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预期性</w:t>
            </w:r>
          </w:p>
        </w:tc>
        <w:tc>
          <w:tcPr>
            <w:tcW w:w="508" w:type="pct"/>
            <w:shd w:val="clear" w:color="auto" w:fill="auto"/>
            <w:vAlign w:val="center"/>
          </w:tcPr>
          <w:p w14:paraId="09B2040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Times New Roman" w:hAnsi="Times New Roman" w:eastAsia="仿宋_GB2312" w:cs="Times New Roman"/>
                <w:color w:val="auto"/>
                <w:kern w:val="0"/>
                <w:sz w:val="21"/>
                <w:szCs w:val="21"/>
                <w:u w:val="none"/>
                <w:lang w:eastAsia="zh-CN"/>
              </w:rPr>
            </w:pPr>
            <w:r>
              <w:rPr>
                <w:rFonts w:hint="eastAsia" w:ascii="Times New Roman" w:hAnsi="Times New Roman" w:cs="Times New Roman"/>
                <w:color w:val="auto"/>
                <w:kern w:val="0"/>
                <w:sz w:val="21"/>
                <w:szCs w:val="21"/>
                <w:u w:val="none"/>
                <w:lang w:eastAsia="zh-CN"/>
              </w:rPr>
              <w:t>街道中心区</w:t>
            </w:r>
          </w:p>
        </w:tc>
      </w:tr>
      <w:tr w14:paraId="1832E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41" w:type="pct"/>
            <w:shd w:val="clear" w:color="auto" w:fill="auto"/>
            <w:vAlign w:val="center"/>
          </w:tcPr>
          <w:p w14:paraId="130DC42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default" w:ascii="Times New Roman" w:hAnsi="Times New Roman" w:eastAsia="仿宋_GB2312" w:cs="Times New Roman"/>
                <w:color w:val="auto"/>
                <w:kern w:val="0"/>
                <w:sz w:val="21"/>
                <w:szCs w:val="21"/>
                <w:u w:val="none"/>
              </w:rPr>
              <w:t>1</w:t>
            </w:r>
            <w:r>
              <w:rPr>
                <w:rFonts w:hint="default" w:ascii="Times New Roman" w:hAnsi="Times New Roman" w:eastAsia="仿宋_GB2312" w:cs="Times New Roman"/>
                <w:color w:val="auto"/>
                <w:kern w:val="0"/>
                <w:sz w:val="21"/>
                <w:szCs w:val="21"/>
                <w:u w:val="none"/>
                <w:lang w:val="en-US" w:eastAsia="zh-CN"/>
              </w:rPr>
              <w:t>7</w:t>
            </w:r>
          </w:p>
        </w:tc>
        <w:tc>
          <w:tcPr>
            <w:tcW w:w="1789" w:type="pct"/>
            <w:gridSpan w:val="2"/>
            <w:shd w:val="clear" w:color="auto" w:fill="auto"/>
            <w:vAlign w:val="center"/>
          </w:tcPr>
          <w:p w14:paraId="4341E3E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default" w:ascii="Times New Roman" w:hAnsi="Times New Roman" w:eastAsia="仿宋_GB2312" w:cs="Times New Roman"/>
                <w:color w:val="auto"/>
                <w:kern w:val="0"/>
                <w:sz w:val="21"/>
                <w:szCs w:val="21"/>
                <w:u w:val="none"/>
              </w:rPr>
              <w:t>道路网密度</w:t>
            </w:r>
            <w:r>
              <w:rPr>
                <w:rFonts w:hint="default" w:ascii="Times New Roman" w:hAnsi="Times New Roman" w:eastAsia="仿宋_GB2312" w:cs="Times New Roman"/>
                <w:color w:val="auto"/>
                <w:kern w:val="0"/>
                <w:sz w:val="21"/>
                <w:szCs w:val="21"/>
                <w:u w:val="none"/>
                <w:lang w:eastAsia="zh-CN"/>
              </w:rPr>
              <w:t>(</w:t>
            </w:r>
            <w:r>
              <w:rPr>
                <w:rFonts w:hint="default" w:ascii="Times New Roman" w:hAnsi="Times New Roman" w:eastAsia="仿宋_GB2312" w:cs="Times New Roman"/>
                <w:color w:val="auto"/>
                <w:kern w:val="0"/>
                <w:sz w:val="21"/>
                <w:szCs w:val="21"/>
                <w:u w:val="none"/>
              </w:rPr>
              <w:t>千米/平方千米</w:t>
            </w:r>
            <w:r>
              <w:rPr>
                <w:rFonts w:hint="eastAsia" w:ascii="Times New Roman" w:hAnsi="Times New Roman" w:cs="Times New Roman"/>
                <w:color w:val="auto"/>
                <w:kern w:val="0"/>
                <w:sz w:val="21"/>
                <w:szCs w:val="21"/>
                <w:u w:val="none"/>
                <w:lang w:eastAsia="zh-CN"/>
              </w:rPr>
              <w:t>)</w:t>
            </w:r>
          </w:p>
        </w:tc>
        <w:tc>
          <w:tcPr>
            <w:tcW w:w="485" w:type="pct"/>
            <w:shd w:val="clear" w:color="auto" w:fill="auto"/>
            <w:vAlign w:val="center"/>
          </w:tcPr>
          <w:p w14:paraId="3250834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default" w:ascii="Times New Roman" w:hAnsi="Times New Roman" w:eastAsia="仿宋_GB2312" w:cs="Times New Roman"/>
                <w:color w:val="auto"/>
                <w:kern w:val="0"/>
                <w:sz w:val="21"/>
                <w:szCs w:val="21"/>
                <w:u w:val="none"/>
              </w:rPr>
              <w:t>≥</w:t>
            </w:r>
            <w:r>
              <w:rPr>
                <w:rFonts w:hint="default" w:ascii="Times New Roman" w:hAnsi="Times New Roman" w:eastAsia="仿宋_GB2312" w:cs="Times New Roman"/>
                <w:color w:val="auto"/>
                <w:kern w:val="0"/>
                <w:sz w:val="21"/>
                <w:szCs w:val="21"/>
                <w:u w:val="none"/>
                <w:lang w:val="en-US" w:eastAsia="zh-CN"/>
              </w:rPr>
              <w:t>8</w:t>
            </w:r>
          </w:p>
        </w:tc>
        <w:tc>
          <w:tcPr>
            <w:tcW w:w="733" w:type="pct"/>
            <w:shd w:val="clear" w:color="auto" w:fill="auto"/>
            <w:vAlign w:val="center"/>
          </w:tcPr>
          <w:p w14:paraId="279D8C9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val="en-US" w:eastAsia="zh-CN"/>
              </w:rPr>
            </w:pPr>
            <w:r>
              <w:rPr>
                <w:rFonts w:hint="default" w:ascii="Times New Roman" w:hAnsi="Times New Roman" w:eastAsia="仿宋_GB2312" w:cs="Times New Roman"/>
                <w:color w:val="auto"/>
                <w:kern w:val="0"/>
                <w:sz w:val="21"/>
                <w:szCs w:val="21"/>
                <w:u w:val="none"/>
              </w:rPr>
              <w:t>≥</w:t>
            </w:r>
            <w:r>
              <w:rPr>
                <w:rFonts w:hint="default" w:ascii="Times New Roman" w:hAnsi="Times New Roman" w:eastAsia="仿宋_GB2312" w:cs="Times New Roman"/>
                <w:color w:val="auto"/>
                <w:kern w:val="0"/>
                <w:sz w:val="21"/>
                <w:szCs w:val="21"/>
                <w:u w:val="none"/>
                <w:lang w:val="en-US" w:eastAsia="zh-CN"/>
              </w:rPr>
              <w:t>8</w:t>
            </w:r>
          </w:p>
        </w:tc>
        <w:tc>
          <w:tcPr>
            <w:tcW w:w="750" w:type="pct"/>
            <w:shd w:val="clear" w:color="auto" w:fill="auto"/>
            <w:vAlign w:val="center"/>
          </w:tcPr>
          <w:p w14:paraId="50837DB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val="en-US" w:eastAsia="zh-CN"/>
              </w:rPr>
            </w:pPr>
            <w:r>
              <w:rPr>
                <w:rFonts w:hint="default" w:ascii="Times New Roman" w:hAnsi="Times New Roman" w:eastAsia="仿宋_GB2312" w:cs="Times New Roman"/>
                <w:color w:val="auto"/>
                <w:kern w:val="0"/>
                <w:sz w:val="21"/>
                <w:szCs w:val="21"/>
                <w:u w:val="none"/>
              </w:rPr>
              <w:t>≥</w:t>
            </w:r>
            <w:r>
              <w:rPr>
                <w:rFonts w:hint="default" w:ascii="Times New Roman" w:hAnsi="Times New Roman" w:eastAsia="仿宋_GB2312" w:cs="Times New Roman"/>
                <w:color w:val="auto"/>
                <w:kern w:val="0"/>
                <w:sz w:val="21"/>
                <w:szCs w:val="21"/>
                <w:u w:val="none"/>
                <w:lang w:val="en-US" w:eastAsia="zh-CN"/>
              </w:rPr>
              <w:t>8</w:t>
            </w:r>
          </w:p>
        </w:tc>
        <w:tc>
          <w:tcPr>
            <w:tcW w:w="490" w:type="pct"/>
            <w:shd w:val="clear" w:color="auto" w:fill="auto"/>
            <w:vAlign w:val="center"/>
          </w:tcPr>
          <w:p w14:paraId="4896074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约束性</w:t>
            </w:r>
          </w:p>
        </w:tc>
        <w:tc>
          <w:tcPr>
            <w:tcW w:w="508" w:type="pct"/>
            <w:shd w:val="clear" w:color="auto" w:fill="auto"/>
            <w:vAlign w:val="center"/>
          </w:tcPr>
          <w:p w14:paraId="52752BB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Times New Roman" w:hAnsi="Times New Roman" w:eastAsia="仿宋_GB2312" w:cs="Times New Roman"/>
                <w:color w:val="auto"/>
                <w:kern w:val="0"/>
                <w:sz w:val="21"/>
                <w:szCs w:val="21"/>
                <w:u w:val="none"/>
                <w:lang w:eastAsia="zh-CN"/>
              </w:rPr>
            </w:pPr>
            <w:r>
              <w:rPr>
                <w:rFonts w:hint="eastAsia" w:ascii="Times New Roman" w:hAnsi="Times New Roman" w:cs="Times New Roman"/>
                <w:color w:val="auto"/>
                <w:kern w:val="0"/>
                <w:sz w:val="21"/>
                <w:szCs w:val="21"/>
                <w:u w:val="none"/>
                <w:lang w:eastAsia="zh-CN"/>
              </w:rPr>
              <w:t>街道中心区</w:t>
            </w:r>
          </w:p>
        </w:tc>
      </w:tr>
      <w:tr w14:paraId="25E06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41" w:type="pct"/>
            <w:shd w:val="clear" w:color="auto" w:fill="auto"/>
            <w:vAlign w:val="center"/>
          </w:tcPr>
          <w:p w14:paraId="0AEFA91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default" w:ascii="Times New Roman" w:hAnsi="Times New Roman" w:eastAsia="仿宋_GB2312" w:cs="Times New Roman"/>
                <w:color w:val="auto"/>
                <w:kern w:val="0"/>
                <w:sz w:val="21"/>
                <w:szCs w:val="21"/>
                <w:u w:val="none"/>
              </w:rPr>
              <w:t>1</w:t>
            </w:r>
            <w:r>
              <w:rPr>
                <w:rFonts w:hint="default" w:ascii="Times New Roman" w:hAnsi="Times New Roman" w:eastAsia="仿宋_GB2312" w:cs="Times New Roman"/>
                <w:color w:val="auto"/>
                <w:kern w:val="0"/>
                <w:sz w:val="21"/>
                <w:szCs w:val="21"/>
                <w:u w:val="none"/>
                <w:lang w:val="en-US" w:eastAsia="zh-CN"/>
              </w:rPr>
              <w:t>8</w:t>
            </w:r>
          </w:p>
        </w:tc>
        <w:tc>
          <w:tcPr>
            <w:tcW w:w="1789" w:type="pct"/>
            <w:gridSpan w:val="2"/>
            <w:shd w:val="clear" w:color="auto" w:fill="auto"/>
            <w:vAlign w:val="center"/>
          </w:tcPr>
          <w:p w14:paraId="575D6AB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每万元地区生产总值</w:t>
            </w:r>
          </w:p>
          <w:p w14:paraId="0B35705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default" w:ascii="Times New Roman" w:hAnsi="Times New Roman" w:eastAsia="仿宋_GB2312" w:cs="Times New Roman"/>
                <w:color w:val="auto"/>
                <w:kern w:val="0"/>
                <w:sz w:val="21"/>
                <w:szCs w:val="21"/>
                <w:u w:val="none"/>
              </w:rPr>
              <w:t>用水下降</w:t>
            </w:r>
            <w:r>
              <w:rPr>
                <w:rFonts w:hint="default" w:ascii="Times New Roman" w:hAnsi="Times New Roman" w:eastAsia="仿宋_GB2312" w:cs="Times New Roman"/>
                <w:color w:val="auto"/>
                <w:kern w:val="0"/>
                <w:sz w:val="21"/>
                <w:szCs w:val="21"/>
                <w:u w:val="none"/>
                <w:lang w:eastAsia="zh-CN"/>
              </w:rPr>
              <w:t>(</w:t>
            </w:r>
            <w:r>
              <w:rPr>
                <w:rFonts w:hint="default" w:ascii="Times New Roman" w:hAnsi="Times New Roman" w:eastAsia="仿宋_GB2312" w:cs="Times New Roman"/>
                <w:color w:val="auto"/>
                <w:kern w:val="0"/>
                <w:sz w:val="21"/>
                <w:szCs w:val="21"/>
                <w:u w:val="none"/>
              </w:rPr>
              <w:t>%</w:t>
            </w:r>
            <w:r>
              <w:rPr>
                <w:rFonts w:hint="eastAsia" w:ascii="Times New Roman" w:hAnsi="Times New Roman" w:cs="Times New Roman"/>
                <w:color w:val="auto"/>
                <w:kern w:val="0"/>
                <w:sz w:val="21"/>
                <w:szCs w:val="21"/>
                <w:u w:val="none"/>
                <w:lang w:eastAsia="zh-CN"/>
              </w:rPr>
              <w:t>)</w:t>
            </w:r>
          </w:p>
        </w:tc>
        <w:tc>
          <w:tcPr>
            <w:tcW w:w="485" w:type="pct"/>
            <w:shd w:val="clear" w:color="auto" w:fill="auto"/>
            <w:vAlign w:val="center"/>
          </w:tcPr>
          <w:p w14:paraId="789BBAF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w:t>
            </w:r>
          </w:p>
        </w:tc>
        <w:tc>
          <w:tcPr>
            <w:tcW w:w="733" w:type="pct"/>
            <w:shd w:val="clear" w:color="auto" w:fill="auto"/>
            <w:vAlign w:val="center"/>
          </w:tcPr>
          <w:p w14:paraId="471FC7E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default" w:ascii="Times New Roman" w:hAnsi="Times New Roman" w:eastAsia="仿宋_GB2312" w:cs="Times New Roman"/>
                <w:color w:val="auto"/>
                <w:kern w:val="0"/>
                <w:sz w:val="21"/>
                <w:szCs w:val="21"/>
                <w:u w:val="none"/>
                <w:lang w:eastAsia="zh-CN"/>
              </w:rPr>
              <w:t>依据上级下达任务确定</w:t>
            </w:r>
          </w:p>
        </w:tc>
        <w:tc>
          <w:tcPr>
            <w:tcW w:w="750" w:type="pct"/>
            <w:shd w:val="clear" w:color="auto" w:fill="auto"/>
            <w:vAlign w:val="center"/>
          </w:tcPr>
          <w:p w14:paraId="3EE3B74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default" w:ascii="Times New Roman" w:hAnsi="Times New Roman" w:eastAsia="仿宋_GB2312" w:cs="Times New Roman"/>
                <w:color w:val="auto"/>
                <w:kern w:val="0"/>
                <w:sz w:val="21"/>
                <w:szCs w:val="21"/>
                <w:u w:val="none"/>
                <w:lang w:eastAsia="zh-CN"/>
              </w:rPr>
              <w:t>依据上级下达任务确定</w:t>
            </w:r>
          </w:p>
        </w:tc>
        <w:tc>
          <w:tcPr>
            <w:tcW w:w="490" w:type="pct"/>
            <w:shd w:val="clear" w:color="auto" w:fill="auto"/>
            <w:vAlign w:val="center"/>
          </w:tcPr>
          <w:p w14:paraId="2830780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预期性</w:t>
            </w:r>
          </w:p>
        </w:tc>
        <w:tc>
          <w:tcPr>
            <w:tcW w:w="508" w:type="pct"/>
            <w:shd w:val="clear" w:color="auto" w:fill="auto"/>
            <w:vAlign w:val="center"/>
          </w:tcPr>
          <w:p w14:paraId="79D70A9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全域</w:t>
            </w:r>
          </w:p>
        </w:tc>
      </w:tr>
      <w:tr w14:paraId="4A188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41" w:type="pct"/>
            <w:shd w:val="clear" w:color="auto" w:fill="auto"/>
            <w:vAlign w:val="center"/>
          </w:tcPr>
          <w:p w14:paraId="7D90072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default" w:ascii="Times New Roman" w:hAnsi="Times New Roman" w:eastAsia="仿宋_GB2312" w:cs="Times New Roman"/>
                <w:color w:val="auto"/>
                <w:kern w:val="0"/>
                <w:sz w:val="21"/>
                <w:szCs w:val="21"/>
                <w:u w:val="none"/>
              </w:rPr>
              <w:t>1</w:t>
            </w:r>
            <w:r>
              <w:rPr>
                <w:rFonts w:hint="default" w:ascii="Times New Roman" w:hAnsi="Times New Roman" w:eastAsia="仿宋_GB2312" w:cs="Times New Roman"/>
                <w:color w:val="auto"/>
                <w:kern w:val="0"/>
                <w:sz w:val="21"/>
                <w:szCs w:val="21"/>
                <w:u w:val="none"/>
                <w:lang w:val="en-US" w:eastAsia="zh-CN"/>
              </w:rPr>
              <w:t>9</w:t>
            </w:r>
          </w:p>
        </w:tc>
        <w:tc>
          <w:tcPr>
            <w:tcW w:w="1789" w:type="pct"/>
            <w:gridSpan w:val="2"/>
            <w:shd w:val="clear" w:color="auto" w:fill="auto"/>
            <w:vAlign w:val="center"/>
          </w:tcPr>
          <w:p w14:paraId="7D48549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单位地区生产总值建设用地</w:t>
            </w:r>
          </w:p>
          <w:p w14:paraId="438339C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default" w:ascii="Times New Roman" w:hAnsi="Times New Roman" w:eastAsia="仿宋_GB2312" w:cs="Times New Roman"/>
                <w:color w:val="auto"/>
                <w:kern w:val="0"/>
                <w:sz w:val="21"/>
                <w:szCs w:val="21"/>
                <w:u w:val="none"/>
              </w:rPr>
              <w:t>使用面积下降</w:t>
            </w:r>
            <w:r>
              <w:rPr>
                <w:rFonts w:hint="default" w:ascii="Times New Roman" w:hAnsi="Times New Roman" w:eastAsia="仿宋_GB2312" w:cs="Times New Roman"/>
                <w:color w:val="auto"/>
                <w:kern w:val="0"/>
                <w:sz w:val="21"/>
                <w:szCs w:val="21"/>
                <w:u w:val="none"/>
                <w:lang w:eastAsia="zh-CN"/>
              </w:rPr>
              <w:t>(</w:t>
            </w:r>
            <w:r>
              <w:rPr>
                <w:rFonts w:hint="default" w:ascii="Times New Roman" w:hAnsi="Times New Roman" w:eastAsia="仿宋_GB2312" w:cs="Times New Roman"/>
                <w:color w:val="auto"/>
                <w:kern w:val="0"/>
                <w:sz w:val="21"/>
                <w:szCs w:val="21"/>
                <w:u w:val="none"/>
              </w:rPr>
              <w:t>%</w:t>
            </w:r>
            <w:r>
              <w:rPr>
                <w:rFonts w:hint="eastAsia" w:ascii="Times New Roman" w:hAnsi="Times New Roman" w:cs="Times New Roman"/>
                <w:color w:val="auto"/>
                <w:kern w:val="0"/>
                <w:sz w:val="21"/>
                <w:szCs w:val="21"/>
                <w:u w:val="none"/>
                <w:lang w:eastAsia="zh-CN"/>
              </w:rPr>
              <w:t>)</w:t>
            </w:r>
          </w:p>
        </w:tc>
        <w:tc>
          <w:tcPr>
            <w:tcW w:w="485" w:type="pct"/>
            <w:shd w:val="clear" w:color="auto" w:fill="auto"/>
            <w:vAlign w:val="center"/>
          </w:tcPr>
          <w:p w14:paraId="03CCDAA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w:t>
            </w:r>
          </w:p>
        </w:tc>
        <w:tc>
          <w:tcPr>
            <w:tcW w:w="733" w:type="pct"/>
            <w:shd w:val="clear" w:color="auto" w:fill="auto"/>
            <w:vAlign w:val="center"/>
          </w:tcPr>
          <w:p w14:paraId="25651EB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default" w:ascii="Times New Roman" w:hAnsi="Times New Roman" w:eastAsia="仿宋_GB2312" w:cs="Times New Roman"/>
                <w:color w:val="auto"/>
                <w:kern w:val="0"/>
                <w:sz w:val="21"/>
                <w:szCs w:val="21"/>
                <w:u w:val="none"/>
                <w:lang w:eastAsia="zh-CN"/>
              </w:rPr>
              <w:t>依据上级下达任务确定</w:t>
            </w:r>
          </w:p>
        </w:tc>
        <w:tc>
          <w:tcPr>
            <w:tcW w:w="750" w:type="pct"/>
            <w:shd w:val="clear" w:color="auto" w:fill="auto"/>
            <w:vAlign w:val="center"/>
          </w:tcPr>
          <w:p w14:paraId="346D3E6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default" w:ascii="Times New Roman" w:hAnsi="Times New Roman" w:eastAsia="仿宋_GB2312" w:cs="Times New Roman"/>
                <w:color w:val="auto"/>
                <w:kern w:val="0"/>
                <w:sz w:val="21"/>
                <w:szCs w:val="21"/>
                <w:u w:val="none"/>
                <w:lang w:eastAsia="zh-CN"/>
              </w:rPr>
              <w:t>依据上级下达任务确定</w:t>
            </w:r>
          </w:p>
        </w:tc>
        <w:tc>
          <w:tcPr>
            <w:tcW w:w="490" w:type="pct"/>
            <w:shd w:val="clear" w:color="auto" w:fill="auto"/>
            <w:vAlign w:val="center"/>
          </w:tcPr>
          <w:p w14:paraId="1313DBB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预期性</w:t>
            </w:r>
          </w:p>
        </w:tc>
        <w:tc>
          <w:tcPr>
            <w:tcW w:w="508" w:type="pct"/>
            <w:shd w:val="clear" w:color="auto" w:fill="auto"/>
            <w:vAlign w:val="center"/>
          </w:tcPr>
          <w:p w14:paraId="1FFF49A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全域</w:t>
            </w:r>
          </w:p>
        </w:tc>
      </w:tr>
      <w:tr w14:paraId="6F146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5000" w:type="pct"/>
            <w:gridSpan w:val="8"/>
            <w:shd w:val="clear" w:color="auto" w:fill="auto"/>
            <w:vAlign w:val="center"/>
          </w:tcPr>
          <w:p w14:paraId="74EB693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三、空间品质</w:t>
            </w:r>
          </w:p>
        </w:tc>
      </w:tr>
      <w:tr w14:paraId="7F105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41" w:type="pct"/>
            <w:shd w:val="clear" w:color="auto" w:fill="auto"/>
            <w:vAlign w:val="center"/>
          </w:tcPr>
          <w:p w14:paraId="7C773D0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val="en-US" w:eastAsia="zh-CN"/>
              </w:rPr>
            </w:pPr>
            <w:r>
              <w:rPr>
                <w:rFonts w:hint="default" w:ascii="Times New Roman" w:hAnsi="Times New Roman" w:eastAsia="仿宋_GB2312" w:cs="Times New Roman"/>
                <w:color w:val="auto"/>
                <w:kern w:val="0"/>
                <w:sz w:val="21"/>
                <w:szCs w:val="21"/>
                <w:u w:val="none"/>
                <w:lang w:val="en-US" w:eastAsia="zh-CN"/>
              </w:rPr>
              <w:t>20</w:t>
            </w:r>
          </w:p>
        </w:tc>
        <w:tc>
          <w:tcPr>
            <w:tcW w:w="1789" w:type="pct"/>
            <w:gridSpan w:val="2"/>
            <w:shd w:val="clear" w:color="auto" w:fill="auto"/>
            <w:vAlign w:val="center"/>
          </w:tcPr>
          <w:p w14:paraId="780A58F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公园绿地、广场步行</w:t>
            </w:r>
          </w:p>
          <w:p w14:paraId="3C31EF2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default" w:ascii="Times New Roman" w:hAnsi="Times New Roman" w:eastAsia="仿宋_GB2312" w:cs="Times New Roman"/>
                <w:color w:val="auto"/>
                <w:kern w:val="0"/>
                <w:sz w:val="21"/>
                <w:szCs w:val="21"/>
                <w:u w:val="none"/>
              </w:rPr>
              <w:t>5分钟覆盖率</w:t>
            </w:r>
            <w:r>
              <w:rPr>
                <w:rFonts w:hint="default" w:ascii="Times New Roman" w:hAnsi="Times New Roman" w:eastAsia="仿宋_GB2312" w:cs="Times New Roman"/>
                <w:color w:val="auto"/>
                <w:kern w:val="0"/>
                <w:sz w:val="21"/>
                <w:szCs w:val="21"/>
                <w:u w:val="none"/>
                <w:lang w:eastAsia="zh-CN"/>
              </w:rPr>
              <w:t>(</w:t>
            </w:r>
            <w:r>
              <w:rPr>
                <w:rFonts w:hint="default" w:ascii="Times New Roman" w:hAnsi="Times New Roman" w:eastAsia="仿宋_GB2312" w:cs="Times New Roman"/>
                <w:color w:val="auto"/>
                <w:kern w:val="0"/>
                <w:sz w:val="21"/>
                <w:szCs w:val="21"/>
                <w:u w:val="none"/>
              </w:rPr>
              <w:t>%</w:t>
            </w:r>
            <w:r>
              <w:rPr>
                <w:rFonts w:hint="eastAsia" w:ascii="Times New Roman" w:hAnsi="Times New Roman" w:cs="Times New Roman"/>
                <w:color w:val="auto"/>
                <w:kern w:val="0"/>
                <w:sz w:val="21"/>
                <w:szCs w:val="21"/>
                <w:u w:val="none"/>
                <w:lang w:eastAsia="zh-CN"/>
              </w:rPr>
              <w:t>)</w:t>
            </w:r>
          </w:p>
        </w:tc>
        <w:tc>
          <w:tcPr>
            <w:tcW w:w="485" w:type="pct"/>
            <w:shd w:val="clear" w:color="auto" w:fill="auto"/>
            <w:vAlign w:val="center"/>
          </w:tcPr>
          <w:p w14:paraId="161EC3B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60</w:t>
            </w:r>
          </w:p>
        </w:tc>
        <w:tc>
          <w:tcPr>
            <w:tcW w:w="733" w:type="pct"/>
            <w:shd w:val="clear" w:color="auto" w:fill="auto"/>
            <w:vAlign w:val="center"/>
          </w:tcPr>
          <w:p w14:paraId="4F88BCC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≥70</w:t>
            </w:r>
          </w:p>
        </w:tc>
        <w:tc>
          <w:tcPr>
            <w:tcW w:w="750" w:type="pct"/>
            <w:shd w:val="clear" w:color="auto" w:fill="auto"/>
            <w:vAlign w:val="center"/>
          </w:tcPr>
          <w:p w14:paraId="42797B5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val="en-US" w:eastAsia="zh-CN"/>
              </w:rPr>
            </w:pPr>
            <w:r>
              <w:rPr>
                <w:rFonts w:hint="default" w:ascii="Times New Roman" w:hAnsi="Times New Roman" w:eastAsia="仿宋_GB2312" w:cs="Times New Roman"/>
                <w:color w:val="auto"/>
                <w:kern w:val="0"/>
                <w:sz w:val="21"/>
                <w:szCs w:val="21"/>
                <w:u w:val="none"/>
              </w:rPr>
              <w:t>≥</w:t>
            </w:r>
            <w:r>
              <w:rPr>
                <w:rFonts w:hint="default" w:ascii="Times New Roman" w:hAnsi="Times New Roman" w:eastAsia="仿宋_GB2312" w:cs="Times New Roman"/>
                <w:color w:val="auto"/>
                <w:kern w:val="0"/>
                <w:sz w:val="21"/>
                <w:szCs w:val="21"/>
                <w:u w:val="none"/>
                <w:lang w:val="en-US" w:eastAsia="zh-CN"/>
              </w:rPr>
              <w:t>75</w:t>
            </w:r>
          </w:p>
        </w:tc>
        <w:tc>
          <w:tcPr>
            <w:tcW w:w="490" w:type="pct"/>
            <w:shd w:val="clear" w:color="auto" w:fill="auto"/>
            <w:vAlign w:val="center"/>
          </w:tcPr>
          <w:p w14:paraId="2B50A2B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约束性</w:t>
            </w:r>
          </w:p>
        </w:tc>
        <w:tc>
          <w:tcPr>
            <w:tcW w:w="508" w:type="pct"/>
            <w:shd w:val="clear" w:color="auto" w:fill="auto"/>
            <w:vAlign w:val="center"/>
          </w:tcPr>
          <w:p w14:paraId="25E0F68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Times New Roman" w:hAnsi="Times New Roman" w:eastAsia="仿宋_GB2312" w:cs="Times New Roman"/>
                <w:color w:val="auto"/>
                <w:kern w:val="0"/>
                <w:sz w:val="21"/>
                <w:szCs w:val="21"/>
                <w:u w:val="none"/>
                <w:lang w:eastAsia="zh-CN"/>
              </w:rPr>
            </w:pPr>
            <w:r>
              <w:rPr>
                <w:rFonts w:hint="eastAsia" w:ascii="Times New Roman" w:hAnsi="Times New Roman" w:cs="Times New Roman"/>
                <w:color w:val="auto"/>
                <w:kern w:val="0"/>
                <w:sz w:val="21"/>
                <w:szCs w:val="21"/>
                <w:u w:val="none"/>
                <w:lang w:eastAsia="zh-CN"/>
              </w:rPr>
              <w:t>街道中心区</w:t>
            </w:r>
          </w:p>
        </w:tc>
      </w:tr>
      <w:tr w14:paraId="7BD06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41" w:type="pct"/>
            <w:shd w:val="clear" w:color="auto" w:fill="auto"/>
            <w:vAlign w:val="center"/>
          </w:tcPr>
          <w:p w14:paraId="60DE673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val="en-US" w:eastAsia="zh-CN"/>
              </w:rPr>
            </w:pPr>
            <w:r>
              <w:rPr>
                <w:rFonts w:hint="default" w:ascii="Times New Roman" w:hAnsi="Times New Roman" w:eastAsia="仿宋_GB2312" w:cs="Times New Roman"/>
                <w:color w:val="auto"/>
                <w:kern w:val="0"/>
                <w:sz w:val="21"/>
                <w:szCs w:val="21"/>
                <w:u w:val="none"/>
                <w:lang w:val="en-US" w:eastAsia="zh-CN"/>
              </w:rPr>
              <w:t>21</w:t>
            </w:r>
          </w:p>
        </w:tc>
        <w:tc>
          <w:tcPr>
            <w:tcW w:w="1789" w:type="pct"/>
            <w:gridSpan w:val="2"/>
            <w:shd w:val="clear" w:color="auto" w:fill="auto"/>
            <w:vAlign w:val="center"/>
          </w:tcPr>
          <w:p w14:paraId="17CFA64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卫生、养老、教育、文化、体育等社区公共服务设施15分钟步行可达覆盖率</w:t>
            </w:r>
            <w:r>
              <w:rPr>
                <w:rFonts w:hint="default" w:ascii="Times New Roman" w:hAnsi="Times New Roman" w:eastAsia="仿宋_GB2312" w:cs="Times New Roman"/>
                <w:color w:val="auto"/>
                <w:kern w:val="0"/>
                <w:sz w:val="21"/>
                <w:szCs w:val="21"/>
                <w:u w:val="none"/>
                <w:lang w:eastAsia="zh-CN"/>
              </w:rPr>
              <w:t>(</w:t>
            </w:r>
            <w:r>
              <w:rPr>
                <w:rFonts w:hint="default" w:ascii="Times New Roman" w:hAnsi="Times New Roman" w:eastAsia="仿宋_GB2312" w:cs="Times New Roman"/>
                <w:color w:val="auto"/>
                <w:kern w:val="0"/>
                <w:sz w:val="21"/>
                <w:szCs w:val="21"/>
                <w:u w:val="none"/>
                <w:lang w:val="en-US" w:eastAsia="zh-CN"/>
              </w:rPr>
              <w:t>%</w:t>
            </w:r>
            <w:r>
              <w:rPr>
                <w:rFonts w:hint="eastAsia" w:ascii="Times New Roman" w:hAnsi="Times New Roman" w:cs="Times New Roman"/>
                <w:color w:val="auto"/>
                <w:kern w:val="0"/>
                <w:sz w:val="21"/>
                <w:szCs w:val="21"/>
                <w:u w:val="none"/>
                <w:lang w:val="en-US" w:eastAsia="zh-CN"/>
              </w:rPr>
              <w:t>)</w:t>
            </w:r>
          </w:p>
        </w:tc>
        <w:tc>
          <w:tcPr>
            <w:tcW w:w="485" w:type="pct"/>
            <w:shd w:val="clear" w:color="auto" w:fill="auto"/>
            <w:vAlign w:val="center"/>
          </w:tcPr>
          <w:p w14:paraId="5476671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val="en-US" w:eastAsia="zh-CN"/>
              </w:rPr>
            </w:pPr>
            <w:r>
              <w:rPr>
                <w:rFonts w:hint="default" w:ascii="Times New Roman" w:hAnsi="Times New Roman" w:eastAsia="仿宋_GB2312" w:cs="Times New Roman"/>
                <w:color w:val="auto"/>
                <w:kern w:val="0"/>
                <w:sz w:val="21"/>
                <w:szCs w:val="21"/>
                <w:u w:val="none"/>
                <w:lang w:val="en-US" w:eastAsia="zh-CN"/>
              </w:rPr>
              <w:t>55</w:t>
            </w:r>
          </w:p>
        </w:tc>
        <w:tc>
          <w:tcPr>
            <w:tcW w:w="733" w:type="pct"/>
            <w:shd w:val="clear" w:color="auto" w:fill="auto"/>
            <w:vAlign w:val="center"/>
          </w:tcPr>
          <w:p w14:paraId="10A6080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≥55</w:t>
            </w:r>
          </w:p>
        </w:tc>
        <w:tc>
          <w:tcPr>
            <w:tcW w:w="750" w:type="pct"/>
            <w:shd w:val="clear" w:color="auto" w:fill="auto"/>
            <w:vAlign w:val="center"/>
          </w:tcPr>
          <w:p w14:paraId="51F5CD2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≥70</w:t>
            </w:r>
          </w:p>
        </w:tc>
        <w:tc>
          <w:tcPr>
            <w:tcW w:w="490" w:type="pct"/>
            <w:shd w:val="clear" w:color="auto" w:fill="auto"/>
            <w:vAlign w:val="center"/>
          </w:tcPr>
          <w:p w14:paraId="54E1CF3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预期性</w:t>
            </w:r>
          </w:p>
        </w:tc>
        <w:tc>
          <w:tcPr>
            <w:tcW w:w="508" w:type="pct"/>
            <w:shd w:val="clear" w:color="auto" w:fill="auto"/>
            <w:vAlign w:val="center"/>
          </w:tcPr>
          <w:p w14:paraId="428A6AF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Times New Roman" w:hAnsi="Times New Roman" w:eastAsia="仿宋_GB2312" w:cs="Times New Roman"/>
                <w:color w:val="auto"/>
                <w:kern w:val="0"/>
                <w:sz w:val="21"/>
                <w:szCs w:val="21"/>
                <w:u w:val="none"/>
                <w:lang w:eastAsia="zh-CN"/>
              </w:rPr>
            </w:pPr>
            <w:r>
              <w:rPr>
                <w:rFonts w:hint="eastAsia" w:ascii="Times New Roman" w:hAnsi="Times New Roman" w:cs="Times New Roman"/>
                <w:color w:val="auto"/>
                <w:kern w:val="0"/>
                <w:sz w:val="21"/>
                <w:szCs w:val="21"/>
                <w:u w:val="none"/>
                <w:lang w:eastAsia="zh-CN"/>
              </w:rPr>
              <w:t>街道中心区</w:t>
            </w:r>
          </w:p>
        </w:tc>
      </w:tr>
      <w:tr w14:paraId="46EA6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41" w:type="pct"/>
            <w:shd w:val="clear" w:color="auto" w:fill="auto"/>
            <w:vAlign w:val="center"/>
          </w:tcPr>
          <w:p w14:paraId="558FB5B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default" w:ascii="Times New Roman" w:hAnsi="Times New Roman" w:eastAsia="仿宋_GB2312" w:cs="Times New Roman"/>
                <w:color w:val="auto"/>
                <w:kern w:val="0"/>
                <w:sz w:val="21"/>
                <w:szCs w:val="21"/>
                <w:u w:val="none"/>
              </w:rPr>
              <w:t>2</w:t>
            </w:r>
            <w:r>
              <w:rPr>
                <w:rFonts w:hint="default" w:ascii="Times New Roman" w:hAnsi="Times New Roman" w:eastAsia="仿宋_GB2312" w:cs="Times New Roman"/>
                <w:color w:val="auto"/>
                <w:kern w:val="0"/>
                <w:sz w:val="21"/>
                <w:szCs w:val="21"/>
                <w:u w:val="none"/>
                <w:lang w:val="en-US" w:eastAsia="zh-CN"/>
              </w:rPr>
              <w:t>2</w:t>
            </w:r>
          </w:p>
        </w:tc>
        <w:tc>
          <w:tcPr>
            <w:tcW w:w="1789" w:type="pct"/>
            <w:gridSpan w:val="2"/>
            <w:shd w:val="clear" w:color="auto" w:fill="auto"/>
            <w:vAlign w:val="center"/>
          </w:tcPr>
          <w:p w14:paraId="76C184E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default" w:ascii="Times New Roman" w:hAnsi="Times New Roman" w:eastAsia="仿宋_GB2312" w:cs="Times New Roman"/>
                <w:color w:val="auto"/>
                <w:kern w:val="0"/>
                <w:sz w:val="21"/>
                <w:szCs w:val="21"/>
                <w:u w:val="none"/>
              </w:rPr>
              <w:t>每千名老年人养老床位数</w:t>
            </w:r>
            <w:r>
              <w:rPr>
                <w:rFonts w:hint="default" w:ascii="Times New Roman" w:hAnsi="Times New Roman" w:eastAsia="仿宋_GB2312" w:cs="Times New Roman"/>
                <w:color w:val="auto"/>
                <w:kern w:val="0"/>
                <w:sz w:val="21"/>
                <w:szCs w:val="21"/>
                <w:u w:val="none"/>
                <w:lang w:eastAsia="zh-CN"/>
              </w:rPr>
              <w:t>(</w:t>
            </w:r>
            <w:r>
              <w:rPr>
                <w:rFonts w:hint="default" w:ascii="Times New Roman" w:hAnsi="Times New Roman" w:eastAsia="仿宋_GB2312" w:cs="Times New Roman"/>
                <w:color w:val="auto"/>
                <w:kern w:val="0"/>
                <w:sz w:val="21"/>
                <w:szCs w:val="21"/>
                <w:u w:val="none"/>
              </w:rPr>
              <w:t>张</w:t>
            </w:r>
            <w:r>
              <w:rPr>
                <w:rFonts w:hint="eastAsia" w:ascii="Times New Roman" w:hAnsi="Times New Roman" w:cs="Times New Roman"/>
                <w:color w:val="auto"/>
                <w:kern w:val="0"/>
                <w:sz w:val="21"/>
                <w:szCs w:val="21"/>
                <w:u w:val="none"/>
                <w:lang w:eastAsia="zh-CN"/>
              </w:rPr>
              <w:t>)</w:t>
            </w:r>
          </w:p>
        </w:tc>
        <w:tc>
          <w:tcPr>
            <w:tcW w:w="485" w:type="pct"/>
            <w:shd w:val="clear" w:color="auto" w:fill="auto"/>
            <w:vAlign w:val="center"/>
          </w:tcPr>
          <w:p w14:paraId="38F290E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val="en-US" w:eastAsia="zh-CN"/>
              </w:rPr>
            </w:pPr>
            <w:r>
              <w:rPr>
                <w:rFonts w:hint="default" w:ascii="Times New Roman" w:hAnsi="Times New Roman" w:eastAsia="仿宋_GB2312" w:cs="Times New Roman"/>
                <w:color w:val="auto"/>
                <w:kern w:val="0"/>
                <w:sz w:val="21"/>
                <w:szCs w:val="21"/>
                <w:u w:val="none"/>
                <w:lang w:val="en-US" w:eastAsia="zh-CN"/>
              </w:rPr>
              <w:t>15</w:t>
            </w:r>
          </w:p>
        </w:tc>
        <w:tc>
          <w:tcPr>
            <w:tcW w:w="733" w:type="pct"/>
            <w:shd w:val="clear" w:color="auto" w:fill="auto"/>
            <w:vAlign w:val="center"/>
          </w:tcPr>
          <w:p w14:paraId="1448261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≥15</w:t>
            </w:r>
          </w:p>
        </w:tc>
        <w:tc>
          <w:tcPr>
            <w:tcW w:w="750" w:type="pct"/>
            <w:shd w:val="clear" w:color="auto" w:fill="auto"/>
            <w:vAlign w:val="center"/>
          </w:tcPr>
          <w:p w14:paraId="5B84C58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≥30</w:t>
            </w:r>
          </w:p>
        </w:tc>
        <w:tc>
          <w:tcPr>
            <w:tcW w:w="490" w:type="pct"/>
            <w:shd w:val="clear" w:color="auto" w:fill="auto"/>
            <w:vAlign w:val="center"/>
          </w:tcPr>
          <w:p w14:paraId="75B67AA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预期性</w:t>
            </w:r>
          </w:p>
        </w:tc>
        <w:tc>
          <w:tcPr>
            <w:tcW w:w="508" w:type="pct"/>
            <w:shd w:val="clear" w:color="auto" w:fill="auto"/>
            <w:vAlign w:val="center"/>
          </w:tcPr>
          <w:p w14:paraId="36E75D7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全域</w:t>
            </w:r>
          </w:p>
        </w:tc>
      </w:tr>
      <w:tr w14:paraId="72D61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41" w:type="pct"/>
            <w:shd w:val="clear" w:color="auto" w:fill="auto"/>
            <w:vAlign w:val="center"/>
          </w:tcPr>
          <w:p w14:paraId="2A2718F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default" w:ascii="Times New Roman" w:hAnsi="Times New Roman" w:eastAsia="仿宋_GB2312" w:cs="Times New Roman"/>
                <w:color w:val="auto"/>
                <w:kern w:val="0"/>
                <w:sz w:val="21"/>
                <w:szCs w:val="21"/>
                <w:u w:val="none"/>
              </w:rPr>
              <w:t>2</w:t>
            </w:r>
            <w:r>
              <w:rPr>
                <w:rFonts w:hint="default" w:ascii="Times New Roman" w:hAnsi="Times New Roman" w:eastAsia="仿宋_GB2312" w:cs="Times New Roman"/>
                <w:color w:val="auto"/>
                <w:kern w:val="0"/>
                <w:sz w:val="21"/>
                <w:szCs w:val="21"/>
                <w:u w:val="none"/>
                <w:lang w:val="en-US" w:eastAsia="zh-CN"/>
              </w:rPr>
              <w:t>3</w:t>
            </w:r>
          </w:p>
        </w:tc>
        <w:tc>
          <w:tcPr>
            <w:tcW w:w="1789" w:type="pct"/>
            <w:gridSpan w:val="2"/>
            <w:shd w:val="clear" w:color="auto" w:fill="auto"/>
            <w:vAlign w:val="center"/>
          </w:tcPr>
          <w:p w14:paraId="4EBE0FD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每千人口医疗卫生机构</w:t>
            </w:r>
          </w:p>
          <w:p w14:paraId="02C34A4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default" w:ascii="Times New Roman" w:hAnsi="Times New Roman" w:eastAsia="仿宋_GB2312" w:cs="Times New Roman"/>
                <w:color w:val="auto"/>
                <w:kern w:val="0"/>
                <w:sz w:val="21"/>
                <w:szCs w:val="21"/>
                <w:u w:val="none"/>
              </w:rPr>
              <w:t>床位数</w:t>
            </w:r>
            <w:r>
              <w:rPr>
                <w:rFonts w:hint="default" w:ascii="Times New Roman" w:hAnsi="Times New Roman" w:eastAsia="仿宋_GB2312" w:cs="Times New Roman"/>
                <w:color w:val="auto"/>
                <w:kern w:val="0"/>
                <w:sz w:val="21"/>
                <w:szCs w:val="21"/>
                <w:u w:val="none"/>
                <w:lang w:eastAsia="zh-CN"/>
              </w:rPr>
              <w:t>(</w:t>
            </w:r>
            <w:r>
              <w:rPr>
                <w:rFonts w:hint="default" w:ascii="Times New Roman" w:hAnsi="Times New Roman" w:eastAsia="仿宋_GB2312" w:cs="Times New Roman"/>
                <w:color w:val="auto"/>
                <w:kern w:val="0"/>
                <w:sz w:val="21"/>
                <w:szCs w:val="21"/>
                <w:u w:val="none"/>
              </w:rPr>
              <w:t>张</w:t>
            </w:r>
            <w:r>
              <w:rPr>
                <w:rFonts w:hint="eastAsia" w:ascii="Times New Roman" w:hAnsi="Times New Roman" w:cs="Times New Roman"/>
                <w:color w:val="auto"/>
                <w:kern w:val="0"/>
                <w:sz w:val="21"/>
                <w:szCs w:val="21"/>
                <w:u w:val="none"/>
                <w:lang w:eastAsia="zh-CN"/>
              </w:rPr>
              <w:t>)</w:t>
            </w:r>
          </w:p>
        </w:tc>
        <w:tc>
          <w:tcPr>
            <w:tcW w:w="485" w:type="pct"/>
            <w:shd w:val="clear" w:color="auto" w:fill="auto"/>
            <w:vAlign w:val="center"/>
          </w:tcPr>
          <w:p w14:paraId="3172B5C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default" w:ascii="Times New Roman" w:hAnsi="Times New Roman" w:eastAsia="仿宋_GB2312" w:cs="Times New Roman"/>
                <w:color w:val="auto"/>
                <w:kern w:val="0"/>
                <w:sz w:val="21"/>
                <w:szCs w:val="21"/>
                <w:u w:val="none"/>
                <w:lang w:val="en-US" w:eastAsia="zh-CN"/>
              </w:rPr>
              <w:t>8</w:t>
            </w:r>
          </w:p>
        </w:tc>
        <w:tc>
          <w:tcPr>
            <w:tcW w:w="733" w:type="pct"/>
            <w:shd w:val="clear" w:color="auto" w:fill="auto"/>
            <w:vAlign w:val="center"/>
          </w:tcPr>
          <w:p w14:paraId="3A3AAA0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≥8</w:t>
            </w:r>
          </w:p>
        </w:tc>
        <w:tc>
          <w:tcPr>
            <w:tcW w:w="750" w:type="pct"/>
            <w:shd w:val="clear" w:color="auto" w:fill="auto"/>
            <w:vAlign w:val="center"/>
          </w:tcPr>
          <w:p w14:paraId="0BDE2F9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≥8</w:t>
            </w:r>
          </w:p>
        </w:tc>
        <w:tc>
          <w:tcPr>
            <w:tcW w:w="490" w:type="pct"/>
            <w:shd w:val="clear" w:color="auto" w:fill="auto"/>
            <w:vAlign w:val="center"/>
          </w:tcPr>
          <w:p w14:paraId="0886D44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预期性</w:t>
            </w:r>
          </w:p>
        </w:tc>
        <w:tc>
          <w:tcPr>
            <w:tcW w:w="508" w:type="pct"/>
            <w:shd w:val="clear" w:color="auto" w:fill="auto"/>
            <w:vAlign w:val="center"/>
          </w:tcPr>
          <w:p w14:paraId="4A99F36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全域</w:t>
            </w:r>
          </w:p>
        </w:tc>
      </w:tr>
      <w:tr w14:paraId="15E23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41" w:type="pct"/>
            <w:shd w:val="clear" w:color="auto" w:fill="auto"/>
            <w:vAlign w:val="center"/>
          </w:tcPr>
          <w:p w14:paraId="6ACD569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default" w:ascii="Times New Roman" w:hAnsi="Times New Roman" w:eastAsia="仿宋_GB2312" w:cs="Times New Roman"/>
                <w:color w:val="auto"/>
                <w:kern w:val="0"/>
                <w:sz w:val="21"/>
                <w:szCs w:val="21"/>
                <w:u w:val="none"/>
              </w:rPr>
              <w:t>2</w:t>
            </w:r>
            <w:r>
              <w:rPr>
                <w:rFonts w:hint="default" w:ascii="Times New Roman" w:hAnsi="Times New Roman" w:eastAsia="仿宋_GB2312" w:cs="Times New Roman"/>
                <w:color w:val="auto"/>
                <w:kern w:val="0"/>
                <w:sz w:val="21"/>
                <w:szCs w:val="21"/>
                <w:u w:val="none"/>
                <w:lang w:val="en-US" w:eastAsia="zh-CN"/>
              </w:rPr>
              <w:t>4</w:t>
            </w:r>
          </w:p>
        </w:tc>
        <w:tc>
          <w:tcPr>
            <w:tcW w:w="1789" w:type="pct"/>
            <w:gridSpan w:val="2"/>
            <w:shd w:val="clear" w:color="auto" w:fill="auto"/>
            <w:vAlign w:val="center"/>
          </w:tcPr>
          <w:p w14:paraId="078D762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default" w:ascii="Times New Roman" w:hAnsi="Times New Roman" w:eastAsia="仿宋_GB2312" w:cs="Times New Roman"/>
                <w:color w:val="auto"/>
                <w:kern w:val="0"/>
                <w:sz w:val="21"/>
                <w:szCs w:val="21"/>
                <w:u w:val="none"/>
              </w:rPr>
              <w:t>人均体育用地面积</w:t>
            </w:r>
            <w:r>
              <w:rPr>
                <w:rFonts w:hint="default" w:ascii="Times New Roman" w:hAnsi="Times New Roman" w:eastAsia="仿宋_GB2312" w:cs="Times New Roman"/>
                <w:color w:val="auto"/>
                <w:kern w:val="0"/>
                <w:sz w:val="21"/>
                <w:szCs w:val="21"/>
                <w:u w:val="none"/>
                <w:lang w:eastAsia="zh-CN"/>
              </w:rPr>
              <w:t>(</w:t>
            </w:r>
            <w:r>
              <w:rPr>
                <w:rFonts w:hint="default" w:ascii="Times New Roman" w:hAnsi="Times New Roman" w:eastAsia="仿宋_GB2312" w:cs="Times New Roman"/>
                <w:color w:val="auto"/>
                <w:kern w:val="0"/>
                <w:sz w:val="21"/>
                <w:szCs w:val="21"/>
                <w:u w:val="none"/>
              </w:rPr>
              <w:t>平方米</w:t>
            </w:r>
            <w:r>
              <w:rPr>
                <w:rFonts w:hint="eastAsia" w:ascii="Times New Roman" w:hAnsi="Times New Roman" w:cs="Times New Roman"/>
                <w:color w:val="auto"/>
                <w:kern w:val="0"/>
                <w:sz w:val="21"/>
                <w:szCs w:val="21"/>
                <w:u w:val="none"/>
                <w:lang w:eastAsia="zh-CN"/>
              </w:rPr>
              <w:t>)</w:t>
            </w:r>
          </w:p>
        </w:tc>
        <w:tc>
          <w:tcPr>
            <w:tcW w:w="485" w:type="pct"/>
            <w:shd w:val="clear" w:color="auto" w:fill="auto"/>
            <w:vAlign w:val="center"/>
          </w:tcPr>
          <w:p w14:paraId="6E58D72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0.02</w:t>
            </w:r>
          </w:p>
        </w:tc>
        <w:tc>
          <w:tcPr>
            <w:tcW w:w="733" w:type="pct"/>
            <w:shd w:val="clear" w:color="auto" w:fill="auto"/>
            <w:vAlign w:val="center"/>
          </w:tcPr>
          <w:p w14:paraId="617A5CA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≥0.3</w:t>
            </w:r>
          </w:p>
        </w:tc>
        <w:tc>
          <w:tcPr>
            <w:tcW w:w="750" w:type="pct"/>
            <w:shd w:val="clear" w:color="auto" w:fill="auto"/>
            <w:vAlign w:val="center"/>
          </w:tcPr>
          <w:p w14:paraId="03AFC55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≥0.3</w:t>
            </w:r>
          </w:p>
        </w:tc>
        <w:tc>
          <w:tcPr>
            <w:tcW w:w="490" w:type="pct"/>
            <w:shd w:val="clear" w:color="auto" w:fill="auto"/>
            <w:vAlign w:val="center"/>
          </w:tcPr>
          <w:p w14:paraId="25D02A1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预期性</w:t>
            </w:r>
          </w:p>
        </w:tc>
        <w:tc>
          <w:tcPr>
            <w:tcW w:w="508" w:type="pct"/>
            <w:shd w:val="clear" w:color="auto" w:fill="auto"/>
            <w:vAlign w:val="center"/>
          </w:tcPr>
          <w:p w14:paraId="64849B6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Times New Roman" w:hAnsi="Times New Roman" w:eastAsia="仿宋_GB2312" w:cs="Times New Roman"/>
                <w:color w:val="auto"/>
                <w:kern w:val="0"/>
                <w:sz w:val="21"/>
                <w:szCs w:val="21"/>
                <w:u w:val="none"/>
                <w:lang w:eastAsia="zh-CN"/>
              </w:rPr>
            </w:pPr>
            <w:r>
              <w:rPr>
                <w:rFonts w:hint="eastAsia" w:ascii="Times New Roman" w:hAnsi="Times New Roman" w:cs="Times New Roman"/>
                <w:color w:val="auto"/>
                <w:kern w:val="0"/>
                <w:sz w:val="21"/>
                <w:szCs w:val="21"/>
                <w:u w:val="none"/>
                <w:lang w:eastAsia="zh-CN"/>
              </w:rPr>
              <w:t>街道中心区</w:t>
            </w:r>
          </w:p>
        </w:tc>
      </w:tr>
      <w:tr w14:paraId="78842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41" w:type="pct"/>
            <w:shd w:val="clear" w:color="auto" w:fill="auto"/>
            <w:vAlign w:val="center"/>
          </w:tcPr>
          <w:p w14:paraId="644C3F2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default" w:ascii="Times New Roman" w:hAnsi="Times New Roman" w:eastAsia="仿宋_GB2312" w:cs="Times New Roman"/>
                <w:color w:val="auto"/>
                <w:kern w:val="0"/>
                <w:sz w:val="21"/>
                <w:szCs w:val="21"/>
                <w:u w:val="none"/>
              </w:rPr>
              <w:t>2</w:t>
            </w:r>
            <w:r>
              <w:rPr>
                <w:rFonts w:hint="default" w:ascii="Times New Roman" w:hAnsi="Times New Roman" w:eastAsia="仿宋_GB2312" w:cs="Times New Roman"/>
                <w:color w:val="auto"/>
                <w:kern w:val="0"/>
                <w:sz w:val="21"/>
                <w:szCs w:val="21"/>
                <w:u w:val="none"/>
                <w:lang w:val="en-US" w:eastAsia="zh-CN"/>
              </w:rPr>
              <w:t>5</w:t>
            </w:r>
          </w:p>
        </w:tc>
        <w:tc>
          <w:tcPr>
            <w:tcW w:w="1789" w:type="pct"/>
            <w:gridSpan w:val="2"/>
            <w:shd w:val="clear" w:color="auto" w:fill="auto"/>
            <w:vAlign w:val="center"/>
          </w:tcPr>
          <w:p w14:paraId="45A7AA5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default" w:ascii="Times New Roman" w:hAnsi="Times New Roman" w:eastAsia="仿宋_GB2312" w:cs="Times New Roman"/>
                <w:color w:val="auto"/>
                <w:kern w:val="0"/>
                <w:sz w:val="21"/>
                <w:szCs w:val="21"/>
                <w:u w:val="none"/>
              </w:rPr>
              <w:t>人均公园绿地面积</w:t>
            </w:r>
            <w:r>
              <w:rPr>
                <w:rFonts w:hint="default" w:ascii="Times New Roman" w:hAnsi="Times New Roman" w:eastAsia="仿宋_GB2312" w:cs="Times New Roman"/>
                <w:color w:val="auto"/>
                <w:kern w:val="0"/>
                <w:sz w:val="21"/>
                <w:szCs w:val="21"/>
                <w:u w:val="none"/>
                <w:lang w:eastAsia="zh-CN"/>
              </w:rPr>
              <w:t>(</w:t>
            </w:r>
            <w:r>
              <w:rPr>
                <w:rFonts w:hint="default" w:ascii="Times New Roman" w:hAnsi="Times New Roman" w:eastAsia="仿宋_GB2312" w:cs="Times New Roman"/>
                <w:color w:val="auto"/>
                <w:kern w:val="0"/>
                <w:sz w:val="21"/>
                <w:szCs w:val="21"/>
                <w:u w:val="none"/>
              </w:rPr>
              <w:t>平方米</w:t>
            </w:r>
            <w:r>
              <w:rPr>
                <w:rFonts w:hint="eastAsia" w:ascii="Times New Roman" w:hAnsi="Times New Roman" w:cs="Times New Roman"/>
                <w:color w:val="auto"/>
                <w:kern w:val="0"/>
                <w:sz w:val="21"/>
                <w:szCs w:val="21"/>
                <w:u w:val="none"/>
                <w:lang w:eastAsia="zh-CN"/>
              </w:rPr>
              <w:t>)</w:t>
            </w:r>
          </w:p>
        </w:tc>
        <w:tc>
          <w:tcPr>
            <w:tcW w:w="485" w:type="pct"/>
            <w:shd w:val="clear" w:color="auto" w:fill="auto"/>
            <w:vAlign w:val="center"/>
          </w:tcPr>
          <w:p w14:paraId="22A5408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0.05</w:t>
            </w:r>
          </w:p>
        </w:tc>
        <w:tc>
          <w:tcPr>
            <w:tcW w:w="733" w:type="pct"/>
            <w:shd w:val="clear" w:color="auto" w:fill="auto"/>
            <w:vAlign w:val="center"/>
          </w:tcPr>
          <w:p w14:paraId="70DB07F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default" w:ascii="Times New Roman" w:hAnsi="Times New Roman" w:eastAsia="仿宋_GB2312" w:cs="Times New Roman"/>
                <w:color w:val="auto"/>
                <w:kern w:val="0"/>
                <w:sz w:val="21"/>
                <w:szCs w:val="21"/>
                <w:u w:val="none"/>
              </w:rPr>
              <w:t>≥</w:t>
            </w:r>
            <w:r>
              <w:rPr>
                <w:rFonts w:hint="default" w:ascii="Times New Roman" w:hAnsi="Times New Roman" w:eastAsia="仿宋_GB2312" w:cs="Times New Roman"/>
                <w:color w:val="auto"/>
                <w:kern w:val="0"/>
                <w:sz w:val="21"/>
                <w:szCs w:val="21"/>
                <w:u w:val="none"/>
                <w:lang w:val="en-US" w:eastAsia="zh-CN"/>
              </w:rPr>
              <w:t>5</w:t>
            </w:r>
          </w:p>
        </w:tc>
        <w:tc>
          <w:tcPr>
            <w:tcW w:w="750" w:type="pct"/>
            <w:shd w:val="clear" w:color="auto" w:fill="auto"/>
            <w:vAlign w:val="center"/>
          </w:tcPr>
          <w:p w14:paraId="76751D3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val="en-US" w:eastAsia="zh-CN"/>
              </w:rPr>
            </w:pPr>
            <w:r>
              <w:rPr>
                <w:rFonts w:hint="default" w:ascii="Times New Roman" w:hAnsi="Times New Roman" w:eastAsia="仿宋_GB2312" w:cs="Times New Roman"/>
                <w:color w:val="auto"/>
                <w:kern w:val="0"/>
                <w:sz w:val="21"/>
                <w:szCs w:val="21"/>
                <w:u w:val="none"/>
              </w:rPr>
              <w:t>≥</w:t>
            </w:r>
            <w:r>
              <w:rPr>
                <w:rFonts w:hint="default" w:ascii="Times New Roman" w:hAnsi="Times New Roman" w:eastAsia="仿宋_GB2312" w:cs="Times New Roman"/>
                <w:color w:val="auto"/>
                <w:kern w:val="0"/>
                <w:sz w:val="21"/>
                <w:szCs w:val="21"/>
                <w:u w:val="none"/>
                <w:lang w:val="en-US" w:eastAsia="zh-CN"/>
              </w:rPr>
              <w:t>5.5</w:t>
            </w:r>
          </w:p>
        </w:tc>
        <w:tc>
          <w:tcPr>
            <w:tcW w:w="490" w:type="pct"/>
            <w:shd w:val="clear" w:color="auto" w:fill="auto"/>
            <w:vAlign w:val="center"/>
          </w:tcPr>
          <w:p w14:paraId="7A437D9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预期性</w:t>
            </w:r>
          </w:p>
        </w:tc>
        <w:tc>
          <w:tcPr>
            <w:tcW w:w="508" w:type="pct"/>
            <w:shd w:val="clear" w:color="auto" w:fill="auto"/>
            <w:vAlign w:val="center"/>
          </w:tcPr>
          <w:p w14:paraId="0ACD9B8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Times New Roman" w:hAnsi="Times New Roman" w:eastAsia="仿宋_GB2312" w:cs="Times New Roman"/>
                <w:color w:val="auto"/>
                <w:kern w:val="0"/>
                <w:sz w:val="21"/>
                <w:szCs w:val="21"/>
                <w:u w:val="none"/>
                <w:lang w:eastAsia="zh-CN"/>
              </w:rPr>
            </w:pPr>
            <w:r>
              <w:rPr>
                <w:rFonts w:hint="eastAsia" w:ascii="Times New Roman" w:hAnsi="Times New Roman" w:cs="Times New Roman"/>
                <w:color w:val="auto"/>
                <w:kern w:val="0"/>
                <w:sz w:val="21"/>
                <w:szCs w:val="21"/>
                <w:u w:val="none"/>
                <w:lang w:eastAsia="zh-CN"/>
              </w:rPr>
              <w:t>街道中心区</w:t>
            </w:r>
          </w:p>
        </w:tc>
      </w:tr>
      <w:tr w14:paraId="4AB13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41" w:type="pct"/>
            <w:shd w:val="clear" w:color="auto" w:fill="auto"/>
            <w:vAlign w:val="center"/>
          </w:tcPr>
          <w:p w14:paraId="4B4FB70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default" w:ascii="Times New Roman" w:hAnsi="Times New Roman" w:eastAsia="仿宋_GB2312" w:cs="Times New Roman"/>
                <w:color w:val="auto"/>
                <w:kern w:val="0"/>
                <w:sz w:val="21"/>
                <w:szCs w:val="21"/>
                <w:u w:val="none"/>
              </w:rPr>
              <w:t>2</w:t>
            </w:r>
            <w:r>
              <w:rPr>
                <w:rFonts w:hint="default" w:ascii="Times New Roman" w:hAnsi="Times New Roman" w:eastAsia="仿宋_GB2312" w:cs="Times New Roman"/>
                <w:color w:val="auto"/>
                <w:kern w:val="0"/>
                <w:sz w:val="21"/>
                <w:szCs w:val="21"/>
                <w:u w:val="none"/>
                <w:lang w:val="en-US" w:eastAsia="zh-CN"/>
              </w:rPr>
              <w:t>6</w:t>
            </w:r>
          </w:p>
        </w:tc>
        <w:tc>
          <w:tcPr>
            <w:tcW w:w="1789" w:type="pct"/>
            <w:gridSpan w:val="2"/>
            <w:shd w:val="clear" w:color="auto" w:fill="auto"/>
            <w:vAlign w:val="center"/>
          </w:tcPr>
          <w:p w14:paraId="181A9C0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eastAsia="zh-CN"/>
              </w:rPr>
            </w:pPr>
            <w:r>
              <w:rPr>
                <w:rFonts w:hint="default" w:ascii="Times New Roman" w:hAnsi="Times New Roman" w:eastAsia="仿宋_GB2312" w:cs="Times New Roman"/>
                <w:color w:val="auto"/>
                <w:kern w:val="0"/>
                <w:sz w:val="21"/>
                <w:szCs w:val="21"/>
                <w:u w:val="none"/>
              </w:rPr>
              <w:t>农村生活垃圾处理率</w:t>
            </w:r>
            <w:r>
              <w:rPr>
                <w:rFonts w:hint="default" w:ascii="Times New Roman" w:hAnsi="Times New Roman" w:eastAsia="仿宋_GB2312" w:cs="Times New Roman"/>
                <w:color w:val="auto"/>
                <w:kern w:val="0"/>
                <w:sz w:val="21"/>
                <w:szCs w:val="21"/>
                <w:u w:val="none"/>
                <w:lang w:eastAsia="zh-CN"/>
              </w:rPr>
              <w:t>(</w:t>
            </w:r>
            <w:r>
              <w:rPr>
                <w:rFonts w:hint="default" w:ascii="Times New Roman" w:hAnsi="Times New Roman" w:eastAsia="仿宋_GB2312" w:cs="Times New Roman"/>
                <w:color w:val="auto"/>
                <w:kern w:val="0"/>
                <w:sz w:val="21"/>
                <w:szCs w:val="21"/>
                <w:u w:val="none"/>
              </w:rPr>
              <w:t>%</w:t>
            </w:r>
            <w:r>
              <w:rPr>
                <w:rFonts w:hint="eastAsia" w:ascii="Times New Roman" w:hAnsi="Times New Roman" w:cs="Times New Roman"/>
                <w:color w:val="auto"/>
                <w:kern w:val="0"/>
                <w:sz w:val="21"/>
                <w:szCs w:val="21"/>
                <w:u w:val="none"/>
                <w:lang w:eastAsia="zh-CN"/>
              </w:rPr>
              <w:t>)</w:t>
            </w:r>
          </w:p>
        </w:tc>
        <w:tc>
          <w:tcPr>
            <w:tcW w:w="485" w:type="pct"/>
            <w:shd w:val="clear" w:color="auto" w:fill="auto"/>
            <w:vAlign w:val="center"/>
          </w:tcPr>
          <w:p w14:paraId="4B8A133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90</w:t>
            </w:r>
          </w:p>
        </w:tc>
        <w:tc>
          <w:tcPr>
            <w:tcW w:w="733" w:type="pct"/>
            <w:shd w:val="clear" w:color="auto" w:fill="auto"/>
            <w:vAlign w:val="center"/>
          </w:tcPr>
          <w:p w14:paraId="33008FB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val="en-US" w:eastAsia="zh-CN"/>
              </w:rPr>
            </w:pPr>
            <w:r>
              <w:rPr>
                <w:rFonts w:hint="default" w:ascii="Times New Roman" w:hAnsi="Times New Roman" w:eastAsia="仿宋_GB2312" w:cs="Times New Roman"/>
                <w:color w:val="auto"/>
                <w:kern w:val="0"/>
                <w:sz w:val="21"/>
                <w:szCs w:val="21"/>
                <w:u w:val="none"/>
                <w:lang w:val="en-US" w:eastAsia="zh-CN"/>
              </w:rPr>
              <w:t>100</w:t>
            </w:r>
          </w:p>
        </w:tc>
        <w:tc>
          <w:tcPr>
            <w:tcW w:w="750" w:type="pct"/>
            <w:shd w:val="clear" w:color="auto" w:fill="auto"/>
            <w:vAlign w:val="center"/>
          </w:tcPr>
          <w:p w14:paraId="01AA68D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lang w:val="en-US" w:eastAsia="zh-CN"/>
              </w:rPr>
            </w:pPr>
            <w:r>
              <w:rPr>
                <w:rFonts w:hint="default" w:ascii="Times New Roman" w:hAnsi="Times New Roman" w:eastAsia="仿宋_GB2312" w:cs="Times New Roman"/>
                <w:color w:val="auto"/>
                <w:kern w:val="0"/>
                <w:sz w:val="21"/>
                <w:szCs w:val="21"/>
                <w:u w:val="none"/>
                <w:lang w:val="en-US" w:eastAsia="zh-CN"/>
              </w:rPr>
              <w:t>100</w:t>
            </w:r>
          </w:p>
        </w:tc>
        <w:tc>
          <w:tcPr>
            <w:tcW w:w="490" w:type="pct"/>
            <w:shd w:val="clear" w:color="auto" w:fill="auto"/>
            <w:vAlign w:val="center"/>
          </w:tcPr>
          <w:p w14:paraId="4798B9A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建议性</w:t>
            </w:r>
          </w:p>
        </w:tc>
        <w:tc>
          <w:tcPr>
            <w:tcW w:w="508" w:type="pct"/>
            <w:shd w:val="clear" w:color="auto" w:fill="auto"/>
            <w:vAlign w:val="center"/>
          </w:tcPr>
          <w:p w14:paraId="6E5257C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仿宋_GB2312" w:cs="Times New Roman"/>
                <w:color w:val="auto"/>
                <w:kern w:val="0"/>
                <w:sz w:val="21"/>
                <w:szCs w:val="21"/>
                <w:u w:val="none"/>
              </w:rPr>
            </w:pPr>
            <w:r>
              <w:rPr>
                <w:rFonts w:hint="default" w:ascii="Times New Roman" w:hAnsi="Times New Roman" w:eastAsia="仿宋_GB2312" w:cs="Times New Roman"/>
                <w:color w:val="auto"/>
                <w:kern w:val="0"/>
                <w:sz w:val="21"/>
                <w:szCs w:val="21"/>
                <w:u w:val="none"/>
              </w:rPr>
              <w:t>全域</w:t>
            </w:r>
          </w:p>
        </w:tc>
      </w:tr>
    </w:tbl>
    <w:p w14:paraId="40884450">
      <w:pPr>
        <w:keepNext w:val="0"/>
        <w:keepLines w:val="0"/>
        <w:pageBreakBefore w:val="0"/>
        <w:widowControl w:val="0"/>
        <w:kinsoku/>
        <w:overflowPunct/>
        <w:topLinePunct w:val="0"/>
        <w:autoSpaceDE/>
        <w:autoSpaceDN/>
        <w:bidi w:val="0"/>
        <w:spacing w:line="600" w:lineRule="exact"/>
        <w:jc w:val="left"/>
        <w:textAlignment w:val="auto"/>
        <w:rPr>
          <w:rFonts w:hint="eastAsia" w:ascii="仿宋_GB2312" w:hAnsi="仿宋_GB2312"/>
          <w:szCs w:val="24"/>
          <w:u w:val="none"/>
        </w:rPr>
      </w:pPr>
    </w:p>
    <w:p w14:paraId="3DB8957E">
      <w:pPr>
        <w:pStyle w:val="2"/>
        <w:spacing w:before="360" w:after="360"/>
        <w:rPr>
          <w:rFonts w:hint="eastAsia" w:ascii="方正小标宋简体" w:hAnsi="方正小标宋简体" w:eastAsia="方正小标宋简体" w:cs="方正小标宋简体"/>
          <w:color w:val="auto"/>
          <w:u w:val="none"/>
          <w:lang w:val="en-US" w:eastAsia="zh-CN"/>
        </w:rPr>
      </w:pPr>
      <w:bookmarkStart w:id="25" w:name="_Toc4192"/>
      <w:bookmarkStart w:id="26" w:name="_Toc23205"/>
      <w:r>
        <w:rPr>
          <w:rFonts w:hint="eastAsia" w:ascii="方正小标宋简体" w:hAnsi="方正小标宋简体" w:eastAsia="方正小标宋简体" w:cs="方正小标宋简体"/>
          <w:color w:val="auto"/>
          <w:u w:val="none"/>
          <w:lang w:val="en-US" w:eastAsia="zh-CN"/>
        </w:rPr>
        <w:t>国土空间开发保护格局</w:t>
      </w:r>
      <w:bookmarkEnd w:id="19"/>
      <w:bookmarkEnd w:id="20"/>
      <w:bookmarkEnd w:id="25"/>
      <w:bookmarkEnd w:id="26"/>
    </w:p>
    <w:p w14:paraId="6D4BDD82">
      <w:pPr>
        <w:pStyle w:val="3"/>
        <w:bidi w:val="0"/>
        <w:ind w:left="0" w:leftChars="0" w:firstLine="420" w:firstLineChars="0"/>
        <w:rPr>
          <w:rFonts w:hint="eastAsia" w:ascii="黑体" w:hAnsi="黑体" w:eastAsia="黑体" w:cs="黑体"/>
          <w:u w:val="none"/>
          <w:lang w:val="en-US" w:eastAsia="zh-CN"/>
        </w:rPr>
      </w:pPr>
      <w:bookmarkStart w:id="27" w:name="_Toc152937191"/>
      <w:bookmarkStart w:id="28" w:name="_Toc24053"/>
      <w:bookmarkStart w:id="29" w:name="_Toc13353"/>
      <w:bookmarkStart w:id="30" w:name="_Toc133419321"/>
      <w:bookmarkStart w:id="31" w:name="_Toc381621"/>
      <w:r>
        <w:rPr>
          <w:rFonts w:hint="eastAsia" w:ascii="黑体" w:hAnsi="黑体" w:eastAsia="黑体" w:cs="黑体"/>
          <w:u w:val="none"/>
          <w:lang w:val="en-US" w:eastAsia="zh-CN"/>
        </w:rPr>
        <w:t>国土空间总体格局</w:t>
      </w:r>
      <w:bookmarkEnd w:id="27"/>
      <w:bookmarkEnd w:id="28"/>
      <w:bookmarkEnd w:id="29"/>
    </w:p>
    <w:p w14:paraId="127DC329">
      <w:pPr>
        <w:pStyle w:val="4"/>
        <w:bidi w:val="0"/>
        <w:ind w:left="0" w:leftChars="0" w:firstLine="420" w:firstLineChars="0"/>
        <w:rPr>
          <w:rFonts w:hint="eastAsia"/>
          <w:color w:val="auto"/>
          <w:u w:val="none"/>
          <w:lang w:val="en-US" w:eastAsia="zh-CN"/>
        </w:rPr>
      </w:pPr>
      <w:r>
        <w:rPr>
          <w:rFonts w:hint="eastAsia"/>
          <w:color w:val="auto"/>
          <w:u w:val="none"/>
          <w:lang w:val="en-US" w:eastAsia="zh-CN"/>
        </w:rPr>
        <w:t>彰显美丽古城国土空间格局</w:t>
      </w:r>
    </w:p>
    <w:p w14:paraId="7DB4A3FA">
      <w:pPr>
        <w:keepNext w:val="0"/>
        <w:keepLines w:val="0"/>
        <w:pageBreakBefore w:val="0"/>
        <w:widowControl w:val="0"/>
        <w:kinsoku/>
        <w:overflowPunct/>
        <w:topLinePunct w:val="0"/>
        <w:autoSpaceDE/>
        <w:autoSpaceDN/>
        <w:bidi w:val="0"/>
        <w:spacing w:line="600" w:lineRule="exact"/>
        <w:textAlignment w:val="auto"/>
        <w:rPr>
          <w:rFonts w:hint="eastAsia"/>
          <w:u w:val="none"/>
        </w:rPr>
      </w:pPr>
      <w:r>
        <w:rPr>
          <w:u w:val="none"/>
        </w:rPr>
        <w:t>以辽宁省</w:t>
      </w:r>
      <w:r>
        <w:rPr>
          <w:rFonts w:hint="eastAsia"/>
          <w:u w:val="none"/>
        </w:rPr>
        <w:t>“</w:t>
      </w:r>
      <w:r>
        <w:rPr>
          <w:u w:val="none"/>
        </w:rPr>
        <w:t>一圈一带两区</w:t>
      </w:r>
      <w:r>
        <w:rPr>
          <w:rFonts w:hint="eastAsia"/>
          <w:u w:val="none"/>
        </w:rPr>
        <w:t>”</w:t>
      </w:r>
      <w:r>
        <w:rPr>
          <w:u w:val="none"/>
        </w:rPr>
        <w:t>区域发展</w:t>
      </w:r>
      <w:r>
        <w:rPr>
          <w:rFonts w:hint="eastAsia"/>
          <w:u w:val="none"/>
        </w:rPr>
        <w:t>布局</w:t>
      </w:r>
      <w:r>
        <w:rPr>
          <w:u w:val="none"/>
        </w:rPr>
        <w:t>为引领，</w:t>
      </w:r>
      <w:r>
        <w:rPr>
          <w:rFonts w:hint="eastAsia"/>
          <w:u w:val="none"/>
        </w:rPr>
        <w:t>以桓仁县“一核、一心、四副、两轴、三区”</w:t>
      </w:r>
      <w:r>
        <w:rPr>
          <w:u w:val="none"/>
        </w:rPr>
        <w:t>的国土空间格局</w:t>
      </w:r>
      <w:r>
        <w:rPr>
          <w:rFonts w:hint="eastAsia"/>
          <w:u w:val="none"/>
        </w:rPr>
        <w:t>为依托</w:t>
      </w:r>
      <w:r>
        <w:rPr>
          <w:u w:val="none"/>
        </w:rPr>
        <w:t>，构建分区合理、中心明确、结构清晰、网络完善、设施健全、魅力彰显、安全韧性的国土空间开发保护总体格局。</w:t>
      </w:r>
      <w:r>
        <w:rPr>
          <w:rFonts w:hint="eastAsia"/>
          <w:u w:val="none"/>
        </w:rPr>
        <w:t>规划古城镇总体空间格局为“一轴、一带、双心、四区”。详见附图全域国土空间总体格局规划图。</w:t>
      </w:r>
    </w:p>
    <w:p w14:paraId="1603B4D8">
      <w:pPr>
        <w:keepNext w:val="0"/>
        <w:keepLines w:val="0"/>
        <w:pageBreakBefore w:val="0"/>
        <w:widowControl w:val="0"/>
        <w:kinsoku/>
        <w:overflowPunct/>
        <w:topLinePunct w:val="0"/>
        <w:autoSpaceDE/>
        <w:autoSpaceDN/>
        <w:bidi w:val="0"/>
        <w:spacing w:line="600" w:lineRule="exact"/>
        <w:textAlignment w:val="auto"/>
        <w:rPr>
          <w:color w:val="2E75B6" w:themeColor="accent5" w:themeShade="BF"/>
          <w:u w:val="none"/>
        </w:rPr>
      </w:pPr>
      <w:r>
        <w:rPr>
          <w:rFonts w:hint="eastAsia"/>
          <w:u w:val="none"/>
        </w:rPr>
        <w:t>“一轴”：即镇域交通发展轴，是古城镇域内主要交通道路线状基础设施所组成的具有一定纵深的发展轴线区域，是镇域内社会经济发展和生产力布局的主要集聚地带，承担着人流、物流和信息流的传输任务，是经济活动的热点区域，有利于产业集聚和经济发展。</w:t>
      </w:r>
    </w:p>
    <w:p w14:paraId="273D823C">
      <w:pPr>
        <w:keepNext w:val="0"/>
        <w:keepLines w:val="0"/>
        <w:pageBreakBefore w:val="0"/>
        <w:widowControl w:val="0"/>
        <w:kinsoku/>
        <w:overflowPunct/>
        <w:topLinePunct w:val="0"/>
        <w:autoSpaceDE/>
        <w:autoSpaceDN/>
        <w:bidi w:val="0"/>
        <w:spacing w:line="600" w:lineRule="exact"/>
        <w:textAlignment w:val="auto"/>
        <w:rPr>
          <w:color w:val="2E75B6" w:themeColor="accent5" w:themeShade="BF"/>
          <w:u w:val="none"/>
        </w:rPr>
      </w:pPr>
      <w:r>
        <w:rPr>
          <w:rFonts w:hint="eastAsia"/>
          <w:u w:val="none"/>
        </w:rPr>
        <w:t>“一带”：即古城镇民俗风情带，是一条沿富尔江的文化体验带，是传承和弘扬中华民族优秀传统文化、体验古城镇传统民俗生活的重要平台，有助于推动古城镇旅</w:t>
      </w:r>
      <w:bookmarkStart w:id="226" w:name="_GoBack"/>
      <w:bookmarkEnd w:id="226"/>
      <w:r>
        <w:rPr>
          <w:rFonts w:hint="eastAsia"/>
          <w:u w:val="none"/>
        </w:rPr>
        <w:t>游业的发展，促进经济的繁荣和社会的进步。</w:t>
      </w:r>
    </w:p>
    <w:p w14:paraId="7DBA015F">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双心”：即古城镇综合发展核心和古城通航集散中心。古城镇综合发展核心是具备多种功能的综合性区域核心，具备完善的城镇综合服务功能，各种资源充分利用，形成全面协调发展的经济体系；古城通航集散中心是依托古城机场在航空运输领域形成的货物和人员集散的中心区域，承担货物的仓储、装卸、搬运、分拣、加工等物流作业以及大量人员的集散任务。与其他交通方式实现有效衔接，形成综合交通运输体系。</w:t>
      </w:r>
    </w:p>
    <w:p w14:paraId="63D3A7F3">
      <w:pPr>
        <w:keepNext w:val="0"/>
        <w:keepLines w:val="0"/>
        <w:pageBreakBefore w:val="0"/>
        <w:widowControl w:val="0"/>
        <w:kinsoku/>
        <w:overflowPunct/>
        <w:topLinePunct w:val="0"/>
        <w:autoSpaceDE/>
        <w:autoSpaceDN/>
        <w:bidi w:val="0"/>
        <w:spacing w:line="600" w:lineRule="exact"/>
        <w:textAlignment w:val="auto"/>
        <w:rPr>
          <w:rFonts w:hint="eastAsia"/>
          <w:u w:val="none"/>
        </w:rPr>
      </w:pPr>
      <w:r>
        <w:rPr>
          <w:rFonts w:hint="eastAsia"/>
          <w:u w:val="none"/>
        </w:rPr>
        <w:t>“四区”：分别为古城特色文化发展区、古城生态旅游区、古城民俗体验区和古城通航集散服务区。古城特色文化发展区是以文化为核心，通过挖掘、保护和传承古城镇特色文化资源，形成具有独特文化魅力和品牌影响力的区域，包括耕种文化、传统手工艺、民俗风情等，在保护传统文化的基础上，进行文化创新，推动文化与其他产业的融合发展；古城生态旅游区是以保护生态环境为前提，以可持续发展为目标，为游客提供生态体验、教育、休闲等功能的区域，提供生态体验活动，开展生态教育活动，提高游客对生态环境的认识和保护意识，推动生态旅游与社区发展相结合，实现经济效益、社会效益和生态效益的协调发展；古城民俗体验区是以展示和传承古城镇民俗文化为主题，为游客提供民俗体验、文化交流和休闲娱乐功能的区域，通过体验、服饰、饮食、手工艺等方式，展示地方民俗文化的独特魅力；古城通航集散服务区是为航空运输提供集散、中转、运输等服务的区域，与公路、铁路等交通方式实现有效衔接，形成综合交通运输体系，提高运输效率，同时提供餐饮、购物、住宿等商业服务，满足旅客和货物的多样化需求。</w:t>
      </w:r>
    </w:p>
    <w:bookmarkEnd w:id="30"/>
    <w:p w14:paraId="49DEFAA8">
      <w:pPr>
        <w:pStyle w:val="3"/>
        <w:bidi w:val="0"/>
        <w:ind w:left="0" w:leftChars="0" w:firstLine="420" w:firstLineChars="0"/>
        <w:rPr>
          <w:rFonts w:hint="eastAsia" w:ascii="黑体" w:hAnsi="黑体" w:eastAsia="黑体" w:cs="黑体"/>
          <w:u w:val="none"/>
          <w:lang w:val="en-US" w:eastAsia="zh-CN"/>
        </w:rPr>
      </w:pPr>
      <w:bookmarkStart w:id="32" w:name="_Toc152937192"/>
      <w:bookmarkStart w:id="33" w:name="_Toc27918"/>
      <w:bookmarkStart w:id="34" w:name="_Toc25292"/>
      <w:r>
        <w:rPr>
          <w:rFonts w:hint="eastAsia" w:ascii="黑体" w:hAnsi="黑体" w:eastAsia="黑体" w:cs="黑体"/>
          <w:u w:val="none"/>
          <w:lang w:val="en-US" w:eastAsia="zh-CN"/>
        </w:rPr>
        <w:t>重要</w:t>
      </w:r>
      <w:bookmarkEnd w:id="32"/>
      <w:r>
        <w:rPr>
          <w:rFonts w:hint="eastAsia" w:ascii="黑体" w:hAnsi="黑体" w:eastAsia="黑体" w:cs="黑体"/>
          <w:u w:val="none"/>
          <w:lang w:val="en-US" w:eastAsia="zh-CN"/>
        </w:rPr>
        <w:t>控制线划定</w:t>
      </w:r>
      <w:bookmarkEnd w:id="33"/>
      <w:bookmarkEnd w:id="34"/>
    </w:p>
    <w:p w14:paraId="0A42CFA8">
      <w:pPr>
        <w:pStyle w:val="4"/>
        <w:bidi w:val="0"/>
        <w:ind w:left="0" w:leftChars="0" w:firstLine="420" w:firstLineChars="0"/>
        <w:rPr>
          <w:rFonts w:hint="eastAsia"/>
          <w:color w:val="auto"/>
          <w:u w:val="none"/>
          <w:lang w:val="en-US" w:eastAsia="zh-CN"/>
        </w:rPr>
      </w:pPr>
      <w:bookmarkStart w:id="35" w:name="_Toc381628"/>
      <w:bookmarkStart w:id="36" w:name="_Toc381627"/>
      <w:r>
        <w:rPr>
          <w:rFonts w:hint="eastAsia"/>
          <w:color w:val="auto"/>
          <w:u w:val="none"/>
          <w:lang w:val="en-US" w:eastAsia="zh-CN"/>
        </w:rPr>
        <w:t>耕地和永久基本农田保护红线</w:t>
      </w:r>
    </w:p>
    <w:p w14:paraId="40252497">
      <w:pPr>
        <w:keepNext w:val="0"/>
        <w:keepLines w:val="0"/>
        <w:pageBreakBefore w:val="0"/>
        <w:widowControl w:val="0"/>
        <w:kinsoku/>
        <w:overflowPunct/>
        <w:topLinePunct w:val="0"/>
        <w:autoSpaceDE/>
        <w:autoSpaceDN/>
        <w:bidi w:val="0"/>
        <w:spacing w:line="600" w:lineRule="exact"/>
        <w:textAlignment w:val="auto"/>
        <w:rPr>
          <w:rFonts w:hint="eastAsia"/>
          <w:u w:val="none"/>
        </w:rPr>
      </w:pPr>
      <w:r>
        <w:rPr>
          <w:rFonts w:hint="eastAsia"/>
          <w:u w:val="none"/>
        </w:rPr>
        <w:t>落实最严格的耕地保护制度，现状耕地应划尽划、应保尽保，优先确定耕地保护目标</w:t>
      </w:r>
      <w:r>
        <w:rPr>
          <w:u w:val="none"/>
        </w:rPr>
        <w:t>，</w:t>
      </w:r>
      <w:r>
        <w:rPr>
          <w:rFonts w:hint="eastAsia"/>
          <w:u w:val="none"/>
        </w:rPr>
        <w:t>落实</w:t>
      </w:r>
      <w:r>
        <w:rPr>
          <w:u w:val="none"/>
        </w:rPr>
        <w:t>耕地保护目标</w:t>
      </w:r>
      <w:r>
        <w:rPr>
          <w:rFonts w:hint="eastAsia"/>
          <w:u w:val="none"/>
        </w:rPr>
        <w:t>4882.55</w:t>
      </w:r>
      <w:r>
        <w:rPr>
          <w:u w:val="none"/>
        </w:rPr>
        <w:t>公顷</w:t>
      </w:r>
      <w:r>
        <w:rPr>
          <w:rFonts w:hint="eastAsia" w:eastAsia="仿宋_GB2312"/>
          <w:u w:val="none"/>
          <w:lang w:eastAsia="zh-CN"/>
        </w:rPr>
        <w:t>（73238.19</w:t>
      </w:r>
      <w:r>
        <w:rPr>
          <w:rFonts w:hint="eastAsia" w:ascii="Times New Roman" w:eastAsia="仿宋_GB2312"/>
          <w:u w:val="none"/>
          <w:lang w:val="en-US" w:eastAsia="zh-CN"/>
        </w:rPr>
        <w:t>亩</w:t>
      </w:r>
      <w:r>
        <w:rPr>
          <w:rFonts w:hint="eastAsia" w:eastAsia="仿宋_GB2312"/>
          <w:u w:val="none"/>
          <w:lang w:eastAsia="zh-CN"/>
        </w:rPr>
        <w:t>）</w:t>
      </w:r>
      <w:r>
        <w:rPr>
          <w:u w:val="none"/>
        </w:rPr>
        <w:t>，</w:t>
      </w:r>
      <w:r>
        <w:rPr>
          <w:rFonts w:hint="eastAsia"/>
          <w:u w:val="none"/>
        </w:rPr>
        <w:t>将可长期稳定利用的耕地优先划入永久基本农田实施特殊保护，将高标准农田优先划为永久基本农田，落实</w:t>
      </w:r>
      <w:r>
        <w:rPr>
          <w:u w:val="none"/>
        </w:rPr>
        <w:t>永久基本农田面积</w:t>
      </w:r>
      <w:r>
        <w:rPr>
          <w:rFonts w:hint="eastAsia"/>
          <w:u w:val="none"/>
        </w:rPr>
        <w:t>4124.10</w:t>
      </w:r>
      <w:r>
        <w:rPr>
          <w:u w:val="none"/>
        </w:rPr>
        <w:t>公顷</w:t>
      </w:r>
      <w:r>
        <w:rPr>
          <w:rFonts w:hint="eastAsia" w:eastAsia="仿宋_GB2312"/>
          <w:u w:val="none"/>
          <w:lang w:eastAsia="zh-CN"/>
        </w:rPr>
        <w:t>（61861.47</w:t>
      </w:r>
      <w:r>
        <w:rPr>
          <w:rFonts w:hint="eastAsia" w:ascii="Times New Roman" w:eastAsia="仿宋_GB2312"/>
          <w:u w:val="none"/>
          <w:lang w:val="en-US" w:eastAsia="zh-CN"/>
        </w:rPr>
        <w:t>亩</w:t>
      </w:r>
      <w:r>
        <w:rPr>
          <w:rFonts w:hint="eastAsia" w:eastAsia="仿宋_GB2312"/>
          <w:u w:val="none"/>
          <w:lang w:eastAsia="zh-CN"/>
        </w:rPr>
        <w:t>）</w:t>
      </w:r>
      <w:r>
        <w:rPr>
          <w:u w:val="none"/>
        </w:rPr>
        <w:t>。</w:t>
      </w:r>
      <w:r>
        <w:rPr>
          <w:rFonts w:hint="eastAsia"/>
          <w:u w:val="none"/>
        </w:rPr>
        <w:t>严格落实法律法规与规范性文件对耕地和永久基本农田保护红线的管控要求。</w:t>
      </w:r>
    </w:p>
    <w:p w14:paraId="6CF0974C">
      <w:pPr>
        <w:keepNext w:val="0"/>
        <w:keepLines w:val="0"/>
        <w:pageBreakBefore w:val="0"/>
        <w:widowControl w:val="0"/>
        <w:kinsoku/>
        <w:overflowPunct/>
        <w:topLinePunct w:val="0"/>
        <w:autoSpaceDE/>
        <w:autoSpaceDN/>
        <w:bidi w:val="0"/>
        <w:spacing w:line="600" w:lineRule="exact"/>
        <w:textAlignment w:val="auto"/>
        <w:rPr>
          <w:rFonts w:hint="eastAsia"/>
          <w:u w:val="none"/>
        </w:rPr>
      </w:pPr>
    </w:p>
    <w:p w14:paraId="615C778B">
      <w:pPr>
        <w:pStyle w:val="6"/>
        <w:bidi w:val="0"/>
        <w:rPr>
          <w:rFonts w:hint="eastAsia"/>
          <w:lang w:eastAsia="zh-CN"/>
        </w:rPr>
      </w:pPr>
      <w:r>
        <w:rPr>
          <w:rFonts w:hint="eastAsia"/>
          <w:lang w:eastAsia="zh-CN"/>
        </w:rPr>
        <w:drawing>
          <wp:inline distT="0" distB="0" distL="114300" distR="114300">
            <wp:extent cx="5441315" cy="3850005"/>
            <wp:effectExtent l="0" t="0" r="6985" b="17145"/>
            <wp:docPr id="5" name="图片 5" descr="210522106古城镇04耕地和永久基本农田保护红线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10522106古城镇04耕地和永久基本农田保护红线图"/>
                    <pic:cNvPicPr>
                      <a:picLocks noChangeAspect="1"/>
                    </pic:cNvPicPr>
                  </pic:nvPicPr>
                  <pic:blipFill>
                    <a:blip r:embed="rId16"/>
                    <a:stretch>
                      <a:fillRect/>
                    </a:stretch>
                  </pic:blipFill>
                  <pic:spPr>
                    <a:xfrm>
                      <a:off x="0" y="0"/>
                      <a:ext cx="5441315" cy="3850005"/>
                    </a:xfrm>
                    <a:prstGeom prst="rect">
                      <a:avLst/>
                    </a:prstGeom>
                  </pic:spPr>
                </pic:pic>
              </a:graphicData>
            </a:graphic>
          </wp:inline>
        </w:drawing>
      </w:r>
    </w:p>
    <w:p w14:paraId="34A9AD1F">
      <w:pPr>
        <w:rPr>
          <w:rFonts w:hint="eastAsia"/>
          <w:lang w:eastAsia="zh-CN"/>
        </w:rPr>
      </w:pPr>
    </w:p>
    <w:p w14:paraId="3778BFA2">
      <w:pPr>
        <w:rPr>
          <w:rFonts w:hint="eastAsia"/>
          <w:lang w:eastAsia="zh-CN"/>
        </w:rPr>
      </w:pPr>
    </w:p>
    <w:p w14:paraId="6BF99669">
      <w:pPr>
        <w:pStyle w:val="4"/>
        <w:bidi w:val="0"/>
        <w:ind w:left="0" w:leftChars="0" w:firstLine="420" w:firstLineChars="0"/>
        <w:rPr>
          <w:rFonts w:hint="eastAsia"/>
          <w:color w:val="auto"/>
          <w:u w:val="none"/>
          <w:lang w:val="en-US" w:eastAsia="zh-CN"/>
        </w:rPr>
      </w:pPr>
      <w:r>
        <w:rPr>
          <w:rFonts w:hint="eastAsia"/>
          <w:color w:val="auto"/>
          <w:u w:val="none"/>
          <w:lang w:val="en-US" w:eastAsia="zh-CN"/>
        </w:rPr>
        <w:t>生态保护红线</w:t>
      </w:r>
    </w:p>
    <w:p w14:paraId="610C2703">
      <w:pPr>
        <w:keepNext w:val="0"/>
        <w:keepLines w:val="0"/>
        <w:pageBreakBefore w:val="0"/>
        <w:widowControl w:val="0"/>
        <w:kinsoku/>
        <w:overflowPunct/>
        <w:topLinePunct w:val="0"/>
        <w:autoSpaceDE/>
        <w:autoSpaceDN/>
        <w:bidi w:val="0"/>
        <w:spacing w:line="600" w:lineRule="exact"/>
        <w:textAlignment w:val="auto"/>
        <w:rPr>
          <w:rFonts w:hint="eastAsia"/>
          <w:u w:val="none"/>
        </w:rPr>
      </w:pPr>
      <w:r>
        <w:rPr>
          <w:rFonts w:hint="eastAsia"/>
          <w:u w:val="none"/>
        </w:rPr>
        <w:t>将整合优化后的自然保护地，生态服务功能极重要、生态极脆弱区域，以及目前基本没有人类活动、具有潜在重要生态价值的生态空间划入生态保护红线。落实生态保护红线面积12129.36公顷，主要为浑江水源涵养与生物多样性保护功能红线区。严格落实法律法规与规范性文件对生态保护红线的管控要求。</w:t>
      </w:r>
    </w:p>
    <w:p w14:paraId="411820B2">
      <w:pPr>
        <w:pStyle w:val="6"/>
        <w:bidi w:val="0"/>
        <w:rPr>
          <w:rFonts w:hint="eastAsia"/>
          <w:lang w:eastAsia="zh-CN"/>
        </w:rPr>
      </w:pPr>
      <w:r>
        <w:rPr>
          <w:rFonts w:hint="eastAsia"/>
          <w:lang w:eastAsia="zh-CN"/>
        </w:rPr>
        <w:drawing>
          <wp:inline distT="0" distB="0" distL="114300" distR="114300">
            <wp:extent cx="5441315" cy="3850005"/>
            <wp:effectExtent l="0" t="0" r="6985" b="17145"/>
            <wp:docPr id="6" name="图片 6" descr="210522106古城镇05生态保护红线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10522106古城镇05生态保护红线图"/>
                    <pic:cNvPicPr>
                      <a:picLocks noChangeAspect="1"/>
                    </pic:cNvPicPr>
                  </pic:nvPicPr>
                  <pic:blipFill>
                    <a:blip r:embed="rId17"/>
                    <a:stretch>
                      <a:fillRect/>
                    </a:stretch>
                  </pic:blipFill>
                  <pic:spPr>
                    <a:xfrm>
                      <a:off x="0" y="0"/>
                      <a:ext cx="5441315" cy="3850005"/>
                    </a:xfrm>
                    <a:prstGeom prst="rect">
                      <a:avLst/>
                    </a:prstGeom>
                  </pic:spPr>
                </pic:pic>
              </a:graphicData>
            </a:graphic>
          </wp:inline>
        </w:drawing>
      </w:r>
    </w:p>
    <w:p w14:paraId="0774C145">
      <w:pPr>
        <w:rPr>
          <w:rFonts w:hint="eastAsia"/>
          <w:lang w:eastAsia="zh-CN"/>
        </w:rPr>
      </w:pPr>
    </w:p>
    <w:p w14:paraId="29ED0992">
      <w:pPr>
        <w:rPr>
          <w:rFonts w:hint="eastAsia"/>
          <w:lang w:eastAsia="zh-CN"/>
        </w:rPr>
      </w:pPr>
    </w:p>
    <w:p w14:paraId="1E3883B0">
      <w:pPr>
        <w:rPr>
          <w:rFonts w:hint="eastAsia"/>
          <w:lang w:eastAsia="zh-CN"/>
        </w:rPr>
      </w:pPr>
    </w:p>
    <w:p w14:paraId="6214A21A">
      <w:pPr>
        <w:rPr>
          <w:rFonts w:hint="eastAsia"/>
          <w:lang w:eastAsia="zh-CN"/>
        </w:rPr>
      </w:pPr>
    </w:p>
    <w:bookmarkEnd w:id="35"/>
    <w:bookmarkEnd w:id="36"/>
    <w:p w14:paraId="2A419B72">
      <w:pPr>
        <w:pStyle w:val="4"/>
        <w:bidi w:val="0"/>
        <w:ind w:left="0" w:leftChars="0" w:firstLine="420" w:firstLineChars="0"/>
        <w:rPr>
          <w:rFonts w:hint="eastAsia"/>
          <w:color w:val="auto"/>
          <w:u w:val="none"/>
          <w:lang w:val="en-US" w:eastAsia="zh-CN"/>
        </w:rPr>
      </w:pPr>
      <w:bookmarkStart w:id="37" w:name="_Toc381629"/>
      <w:r>
        <w:rPr>
          <w:rFonts w:hint="eastAsia"/>
          <w:color w:val="auto"/>
          <w:u w:val="none"/>
          <w:lang w:val="en-US" w:eastAsia="zh-CN"/>
        </w:rPr>
        <w:t>城镇开发边界</w:t>
      </w:r>
      <w:bookmarkEnd w:id="37"/>
    </w:p>
    <w:p w14:paraId="31F539D5">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在优先划定耕地和永久基本农田、生态保护红线的基础上，顺应自然地理格局，避让自然灾害高风险等区域，根据常住人口变化趋势合理划定城镇开发边界，引导形成集约紧凑的城镇空间格局。落实上级下达的城镇开发边界扩展系数，落实</w:t>
      </w:r>
      <w:r>
        <w:rPr>
          <w:u w:val="none"/>
        </w:rPr>
        <w:t>城镇开发边界面积</w:t>
      </w:r>
      <w:r>
        <w:rPr>
          <w:rFonts w:hint="eastAsia"/>
          <w:u w:val="none"/>
        </w:rPr>
        <w:t>66.04</w:t>
      </w:r>
      <w:r>
        <w:rPr>
          <w:u w:val="none"/>
        </w:rPr>
        <w:t>公顷，</w:t>
      </w:r>
      <w:r>
        <w:rPr>
          <w:rFonts w:hint="eastAsia"/>
          <w:u w:val="none"/>
        </w:rPr>
        <w:t>城镇开发边界扩展系数为</w:t>
      </w:r>
      <w:r>
        <w:rPr>
          <w:u w:val="none"/>
        </w:rPr>
        <w:t>1.0</w:t>
      </w:r>
      <w:r>
        <w:rPr>
          <w:rFonts w:hint="eastAsia"/>
          <w:u w:val="none"/>
        </w:rPr>
        <w:t>。主要集中于镇中心区，严格落实法律法规与规范性文件对城镇开发边界的管控要求</w:t>
      </w:r>
      <w:r>
        <w:rPr>
          <w:u w:val="none"/>
        </w:rPr>
        <w:t>。</w:t>
      </w:r>
    </w:p>
    <w:p w14:paraId="2DAC5E49">
      <w:pPr>
        <w:pStyle w:val="6"/>
        <w:bidi w:val="0"/>
        <w:rPr>
          <w:rFonts w:hint="eastAsia"/>
          <w:lang w:eastAsia="zh-CN"/>
        </w:rPr>
      </w:pPr>
      <w:r>
        <w:rPr>
          <w:rFonts w:hint="eastAsia"/>
          <w:lang w:eastAsia="zh-CN"/>
        </w:rPr>
        <w:drawing>
          <wp:inline distT="0" distB="0" distL="114300" distR="114300">
            <wp:extent cx="5441315" cy="3850005"/>
            <wp:effectExtent l="0" t="0" r="6985" b="17145"/>
            <wp:docPr id="7" name="图片 7" descr="210522106古城镇06城镇开发边界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210522106古城镇06城镇开发边界图"/>
                    <pic:cNvPicPr>
                      <a:picLocks noChangeAspect="1"/>
                    </pic:cNvPicPr>
                  </pic:nvPicPr>
                  <pic:blipFill>
                    <a:blip r:embed="rId18"/>
                    <a:stretch>
                      <a:fillRect/>
                    </a:stretch>
                  </pic:blipFill>
                  <pic:spPr>
                    <a:xfrm>
                      <a:off x="0" y="0"/>
                      <a:ext cx="5441315" cy="3850005"/>
                    </a:xfrm>
                    <a:prstGeom prst="rect">
                      <a:avLst/>
                    </a:prstGeom>
                  </pic:spPr>
                </pic:pic>
              </a:graphicData>
            </a:graphic>
          </wp:inline>
        </w:drawing>
      </w:r>
    </w:p>
    <w:p w14:paraId="76CEE07F">
      <w:pPr>
        <w:rPr>
          <w:rFonts w:hint="eastAsia"/>
          <w:lang w:eastAsia="zh-CN"/>
        </w:rPr>
      </w:pPr>
    </w:p>
    <w:p w14:paraId="7A3D44DA">
      <w:pPr>
        <w:rPr>
          <w:rFonts w:hint="eastAsia"/>
          <w:lang w:eastAsia="zh-CN"/>
        </w:rPr>
      </w:pPr>
    </w:p>
    <w:p w14:paraId="0DE4A3FF">
      <w:pPr>
        <w:rPr>
          <w:rFonts w:hint="eastAsia"/>
          <w:lang w:eastAsia="zh-CN"/>
        </w:rPr>
      </w:pPr>
    </w:p>
    <w:p w14:paraId="75E0DE2A">
      <w:pPr>
        <w:rPr>
          <w:rFonts w:hint="eastAsia"/>
          <w:lang w:eastAsia="zh-CN"/>
        </w:rPr>
      </w:pPr>
    </w:p>
    <w:p w14:paraId="27B87CEB">
      <w:pPr>
        <w:pStyle w:val="4"/>
        <w:bidi w:val="0"/>
        <w:ind w:left="0" w:leftChars="0" w:firstLine="420" w:firstLineChars="0"/>
        <w:rPr>
          <w:rFonts w:hint="eastAsia"/>
          <w:color w:val="auto"/>
          <w:u w:val="none"/>
          <w:lang w:val="en-US" w:eastAsia="zh-CN"/>
        </w:rPr>
      </w:pPr>
      <w:r>
        <w:rPr>
          <w:rFonts w:hint="eastAsia"/>
          <w:color w:val="auto"/>
          <w:u w:val="none"/>
          <w:lang w:val="en-US" w:eastAsia="zh-CN"/>
        </w:rPr>
        <w:t>其他空间控制线</w:t>
      </w:r>
    </w:p>
    <w:p w14:paraId="0196BEE9">
      <w:pPr>
        <w:keepNext w:val="0"/>
        <w:keepLines w:val="0"/>
        <w:pageBreakBefore w:val="0"/>
        <w:widowControl w:val="0"/>
        <w:kinsoku/>
        <w:overflowPunct/>
        <w:topLinePunct w:val="0"/>
        <w:autoSpaceDE/>
        <w:autoSpaceDN/>
        <w:bidi w:val="0"/>
        <w:spacing w:line="600" w:lineRule="exact"/>
        <w:textAlignment w:val="auto"/>
        <w:rPr>
          <w:rFonts w:cs="仿宋_GB2312"/>
          <w:szCs w:val="32"/>
          <w:u w:val="none"/>
          <w:lang w:bidi="ar"/>
        </w:rPr>
      </w:pPr>
      <w:r>
        <w:rPr>
          <w:rFonts w:hint="eastAsia" w:cs="仿宋_GB2312"/>
          <w:szCs w:val="32"/>
          <w:u w:val="none"/>
          <w:lang w:bidi="ar"/>
        </w:rPr>
        <w:t>灾害风险控制线。落实上位确定的洪涝风险控制线和自然灾害风险分区。农业生产和城镇、村庄建设应避让洪涝灾害风险控制线和地质、气象等灾害高易发区，加强对风险极高区域的防灾减灾救灾设施建设，有效降低灾害影响，提高城镇、村庄灾害风险防护能力和安全韧性水平。洪涝风险控制线内严格限制影响防洪排涝系统完整性和通达性的行为，禁止修建阻碍行洪的各类建筑物。结合灾害防治工程建设进度实时调整风险管控范围，引导各项建设避开灾害风险区。</w:t>
      </w:r>
    </w:p>
    <w:p w14:paraId="018CB39D">
      <w:pPr>
        <w:keepNext w:val="0"/>
        <w:keepLines w:val="0"/>
        <w:pageBreakBefore w:val="0"/>
        <w:widowControl w:val="0"/>
        <w:kinsoku/>
        <w:overflowPunct/>
        <w:topLinePunct w:val="0"/>
        <w:autoSpaceDE/>
        <w:autoSpaceDN/>
        <w:bidi w:val="0"/>
        <w:spacing w:line="600" w:lineRule="exact"/>
        <w:textAlignment w:val="auto"/>
        <w:rPr>
          <w:rFonts w:hint="eastAsia" w:cs="仿宋_GB2312"/>
          <w:szCs w:val="32"/>
          <w:u w:val="none"/>
          <w:lang w:bidi="ar"/>
        </w:rPr>
      </w:pPr>
      <w:r>
        <w:rPr>
          <w:rFonts w:hint="eastAsia" w:cs="仿宋_GB2312"/>
          <w:szCs w:val="32"/>
          <w:u w:val="none"/>
          <w:lang w:bidi="ar"/>
        </w:rPr>
        <w:t>历史文化保护线。</w:t>
      </w:r>
      <w:r>
        <w:rPr>
          <w:rFonts w:cs="Times New Roman"/>
          <w:szCs w:val="32"/>
          <w:u w:val="none"/>
          <w:lang w:bidi="ar"/>
        </w:rPr>
        <w:t>保护</w:t>
      </w:r>
      <w:r>
        <w:rPr>
          <w:rFonts w:hint="eastAsia" w:cs="Times New Roman"/>
          <w:szCs w:val="32"/>
          <w:u w:val="none"/>
          <w:lang w:val="en-US" w:eastAsia="zh-CN" w:bidi="ar"/>
        </w:rPr>
        <w:t>古城</w:t>
      </w:r>
      <w:r>
        <w:rPr>
          <w:rFonts w:cs="Times New Roman"/>
          <w:szCs w:val="32"/>
          <w:u w:val="none"/>
          <w:lang w:bidi="ar"/>
        </w:rPr>
        <w:t>镇内的历史文化资源，包括</w:t>
      </w:r>
      <w:r>
        <w:rPr>
          <w:rFonts w:hint="eastAsia" w:cs="Times New Roman"/>
          <w:szCs w:val="32"/>
          <w:u w:val="none"/>
          <w:lang w:val="en-US" w:eastAsia="zh-CN" w:bidi="ar"/>
        </w:rPr>
        <w:t>省级</w:t>
      </w:r>
      <w:r>
        <w:rPr>
          <w:rFonts w:cs="Times New Roman"/>
          <w:szCs w:val="32"/>
          <w:u w:val="none"/>
          <w:lang w:bidi="ar"/>
        </w:rPr>
        <w:t>文物保护单位</w:t>
      </w:r>
      <w:r>
        <w:rPr>
          <w:rFonts w:hint="eastAsia" w:cs="Times New Roman"/>
          <w:szCs w:val="32"/>
          <w:u w:val="none"/>
          <w:lang w:val="en-US" w:eastAsia="zh-CN" w:bidi="ar"/>
        </w:rPr>
        <w:t>小荒沟遗址</w:t>
      </w:r>
      <w:r>
        <w:rPr>
          <w:rFonts w:hint="eastAsia" w:cs="Times New Roman"/>
          <w:szCs w:val="32"/>
          <w:u w:val="none"/>
          <w:lang w:bidi="ar"/>
        </w:rPr>
        <w:t>、</w:t>
      </w:r>
      <w:r>
        <w:rPr>
          <w:rFonts w:hint="eastAsia" w:cs="Times New Roman"/>
          <w:szCs w:val="32"/>
          <w:u w:val="none"/>
          <w:lang w:val="en-US" w:eastAsia="zh-CN" w:bidi="ar"/>
        </w:rPr>
        <w:t>市级</w:t>
      </w:r>
      <w:r>
        <w:rPr>
          <w:rFonts w:cs="Times New Roman"/>
          <w:szCs w:val="32"/>
          <w:u w:val="none"/>
          <w:lang w:bidi="ar"/>
        </w:rPr>
        <w:t>文物保护单位</w:t>
      </w:r>
      <w:r>
        <w:rPr>
          <w:rFonts w:hint="eastAsia" w:cs="Times New Roman"/>
          <w:szCs w:val="32"/>
          <w:u w:val="none"/>
          <w:lang w:val="en-US" w:eastAsia="zh-CN" w:bidi="ar"/>
        </w:rPr>
        <w:t>东聚涌烧锅遗址、县级</w:t>
      </w:r>
      <w:r>
        <w:rPr>
          <w:rFonts w:cs="Times New Roman"/>
          <w:szCs w:val="32"/>
          <w:u w:val="none"/>
          <w:lang w:bidi="ar"/>
        </w:rPr>
        <w:t>文物保护单位</w:t>
      </w:r>
      <w:r>
        <w:rPr>
          <w:rFonts w:hint="eastAsia" w:cs="Times New Roman"/>
          <w:szCs w:val="32"/>
          <w:u w:val="none"/>
          <w:lang w:val="en-US" w:eastAsia="zh-CN" w:bidi="ar"/>
        </w:rPr>
        <w:t>大荒沟遗址</w:t>
      </w:r>
      <w:r>
        <w:rPr>
          <w:rFonts w:hint="eastAsia" w:cs="Times New Roman"/>
          <w:szCs w:val="32"/>
          <w:u w:val="none"/>
          <w:lang w:bidi="ar"/>
        </w:rPr>
        <w:t>等</w:t>
      </w:r>
      <w:r>
        <w:rPr>
          <w:rFonts w:hint="eastAsia" w:cs="Times New Roman"/>
          <w:szCs w:val="32"/>
          <w:u w:val="none"/>
          <w:lang w:eastAsia="zh-CN" w:bidi="ar"/>
        </w:rPr>
        <w:t>，</w:t>
      </w:r>
      <w:r>
        <w:rPr>
          <w:rFonts w:hint="eastAsia" w:cs="仿宋_GB2312"/>
          <w:szCs w:val="32"/>
          <w:u w:val="none"/>
          <w:lang w:bidi="ar"/>
        </w:rPr>
        <w:t>明确全域各类历史文化遗产的保护范围和必要的建设控制地带，科学合理划定历史文化保护线。规划期内按照《中华人民共和国文物保护法》《中华人民共和国文物保护条例》对历史文化保护线进行严格保护，控制线范围内不得进行与之不相关的其他建设。严格控制保护线周边建设控制地带内的开发强度，新建、扩建、改建各类建（构）筑物和其他设施时，应与保护区的传统风貌或地方特色相协调。</w:t>
      </w:r>
    </w:p>
    <w:p w14:paraId="395E9C1B">
      <w:pPr>
        <w:keepNext w:val="0"/>
        <w:keepLines w:val="0"/>
        <w:pageBreakBefore w:val="0"/>
        <w:widowControl w:val="0"/>
        <w:kinsoku/>
        <w:overflowPunct/>
        <w:topLinePunct w:val="0"/>
        <w:autoSpaceDE/>
        <w:autoSpaceDN/>
        <w:bidi w:val="0"/>
        <w:spacing w:line="600" w:lineRule="exact"/>
        <w:textAlignment w:val="auto"/>
        <w:rPr>
          <w:rFonts w:hint="eastAsia" w:cs="仿宋_GB2312"/>
          <w:szCs w:val="32"/>
          <w:u w:val="none"/>
          <w:lang w:bidi="ar"/>
        </w:rPr>
      </w:pPr>
    </w:p>
    <w:p w14:paraId="6F49D378">
      <w:pPr>
        <w:keepNext w:val="0"/>
        <w:keepLines w:val="0"/>
        <w:pageBreakBefore w:val="0"/>
        <w:widowControl w:val="0"/>
        <w:kinsoku/>
        <w:overflowPunct/>
        <w:topLinePunct w:val="0"/>
        <w:autoSpaceDE/>
        <w:autoSpaceDN/>
        <w:bidi w:val="0"/>
        <w:spacing w:line="600" w:lineRule="exact"/>
        <w:textAlignment w:val="auto"/>
        <w:rPr>
          <w:rFonts w:hint="eastAsia" w:cs="仿宋_GB2312"/>
          <w:szCs w:val="32"/>
          <w:u w:val="none"/>
          <w:lang w:bidi="ar"/>
        </w:rPr>
      </w:pPr>
    </w:p>
    <w:p w14:paraId="10CBFF5C">
      <w:pPr>
        <w:keepNext w:val="0"/>
        <w:keepLines w:val="0"/>
        <w:pageBreakBefore w:val="0"/>
        <w:widowControl w:val="0"/>
        <w:kinsoku/>
        <w:overflowPunct/>
        <w:topLinePunct w:val="0"/>
        <w:autoSpaceDE/>
        <w:autoSpaceDN/>
        <w:bidi w:val="0"/>
        <w:spacing w:line="600" w:lineRule="exact"/>
        <w:textAlignment w:val="auto"/>
        <w:rPr>
          <w:rFonts w:hint="eastAsia" w:cs="仿宋_GB2312"/>
          <w:szCs w:val="32"/>
          <w:u w:val="none"/>
          <w:lang w:bidi="ar"/>
        </w:rPr>
      </w:pPr>
    </w:p>
    <w:p w14:paraId="0F26A612">
      <w:pPr>
        <w:pStyle w:val="4"/>
        <w:bidi w:val="0"/>
        <w:ind w:left="0" w:leftChars="0" w:firstLine="420" w:firstLineChars="0"/>
        <w:rPr>
          <w:rFonts w:hint="eastAsia"/>
          <w:color w:val="auto"/>
          <w:u w:val="none"/>
          <w:lang w:val="en-US" w:eastAsia="zh-CN"/>
        </w:rPr>
      </w:pPr>
      <w:r>
        <w:rPr>
          <w:rFonts w:hint="eastAsia"/>
          <w:color w:val="auto"/>
          <w:u w:val="none"/>
          <w:lang w:val="en-US" w:eastAsia="zh-CN"/>
        </w:rPr>
        <w:t>村庄建设边界</w:t>
      </w:r>
    </w:p>
    <w:p w14:paraId="0D944248">
      <w:pPr>
        <w:keepNext w:val="0"/>
        <w:keepLines w:val="0"/>
        <w:pageBreakBefore w:val="0"/>
        <w:widowControl w:val="0"/>
        <w:kinsoku/>
        <w:overflowPunct/>
        <w:topLinePunct w:val="0"/>
        <w:autoSpaceDE/>
        <w:autoSpaceDN/>
        <w:bidi w:val="0"/>
        <w:spacing w:line="600" w:lineRule="exact"/>
        <w:textAlignment w:val="auto"/>
        <w:rPr>
          <w:rFonts w:hint="eastAsia"/>
          <w:u w:val="none"/>
          <w:lang w:bidi="ar"/>
        </w:rPr>
      </w:pPr>
      <w:r>
        <w:rPr>
          <w:rFonts w:hint="eastAsia"/>
          <w:u w:val="none"/>
          <w:lang w:bidi="ar"/>
        </w:rPr>
        <w:t>以村庄建设边界初划成果为基础，结合村庄发展需要，坚持保护优先，避让耕地和永久基本农田保护红线、生态保护红线、城镇开发边界，全域科学划定村庄建设边界，坚持集聚建设，引导乡村建设向边界内集聚。统筹安排宅基地用地规模和布局，满足合理的宅基地需求。农村村民建造住宅应严格落实“一户一宅”规定，严格控制占用耕地建造住宅。农村村民应严格按照批准面积和建房标准建设住宅。</w:t>
      </w:r>
    </w:p>
    <w:p w14:paraId="6F1D8364">
      <w:pPr>
        <w:keepNext w:val="0"/>
        <w:keepLines w:val="0"/>
        <w:pageBreakBefore w:val="0"/>
        <w:widowControl w:val="0"/>
        <w:kinsoku/>
        <w:overflowPunct/>
        <w:topLinePunct w:val="0"/>
        <w:autoSpaceDE/>
        <w:autoSpaceDN/>
        <w:bidi w:val="0"/>
        <w:spacing w:line="600" w:lineRule="exact"/>
        <w:textAlignment w:val="auto"/>
        <w:rPr>
          <w:rFonts w:hint="eastAsia"/>
          <w:u w:val="none"/>
          <w:lang w:bidi="ar"/>
        </w:rPr>
      </w:pPr>
    </w:p>
    <w:p w14:paraId="58BDC792">
      <w:pPr>
        <w:pStyle w:val="6"/>
        <w:bidi w:val="0"/>
        <w:rPr>
          <w:rFonts w:hint="eastAsia"/>
          <w:u w:val="none"/>
          <w:lang w:bidi="ar"/>
        </w:rPr>
      </w:pPr>
      <w:r>
        <w:rPr>
          <w:rFonts w:hint="eastAsia"/>
          <w:u w:val="none"/>
          <w:lang w:bidi="ar"/>
        </w:rPr>
        <w:drawing>
          <wp:inline distT="0" distB="0" distL="114300" distR="114300">
            <wp:extent cx="5441315" cy="3850005"/>
            <wp:effectExtent l="0" t="0" r="6985" b="17145"/>
            <wp:docPr id="8" name="图片 8" descr="210522106古城镇07村庄建设边界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210522106古城镇07村庄建设边界图"/>
                    <pic:cNvPicPr>
                      <a:picLocks noChangeAspect="1"/>
                    </pic:cNvPicPr>
                  </pic:nvPicPr>
                  <pic:blipFill>
                    <a:blip r:embed="rId19"/>
                    <a:stretch>
                      <a:fillRect/>
                    </a:stretch>
                  </pic:blipFill>
                  <pic:spPr>
                    <a:xfrm>
                      <a:off x="0" y="0"/>
                      <a:ext cx="5441315" cy="3850005"/>
                    </a:xfrm>
                    <a:prstGeom prst="rect">
                      <a:avLst/>
                    </a:prstGeom>
                  </pic:spPr>
                </pic:pic>
              </a:graphicData>
            </a:graphic>
          </wp:inline>
        </w:drawing>
      </w:r>
    </w:p>
    <w:p w14:paraId="039E18E0">
      <w:pPr>
        <w:keepNext w:val="0"/>
        <w:keepLines w:val="0"/>
        <w:pageBreakBefore w:val="0"/>
        <w:widowControl w:val="0"/>
        <w:kinsoku/>
        <w:overflowPunct/>
        <w:topLinePunct w:val="0"/>
        <w:autoSpaceDE/>
        <w:autoSpaceDN/>
        <w:bidi w:val="0"/>
        <w:spacing w:line="600" w:lineRule="exact"/>
        <w:textAlignment w:val="auto"/>
        <w:rPr>
          <w:rFonts w:hint="eastAsia"/>
          <w:u w:val="none"/>
          <w:lang w:bidi="ar"/>
        </w:rPr>
      </w:pPr>
      <w:r>
        <w:rPr>
          <w:rFonts w:hint="eastAsia"/>
          <w:u w:val="none"/>
          <w:lang w:bidi="ar"/>
        </w:rPr>
        <w:t>统筹城乡产业发展，优化城乡产业用地布局，引导工业向城镇产业空间集聚，合理保障农村新产业新业态发展用地。村庄建设项目原则上应集中在村庄建设边界内，在不占用永久基本农田和生态保护红线、符合法律法规及相关政策要求、不破坏生态环境和乡村风貌的前提下，利用农村本地资源开展农产品初加工、发展休闲观光旅游而必需的配套设施建设、农村道路、电力等线性公益设施建设、殡葬等特殊用地等项目建设可在村庄建设边界外安排。在符合法律法规、政策要求的前提下，可预留不高于5%的建设用地机动指标，用于村民居住、农村公共公益设施、零星分散的乡村文旅设施及农村新产业新业态等用地需求。在充分尊重农民意愿的前提下，鼓励开展全域国土综合整治，盘活农村存量建设用地，促进乡村建设用地节约集约利用。</w:t>
      </w:r>
    </w:p>
    <w:p w14:paraId="4C0BBC24">
      <w:pPr>
        <w:keepNext w:val="0"/>
        <w:keepLines w:val="0"/>
        <w:pageBreakBefore w:val="0"/>
        <w:widowControl w:val="0"/>
        <w:kinsoku/>
        <w:overflowPunct/>
        <w:topLinePunct w:val="0"/>
        <w:autoSpaceDE/>
        <w:autoSpaceDN/>
        <w:bidi w:val="0"/>
        <w:spacing w:line="600" w:lineRule="exact"/>
        <w:textAlignment w:val="auto"/>
        <w:rPr>
          <w:rFonts w:hint="eastAsia"/>
          <w:u w:val="none"/>
          <w:lang w:bidi="ar"/>
        </w:rPr>
      </w:pPr>
    </w:p>
    <w:p w14:paraId="1C872A69">
      <w:pPr>
        <w:pStyle w:val="6"/>
        <w:bidi w:val="0"/>
        <w:rPr>
          <w:rFonts w:hint="eastAsia"/>
          <w:lang w:eastAsia="zh-CN"/>
        </w:rPr>
      </w:pPr>
      <w:r>
        <w:rPr>
          <w:rFonts w:hint="eastAsia"/>
          <w:lang w:eastAsia="zh-CN"/>
        </w:rPr>
        <w:drawing>
          <wp:inline distT="0" distB="0" distL="114300" distR="114300">
            <wp:extent cx="5441315" cy="3850005"/>
            <wp:effectExtent l="0" t="0" r="6985" b="17145"/>
            <wp:docPr id="9" name="图片 9" descr="210522106古城镇03国土空间控制线规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210522106古城镇03国土空间控制线规划图"/>
                    <pic:cNvPicPr>
                      <a:picLocks noChangeAspect="1"/>
                    </pic:cNvPicPr>
                  </pic:nvPicPr>
                  <pic:blipFill>
                    <a:blip r:embed="rId20"/>
                    <a:stretch>
                      <a:fillRect/>
                    </a:stretch>
                  </pic:blipFill>
                  <pic:spPr>
                    <a:xfrm>
                      <a:off x="0" y="0"/>
                      <a:ext cx="5441315" cy="3850005"/>
                    </a:xfrm>
                    <a:prstGeom prst="rect">
                      <a:avLst/>
                    </a:prstGeom>
                  </pic:spPr>
                </pic:pic>
              </a:graphicData>
            </a:graphic>
          </wp:inline>
        </w:drawing>
      </w:r>
    </w:p>
    <w:p w14:paraId="0AC34CC5">
      <w:pPr>
        <w:rPr>
          <w:rFonts w:hint="eastAsia"/>
          <w:lang w:eastAsia="zh-CN"/>
        </w:rPr>
      </w:pPr>
    </w:p>
    <w:p w14:paraId="1629A6FA">
      <w:pPr>
        <w:keepNext w:val="0"/>
        <w:keepLines w:val="0"/>
        <w:pageBreakBefore w:val="0"/>
        <w:widowControl w:val="0"/>
        <w:kinsoku/>
        <w:wordWrap/>
        <w:overflowPunct/>
        <w:topLinePunct w:val="0"/>
        <w:autoSpaceDE/>
        <w:autoSpaceDN/>
        <w:bidi w:val="0"/>
        <w:adjustRightInd w:val="0"/>
        <w:snapToGrid w:val="0"/>
        <w:spacing w:after="219" w:afterLines="50" w:line="600" w:lineRule="exact"/>
        <w:ind w:firstLine="0" w:firstLineChars="0"/>
        <w:jc w:val="center"/>
        <w:textAlignment w:val="auto"/>
        <w:outlineLvl w:val="9"/>
        <w:rPr>
          <w:rFonts w:hint="eastAsia" w:ascii="黑体" w:hAnsi="黑体" w:eastAsia="黑体" w:cs="黑体"/>
          <w:b w:val="0"/>
          <w:bCs w:val="0"/>
          <w:color w:val="000000"/>
          <w:u w:val="none"/>
        </w:rPr>
      </w:pPr>
      <w:bookmarkStart w:id="38" w:name="_Toc1672"/>
      <w:r>
        <w:rPr>
          <w:rFonts w:hint="eastAsia" w:ascii="黑体" w:hAnsi="黑体" w:eastAsia="黑体" w:cs="黑体"/>
          <w:b w:val="0"/>
          <w:bCs w:val="0"/>
          <w:color w:val="000000"/>
          <w:u w:val="none"/>
        </w:rPr>
        <w:t>耕地</w:t>
      </w:r>
      <w:r>
        <w:rPr>
          <w:rFonts w:hint="eastAsia" w:ascii="黑体" w:hAnsi="黑体" w:eastAsia="黑体" w:cs="黑体"/>
          <w:b w:val="0"/>
          <w:bCs w:val="0"/>
          <w:color w:val="000000"/>
          <w:u w:val="none"/>
          <w:lang w:val="en-US" w:eastAsia="zh-CN"/>
        </w:rPr>
        <w:t>保有量</w:t>
      </w:r>
      <w:r>
        <w:rPr>
          <w:rFonts w:hint="eastAsia" w:ascii="黑体" w:hAnsi="黑体" w:eastAsia="黑体" w:cs="黑体"/>
          <w:b w:val="0"/>
          <w:bCs w:val="0"/>
          <w:color w:val="000000"/>
          <w:u w:val="none"/>
        </w:rPr>
        <w:t>、永久基本农田、生态保护红线、村庄建设边界</w:t>
      </w:r>
      <w:bookmarkStart w:id="39" w:name="_Toc3294"/>
      <w:bookmarkStart w:id="40" w:name="_Toc4096"/>
      <w:r>
        <w:rPr>
          <w:rFonts w:hint="eastAsia" w:ascii="黑体" w:hAnsi="黑体" w:eastAsia="黑体" w:cs="黑体"/>
          <w:b w:val="0"/>
          <w:bCs w:val="0"/>
          <w:color w:val="000000"/>
          <w:u w:val="none"/>
        </w:rPr>
        <w:t>指标分解表</w:t>
      </w:r>
      <w:bookmarkEnd w:id="38"/>
      <w:bookmarkEnd w:id="39"/>
      <w:bookmarkEnd w:id="40"/>
    </w:p>
    <w:p w14:paraId="6380264F">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right"/>
        <w:textAlignment w:val="auto"/>
        <w:rPr>
          <w:rFonts w:hint="eastAsia" w:ascii="仿宋_GB2312" w:hAnsi="宋体" w:cs="宋体"/>
          <w:color w:val="auto"/>
          <w:spacing w:val="-1"/>
          <w:sz w:val="21"/>
          <w:szCs w:val="21"/>
          <w:u w:val="none"/>
          <w:lang w:bidi="ar"/>
        </w:rPr>
      </w:pPr>
      <w:r>
        <w:rPr>
          <w:rFonts w:hint="eastAsia" w:ascii="仿宋_GB2312" w:hAnsi="宋体" w:cs="宋体"/>
          <w:color w:val="auto"/>
          <w:spacing w:val="-1"/>
          <w:sz w:val="21"/>
          <w:szCs w:val="21"/>
          <w:u w:val="none"/>
          <w:lang w:bidi="ar"/>
        </w:rPr>
        <w:t>单位：公顷</w:t>
      </w:r>
    </w:p>
    <w:tbl>
      <w:tblPr>
        <w:tblStyle w:val="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759"/>
        <w:gridCol w:w="1759"/>
        <w:gridCol w:w="1759"/>
        <w:gridCol w:w="1759"/>
        <w:gridCol w:w="1762"/>
      </w:tblGrid>
      <w:tr w14:paraId="4724B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999" w:type="pct"/>
            <w:shd w:val="clear" w:color="auto" w:fill="auto"/>
            <w:noWrap/>
            <w:vAlign w:val="center"/>
          </w:tcPr>
          <w:p w14:paraId="3CE41AC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i w:val="0"/>
                <w:iCs w:val="0"/>
                <w:color w:val="auto"/>
                <w:spacing w:val="-1"/>
                <w:sz w:val="21"/>
                <w:szCs w:val="21"/>
                <w:u w:val="none"/>
                <w:lang w:bidi="ar"/>
              </w:rPr>
            </w:pPr>
            <w:r>
              <w:rPr>
                <w:rFonts w:hint="default" w:ascii="Times New Roman" w:hAnsi="Times New Roman" w:eastAsia="仿宋_GB2312" w:cs="Times New Roman"/>
                <w:b/>
                <w:bCs/>
                <w:color w:val="auto"/>
                <w:spacing w:val="-1"/>
                <w:sz w:val="21"/>
                <w:szCs w:val="21"/>
                <w:u w:val="none"/>
                <w:lang w:bidi="ar"/>
              </w:rPr>
              <w:t>行政村</w:t>
            </w:r>
          </w:p>
        </w:tc>
        <w:tc>
          <w:tcPr>
            <w:tcW w:w="999" w:type="pct"/>
            <w:shd w:val="clear" w:color="auto" w:fill="auto"/>
            <w:noWrap/>
            <w:vAlign w:val="center"/>
          </w:tcPr>
          <w:p w14:paraId="5E31345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i w:val="0"/>
                <w:iCs w:val="0"/>
                <w:color w:val="auto"/>
                <w:spacing w:val="-1"/>
                <w:kern w:val="2"/>
                <w:sz w:val="21"/>
                <w:szCs w:val="21"/>
                <w:u w:val="none"/>
                <w:lang w:val="en-US" w:eastAsia="zh-CN" w:bidi="ar"/>
              </w:rPr>
            </w:pPr>
            <w:r>
              <w:rPr>
                <w:rFonts w:hint="default" w:ascii="Times New Roman" w:hAnsi="Times New Roman" w:eastAsia="仿宋_GB2312" w:cs="Times New Roman"/>
                <w:b/>
                <w:bCs/>
                <w:i w:val="0"/>
                <w:iCs w:val="0"/>
                <w:color w:val="auto"/>
                <w:spacing w:val="-1"/>
                <w:kern w:val="2"/>
                <w:sz w:val="21"/>
                <w:szCs w:val="21"/>
                <w:u w:val="none"/>
                <w:lang w:val="en-US" w:eastAsia="zh-CN" w:bidi="ar"/>
              </w:rPr>
              <w:t>耕地</w:t>
            </w:r>
          </w:p>
          <w:p w14:paraId="28CCDC7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i w:val="0"/>
                <w:iCs w:val="0"/>
                <w:color w:val="auto"/>
                <w:spacing w:val="-1"/>
                <w:sz w:val="21"/>
                <w:szCs w:val="21"/>
                <w:u w:val="none"/>
                <w:lang w:bidi="ar"/>
              </w:rPr>
            </w:pPr>
            <w:r>
              <w:rPr>
                <w:rFonts w:hint="default" w:ascii="Times New Roman" w:hAnsi="Times New Roman" w:eastAsia="仿宋_GB2312" w:cs="Times New Roman"/>
                <w:b/>
                <w:bCs/>
                <w:i w:val="0"/>
                <w:iCs w:val="0"/>
                <w:color w:val="auto"/>
                <w:spacing w:val="-1"/>
                <w:kern w:val="2"/>
                <w:sz w:val="21"/>
                <w:szCs w:val="21"/>
                <w:u w:val="none"/>
                <w:lang w:val="en-US" w:eastAsia="zh-CN" w:bidi="ar"/>
              </w:rPr>
              <w:t>保有量</w:t>
            </w:r>
          </w:p>
        </w:tc>
        <w:tc>
          <w:tcPr>
            <w:tcW w:w="999" w:type="pct"/>
            <w:shd w:val="clear" w:color="auto" w:fill="auto"/>
            <w:noWrap/>
            <w:vAlign w:val="center"/>
          </w:tcPr>
          <w:p w14:paraId="6A66A18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i w:val="0"/>
                <w:iCs w:val="0"/>
                <w:color w:val="auto"/>
                <w:spacing w:val="-1"/>
                <w:kern w:val="2"/>
                <w:sz w:val="21"/>
                <w:szCs w:val="21"/>
                <w:u w:val="none"/>
                <w:lang w:val="en-US" w:eastAsia="zh-CN" w:bidi="ar"/>
              </w:rPr>
            </w:pPr>
            <w:r>
              <w:rPr>
                <w:rFonts w:hint="default" w:ascii="Times New Roman" w:hAnsi="Times New Roman" w:eastAsia="仿宋_GB2312" w:cs="Times New Roman"/>
                <w:b/>
                <w:bCs/>
                <w:i w:val="0"/>
                <w:iCs w:val="0"/>
                <w:color w:val="auto"/>
                <w:spacing w:val="-1"/>
                <w:kern w:val="2"/>
                <w:sz w:val="21"/>
                <w:szCs w:val="21"/>
                <w:u w:val="none"/>
                <w:lang w:val="en-US" w:eastAsia="zh-CN" w:bidi="ar"/>
              </w:rPr>
              <w:t>永久基本农田</w:t>
            </w:r>
          </w:p>
          <w:p w14:paraId="684ADFA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i w:val="0"/>
                <w:iCs w:val="0"/>
                <w:color w:val="auto"/>
                <w:spacing w:val="-1"/>
                <w:sz w:val="21"/>
                <w:szCs w:val="21"/>
                <w:u w:val="none"/>
                <w:lang w:bidi="ar"/>
              </w:rPr>
            </w:pPr>
            <w:r>
              <w:rPr>
                <w:rFonts w:hint="default" w:ascii="Times New Roman" w:hAnsi="Times New Roman" w:eastAsia="仿宋_GB2312" w:cs="Times New Roman"/>
                <w:b/>
                <w:bCs/>
                <w:i w:val="0"/>
                <w:iCs w:val="0"/>
                <w:color w:val="auto"/>
                <w:spacing w:val="-1"/>
                <w:kern w:val="2"/>
                <w:sz w:val="21"/>
                <w:szCs w:val="21"/>
                <w:u w:val="none"/>
                <w:lang w:val="en-US" w:eastAsia="zh-CN" w:bidi="ar"/>
              </w:rPr>
              <w:t>保护面积</w:t>
            </w:r>
          </w:p>
        </w:tc>
        <w:tc>
          <w:tcPr>
            <w:tcW w:w="999" w:type="pct"/>
            <w:shd w:val="clear" w:color="auto" w:fill="auto"/>
            <w:noWrap/>
            <w:vAlign w:val="center"/>
          </w:tcPr>
          <w:p w14:paraId="64FA54E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i w:val="0"/>
                <w:iCs w:val="0"/>
                <w:color w:val="auto"/>
                <w:spacing w:val="-1"/>
                <w:kern w:val="2"/>
                <w:sz w:val="21"/>
                <w:szCs w:val="21"/>
                <w:u w:val="none"/>
                <w:lang w:val="en-US" w:eastAsia="zh-CN" w:bidi="ar"/>
              </w:rPr>
            </w:pPr>
            <w:r>
              <w:rPr>
                <w:rFonts w:hint="default" w:ascii="Times New Roman" w:hAnsi="Times New Roman" w:eastAsia="仿宋_GB2312" w:cs="Times New Roman"/>
                <w:b/>
                <w:bCs/>
                <w:i w:val="0"/>
                <w:iCs w:val="0"/>
                <w:color w:val="auto"/>
                <w:spacing w:val="-1"/>
                <w:kern w:val="2"/>
                <w:sz w:val="21"/>
                <w:szCs w:val="21"/>
                <w:u w:val="none"/>
                <w:lang w:val="en-US" w:eastAsia="zh-CN" w:bidi="ar"/>
              </w:rPr>
              <w:t>生态保护红线</w:t>
            </w:r>
          </w:p>
          <w:p w14:paraId="47C9AE8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i w:val="0"/>
                <w:iCs w:val="0"/>
                <w:color w:val="auto"/>
                <w:spacing w:val="-1"/>
                <w:sz w:val="21"/>
                <w:szCs w:val="21"/>
                <w:u w:val="none"/>
                <w:lang w:bidi="ar"/>
              </w:rPr>
            </w:pPr>
            <w:r>
              <w:rPr>
                <w:rFonts w:hint="default" w:ascii="Times New Roman" w:hAnsi="Times New Roman" w:eastAsia="仿宋_GB2312" w:cs="Times New Roman"/>
                <w:b/>
                <w:bCs/>
                <w:i w:val="0"/>
                <w:iCs w:val="0"/>
                <w:color w:val="auto"/>
                <w:spacing w:val="-1"/>
                <w:kern w:val="2"/>
                <w:sz w:val="21"/>
                <w:szCs w:val="21"/>
                <w:u w:val="none"/>
                <w:lang w:val="en-US" w:eastAsia="zh-CN" w:bidi="ar"/>
              </w:rPr>
              <w:t>面积</w:t>
            </w:r>
          </w:p>
        </w:tc>
        <w:tc>
          <w:tcPr>
            <w:tcW w:w="1001" w:type="pct"/>
            <w:shd w:val="clear" w:color="auto" w:fill="auto"/>
            <w:noWrap/>
            <w:vAlign w:val="center"/>
          </w:tcPr>
          <w:p w14:paraId="7498E53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i w:val="0"/>
                <w:iCs w:val="0"/>
                <w:color w:val="auto"/>
                <w:spacing w:val="-1"/>
                <w:kern w:val="2"/>
                <w:sz w:val="21"/>
                <w:szCs w:val="21"/>
                <w:u w:val="none"/>
                <w:lang w:val="en-US" w:eastAsia="zh-CN" w:bidi="ar"/>
              </w:rPr>
            </w:pPr>
            <w:r>
              <w:rPr>
                <w:rFonts w:hint="default" w:ascii="Times New Roman" w:hAnsi="Times New Roman" w:eastAsia="仿宋_GB2312" w:cs="Times New Roman"/>
                <w:b/>
                <w:bCs/>
                <w:i w:val="0"/>
                <w:iCs w:val="0"/>
                <w:color w:val="auto"/>
                <w:spacing w:val="-1"/>
                <w:kern w:val="2"/>
                <w:sz w:val="21"/>
                <w:szCs w:val="21"/>
                <w:u w:val="none"/>
                <w:lang w:val="en-US" w:eastAsia="zh-CN" w:bidi="ar"/>
              </w:rPr>
              <w:t>村庄建设边界</w:t>
            </w:r>
          </w:p>
          <w:p w14:paraId="2F634B7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i w:val="0"/>
                <w:iCs w:val="0"/>
                <w:color w:val="auto"/>
                <w:spacing w:val="-1"/>
                <w:sz w:val="21"/>
                <w:szCs w:val="21"/>
                <w:u w:val="none"/>
                <w:lang w:bidi="ar"/>
              </w:rPr>
            </w:pPr>
            <w:r>
              <w:rPr>
                <w:rFonts w:hint="default" w:ascii="Times New Roman" w:hAnsi="Times New Roman" w:eastAsia="仿宋_GB2312" w:cs="Times New Roman"/>
                <w:b/>
                <w:bCs/>
                <w:i w:val="0"/>
                <w:iCs w:val="0"/>
                <w:color w:val="auto"/>
                <w:spacing w:val="-1"/>
                <w:kern w:val="2"/>
                <w:sz w:val="21"/>
                <w:szCs w:val="21"/>
                <w:u w:val="none"/>
                <w:lang w:val="en-US" w:eastAsia="zh-CN" w:bidi="ar"/>
              </w:rPr>
              <w:t>划定面积</w:t>
            </w:r>
          </w:p>
        </w:tc>
      </w:tr>
      <w:tr w14:paraId="1C081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99" w:type="pct"/>
            <w:shd w:val="clear" w:color="auto" w:fill="auto"/>
            <w:noWrap/>
            <w:vAlign w:val="bottom"/>
          </w:tcPr>
          <w:p w14:paraId="5C01EB9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default" w:ascii="Times New Roman" w:hAnsi="Times New Roman" w:eastAsia="仿宋_GB2312" w:cs="Times New Roman"/>
                <w:color w:val="auto"/>
                <w:sz w:val="21"/>
                <w:szCs w:val="21"/>
                <w:u w:val="none"/>
                <w:lang w:val="en-US" w:eastAsia="zh-CN"/>
              </w:rPr>
              <w:t>八道沟村</w:t>
            </w:r>
          </w:p>
        </w:tc>
        <w:tc>
          <w:tcPr>
            <w:tcW w:w="999" w:type="pct"/>
            <w:shd w:val="clear" w:color="auto" w:fill="auto"/>
            <w:noWrap/>
            <w:vAlign w:val="center"/>
          </w:tcPr>
          <w:p w14:paraId="430F0B5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eastAsia" w:ascii="Times New Roman" w:hAnsi="Times New Roman" w:eastAsia="仿宋_GB2312" w:cs="Times New Roman"/>
                <w:color w:val="auto"/>
                <w:sz w:val="21"/>
                <w:szCs w:val="21"/>
                <w:u w:val="none"/>
                <w:lang w:val="en-US" w:eastAsia="zh-CN"/>
              </w:rPr>
              <w:t>244.94</w:t>
            </w:r>
          </w:p>
        </w:tc>
        <w:tc>
          <w:tcPr>
            <w:tcW w:w="999" w:type="pct"/>
            <w:shd w:val="clear" w:color="auto" w:fill="auto"/>
            <w:noWrap/>
            <w:vAlign w:val="center"/>
          </w:tcPr>
          <w:p w14:paraId="5658DD4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eastAsia" w:ascii="Times New Roman" w:hAnsi="Times New Roman" w:eastAsia="仿宋_GB2312" w:cs="Times New Roman"/>
                <w:color w:val="auto"/>
                <w:sz w:val="21"/>
                <w:szCs w:val="21"/>
                <w:u w:val="none"/>
                <w:lang w:val="en-US" w:eastAsia="zh-CN"/>
              </w:rPr>
              <w:t>231.94</w:t>
            </w:r>
          </w:p>
        </w:tc>
        <w:tc>
          <w:tcPr>
            <w:tcW w:w="999" w:type="pct"/>
            <w:shd w:val="clear" w:color="auto" w:fill="auto"/>
            <w:noWrap/>
            <w:vAlign w:val="center"/>
          </w:tcPr>
          <w:p w14:paraId="30F7521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eastAsia" w:ascii="Times New Roman" w:hAnsi="Times New Roman" w:eastAsia="仿宋_GB2312" w:cs="Times New Roman"/>
                <w:color w:val="auto"/>
                <w:sz w:val="21"/>
                <w:szCs w:val="21"/>
                <w:u w:val="none"/>
                <w:lang w:val="en-US" w:eastAsia="zh-CN"/>
              </w:rPr>
              <w:t>1536.93</w:t>
            </w:r>
          </w:p>
        </w:tc>
        <w:tc>
          <w:tcPr>
            <w:tcW w:w="1001" w:type="pct"/>
            <w:shd w:val="clear" w:color="auto" w:fill="auto"/>
            <w:noWrap/>
            <w:vAlign w:val="center"/>
          </w:tcPr>
          <w:p w14:paraId="3757CB4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eastAsia" w:ascii="Times New Roman" w:hAnsi="Times New Roman" w:eastAsia="仿宋_GB2312" w:cs="Times New Roman"/>
                <w:color w:val="auto"/>
                <w:sz w:val="21"/>
                <w:szCs w:val="21"/>
                <w:u w:val="none"/>
                <w:lang w:val="en-US" w:eastAsia="zh-CN"/>
              </w:rPr>
              <w:t>14.07</w:t>
            </w:r>
          </w:p>
        </w:tc>
      </w:tr>
      <w:tr w14:paraId="0DDEB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99" w:type="pct"/>
            <w:shd w:val="clear" w:color="auto" w:fill="auto"/>
            <w:noWrap/>
            <w:vAlign w:val="bottom"/>
          </w:tcPr>
          <w:p w14:paraId="1DB8D42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default" w:ascii="Times New Roman" w:hAnsi="Times New Roman" w:eastAsia="仿宋_GB2312" w:cs="Times New Roman"/>
                <w:color w:val="auto"/>
                <w:sz w:val="21"/>
                <w:szCs w:val="21"/>
                <w:u w:val="none"/>
                <w:lang w:val="en-US" w:eastAsia="zh-CN"/>
              </w:rPr>
              <w:t>岔路子村</w:t>
            </w:r>
          </w:p>
        </w:tc>
        <w:tc>
          <w:tcPr>
            <w:tcW w:w="999" w:type="pct"/>
            <w:shd w:val="clear" w:color="auto" w:fill="auto"/>
            <w:noWrap/>
            <w:vAlign w:val="center"/>
          </w:tcPr>
          <w:p w14:paraId="54AB5FC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eastAsia" w:ascii="Times New Roman" w:hAnsi="Times New Roman" w:eastAsia="仿宋_GB2312" w:cs="Times New Roman"/>
                <w:color w:val="auto"/>
                <w:sz w:val="21"/>
                <w:szCs w:val="21"/>
                <w:u w:val="none"/>
                <w:lang w:val="en-US" w:eastAsia="zh-CN"/>
              </w:rPr>
              <w:t>247.32</w:t>
            </w:r>
          </w:p>
        </w:tc>
        <w:tc>
          <w:tcPr>
            <w:tcW w:w="999" w:type="pct"/>
            <w:shd w:val="clear" w:color="auto" w:fill="auto"/>
            <w:noWrap/>
            <w:vAlign w:val="center"/>
          </w:tcPr>
          <w:p w14:paraId="6C23DB5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eastAsia" w:ascii="Times New Roman" w:hAnsi="Times New Roman" w:eastAsia="仿宋_GB2312" w:cs="Times New Roman"/>
                <w:color w:val="auto"/>
                <w:sz w:val="21"/>
                <w:szCs w:val="21"/>
                <w:u w:val="none"/>
                <w:lang w:val="en-US" w:eastAsia="zh-CN"/>
              </w:rPr>
              <w:t>231.57</w:t>
            </w:r>
          </w:p>
        </w:tc>
        <w:tc>
          <w:tcPr>
            <w:tcW w:w="999" w:type="pct"/>
            <w:shd w:val="clear" w:color="auto" w:fill="auto"/>
            <w:noWrap/>
            <w:vAlign w:val="center"/>
          </w:tcPr>
          <w:p w14:paraId="4DE4727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eastAsia" w:ascii="Times New Roman" w:hAnsi="Times New Roman" w:eastAsia="仿宋_GB2312" w:cs="Times New Roman"/>
                <w:color w:val="auto"/>
                <w:sz w:val="21"/>
                <w:szCs w:val="21"/>
                <w:u w:val="none"/>
                <w:lang w:val="en-US" w:eastAsia="zh-CN"/>
              </w:rPr>
              <w:t>1146.31</w:t>
            </w:r>
          </w:p>
        </w:tc>
        <w:tc>
          <w:tcPr>
            <w:tcW w:w="1001" w:type="pct"/>
            <w:shd w:val="clear" w:color="auto" w:fill="auto"/>
            <w:noWrap/>
            <w:vAlign w:val="center"/>
          </w:tcPr>
          <w:p w14:paraId="0391C21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eastAsia" w:ascii="Times New Roman" w:hAnsi="Times New Roman" w:eastAsia="仿宋_GB2312" w:cs="Times New Roman"/>
                <w:color w:val="auto"/>
                <w:sz w:val="21"/>
                <w:szCs w:val="21"/>
                <w:u w:val="none"/>
                <w:lang w:val="en-US" w:eastAsia="zh-CN"/>
              </w:rPr>
              <w:t>27.34</w:t>
            </w:r>
          </w:p>
        </w:tc>
      </w:tr>
      <w:tr w14:paraId="57E95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99" w:type="pct"/>
            <w:shd w:val="clear" w:color="auto" w:fill="auto"/>
            <w:noWrap/>
            <w:vAlign w:val="bottom"/>
          </w:tcPr>
          <w:p w14:paraId="18932B1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default" w:ascii="Times New Roman" w:hAnsi="Times New Roman" w:eastAsia="仿宋_GB2312" w:cs="Times New Roman"/>
                <w:color w:val="auto"/>
                <w:sz w:val="21"/>
                <w:szCs w:val="21"/>
                <w:u w:val="none"/>
                <w:lang w:val="en-US" w:eastAsia="zh-CN"/>
              </w:rPr>
              <w:t>二道沟村</w:t>
            </w:r>
          </w:p>
        </w:tc>
        <w:tc>
          <w:tcPr>
            <w:tcW w:w="999" w:type="pct"/>
            <w:shd w:val="clear" w:color="auto" w:fill="auto"/>
            <w:noWrap/>
            <w:vAlign w:val="center"/>
          </w:tcPr>
          <w:p w14:paraId="3FEE11F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eastAsia" w:ascii="Times New Roman" w:hAnsi="Times New Roman" w:eastAsia="仿宋_GB2312" w:cs="Times New Roman"/>
                <w:color w:val="auto"/>
                <w:sz w:val="21"/>
                <w:szCs w:val="21"/>
                <w:u w:val="none"/>
                <w:lang w:val="en-US" w:eastAsia="zh-CN"/>
              </w:rPr>
              <w:t>372.17</w:t>
            </w:r>
          </w:p>
        </w:tc>
        <w:tc>
          <w:tcPr>
            <w:tcW w:w="999" w:type="pct"/>
            <w:shd w:val="clear" w:color="auto" w:fill="auto"/>
            <w:noWrap/>
            <w:vAlign w:val="center"/>
          </w:tcPr>
          <w:p w14:paraId="4733E7D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eastAsia" w:ascii="Times New Roman" w:hAnsi="Times New Roman" w:eastAsia="仿宋_GB2312" w:cs="Times New Roman"/>
                <w:color w:val="auto"/>
                <w:sz w:val="21"/>
                <w:szCs w:val="21"/>
                <w:u w:val="none"/>
                <w:lang w:val="en-US" w:eastAsia="zh-CN"/>
              </w:rPr>
              <w:t>362.31</w:t>
            </w:r>
          </w:p>
        </w:tc>
        <w:tc>
          <w:tcPr>
            <w:tcW w:w="999" w:type="pct"/>
            <w:shd w:val="clear" w:color="auto" w:fill="auto"/>
            <w:noWrap/>
            <w:vAlign w:val="center"/>
          </w:tcPr>
          <w:p w14:paraId="2FFE7CA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eastAsia" w:ascii="Times New Roman" w:hAnsi="Times New Roman" w:eastAsia="仿宋_GB2312" w:cs="Times New Roman"/>
                <w:color w:val="auto"/>
                <w:sz w:val="21"/>
                <w:szCs w:val="21"/>
                <w:u w:val="none"/>
                <w:lang w:val="en-US" w:eastAsia="zh-CN"/>
              </w:rPr>
              <w:t>1329.65</w:t>
            </w:r>
          </w:p>
        </w:tc>
        <w:tc>
          <w:tcPr>
            <w:tcW w:w="1001" w:type="pct"/>
            <w:shd w:val="clear" w:color="auto" w:fill="auto"/>
            <w:noWrap/>
            <w:vAlign w:val="center"/>
          </w:tcPr>
          <w:p w14:paraId="558DA40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eastAsia" w:ascii="Times New Roman" w:hAnsi="Times New Roman" w:eastAsia="仿宋_GB2312" w:cs="Times New Roman"/>
                <w:color w:val="auto"/>
                <w:sz w:val="21"/>
                <w:szCs w:val="21"/>
                <w:u w:val="none"/>
                <w:lang w:val="en-US" w:eastAsia="zh-CN"/>
              </w:rPr>
              <w:t>21.55</w:t>
            </w:r>
          </w:p>
        </w:tc>
      </w:tr>
      <w:tr w14:paraId="5C675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999" w:type="pct"/>
            <w:shd w:val="clear" w:color="auto" w:fill="auto"/>
            <w:noWrap/>
            <w:vAlign w:val="bottom"/>
          </w:tcPr>
          <w:p w14:paraId="5A771CC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default" w:ascii="Times New Roman" w:hAnsi="Times New Roman" w:eastAsia="仿宋_GB2312" w:cs="Times New Roman"/>
                <w:color w:val="auto"/>
                <w:sz w:val="21"/>
                <w:szCs w:val="21"/>
                <w:u w:val="none"/>
                <w:lang w:val="en-US" w:eastAsia="zh-CN"/>
              </w:rPr>
              <w:t>古城子村</w:t>
            </w:r>
          </w:p>
        </w:tc>
        <w:tc>
          <w:tcPr>
            <w:tcW w:w="999" w:type="pct"/>
            <w:shd w:val="clear" w:color="auto" w:fill="auto"/>
            <w:noWrap/>
            <w:vAlign w:val="center"/>
          </w:tcPr>
          <w:p w14:paraId="64DFA86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eastAsia" w:ascii="Times New Roman" w:hAnsi="Times New Roman" w:cs="Times New Roman"/>
                <w:color w:val="auto"/>
                <w:sz w:val="21"/>
                <w:szCs w:val="21"/>
                <w:u w:val="none"/>
                <w:lang w:val="en-US" w:eastAsia="zh-CN"/>
              </w:rPr>
              <w:t>713.49</w:t>
            </w:r>
          </w:p>
        </w:tc>
        <w:tc>
          <w:tcPr>
            <w:tcW w:w="999" w:type="pct"/>
            <w:shd w:val="clear" w:color="auto" w:fill="auto"/>
            <w:noWrap/>
            <w:vAlign w:val="center"/>
          </w:tcPr>
          <w:p w14:paraId="760F905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eastAsia" w:ascii="Times New Roman" w:hAnsi="Times New Roman" w:cs="Times New Roman"/>
                <w:color w:val="auto"/>
                <w:sz w:val="21"/>
                <w:szCs w:val="21"/>
                <w:u w:val="none"/>
                <w:lang w:val="en-US" w:eastAsia="zh-CN"/>
              </w:rPr>
              <w:t>684.49</w:t>
            </w:r>
          </w:p>
        </w:tc>
        <w:tc>
          <w:tcPr>
            <w:tcW w:w="999" w:type="pct"/>
            <w:shd w:val="clear" w:color="auto" w:fill="auto"/>
            <w:noWrap/>
            <w:vAlign w:val="center"/>
          </w:tcPr>
          <w:p w14:paraId="5E969B6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eastAsia" w:ascii="Times New Roman" w:hAnsi="Times New Roman" w:eastAsia="仿宋_GB2312" w:cs="Times New Roman"/>
                <w:color w:val="auto"/>
                <w:sz w:val="21"/>
                <w:szCs w:val="21"/>
                <w:u w:val="none"/>
                <w:lang w:val="en-US" w:eastAsia="zh-CN"/>
              </w:rPr>
              <w:t>259.00</w:t>
            </w:r>
          </w:p>
        </w:tc>
        <w:tc>
          <w:tcPr>
            <w:tcW w:w="1001" w:type="pct"/>
            <w:shd w:val="clear" w:color="auto" w:fill="auto"/>
            <w:noWrap/>
            <w:vAlign w:val="center"/>
          </w:tcPr>
          <w:p w14:paraId="3847058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eastAsia" w:ascii="Times New Roman" w:hAnsi="Times New Roman" w:cs="Times New Roman"/>
                <w:color w:val="auto"/>
                <w:sz w:val="21"/>
                <w:szCs w:val="21"/>
                <w:u w:val="none"/>
                <w:lang w:val="en-US" w:eastAsia="zh-CN"/>
              </w:rPr>
              <w:t>6</w:t>
            </w:r>
            <w:r>
              <w:rPr>
                <w:rFonts w:hint="eastAsia" w:ascii="Times New Roman" w:hAnsi="Times New Roman" w:eastAsia="仿宋_GB2312" w:cs="Times New Roman"/>
                <w:color w:val="auto"/>
                <w:sz w:val="21"/>
                <w:szCs w:val="21"/>
                <w:u w:val="none"/>
                <w:lang w:val="en-US" w:eastAsia="zh-CN"/>
              </w:rPr>
              <w:t>5.</w:t>
            </w:r>
            <w:r>
              <w:rPr>
                <w:rFonts w:hint="eastAsia" w:ascii="Times New Roman" w:hAnsi="Times New Roman" w:cs="Times New Roman"/>
                <w:color w:val="auto"/>
                <w:sz w:val="21"/>
                <w:szCs w:val="21"/>
                <w:u w:val="none"/>
                <w:lang w:val="en-US" w:eastAsia="zh-CN"/>
              </w:rPr>
              <w:t>37</w:t>
            </w:r>
          </w:p>
        </w:tc>
      </w:tr>
      <w:tr w14:paraId="1735B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999" w:type="pct"/>
            <w:shd w:val="clear" w:color="auto" w:fill="auto"/>
            <w:noWrap/>
            <w:vAlign w:val="bottom"/>
          </w:tcPr>
          <w:p w14:paraId="20501EC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default" w:ascii="Times New Roman" w:hAnsi="Times New Roman" w:eastAsia="仿宋_GB2312" w:cs="Times New Roman"/>
                <w:color w:val="auto"/>
                <w:sz w:val="21"/>
                <w:szCs w:val="21"/>
                <w:u w:val="none"/>
                <w:lang w:val="en-US" w:eastAsia="zh-CN"/>
              </w:rPr>
              <w:t>拐磨子村</w:t>
            </w:r>
          </w:p>
        </w:tc>
        <w:tc>
          <w:tcPr>
            <w:tcW w:w="999" w:type="pct"/>
            <w:shd w:val="clear" w:color="auto" w:fill="auto"/>
            <w:noWrap/>
            <w:vAlign w:val="center"/>
          </w:tcPr>
          <w:p w14:paraId="675E08C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eastAsia" w:ascii="Times New Roman" w:hAnsi="Times New Roman" w:eastAsia="仿宋_GB2312" w:cs="Times New Roman"/>
                <w:color w:val="auto"/>
                <w:sz w:val="21"/>
                <w:szCs w:val="21"/>
                <w:u w:val="none"/>
                <w:lang w:val="en-US" w:eastAsia="zh-CN"/>
              </w:rPr>
              <w:t>478.34</w:t>
            </w:r>
          </w:p>
        </w:tc>
        <w:tc>
          <w:tcPr>
            <w:tcW w:w="999" w:type="pct"/>
            <w:shd w:val="clear" w:color="auto" w:fill="auto"/>
            <w:noWrap/>
            <w:vAlign w:val="center"/>
          </w:tcPr>
          <w:p w14:paraId="1EB7AB0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eastAsia" w:ascii="Times New Roman" w:hAnsi="Times New Roman" w:eastAsia="仿宋_GB2312" w:cs="Times New Roman"/>
                <w:color w:val="auto"/>
                <w:sz w:val="21"/>
                <w:szCs w:val="21"/>
                <w:u w:val="none"/>
                <w:lang w:val="en-US" w:eastAsia="zh-CN"/>
              </w:rPr>
              <w:t>451.54</w:t>
            </w:r>
          </w:p>
        </w:tc>
        <w:tc>
          <w:tcPr>
            <w:tcW w:w="999" w:type="pct"/>
            <w:shd w:val="clear" w:color="auto" w:fill="auto"/>
            <w:noWrap/>
            <w:vAlign w:val="center"/>
          </w:tcPr>
          <w:p w14:paraId="50A894A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eastAsia" w:ascii="Times New Roman" w:hAnsi="Times New Roman" w:eastAsia="仿宋_GB2312" w:cs="Times New Roman"/>
                <w:color w:val="auto"/>
                <w:sz w:val="21"/>
                <w:szCs w:val="21"/>
                <w:u w:val="none"/>
                <w:lang w:val="en-US" w:eastAsia="zh-CN"/>
              </w:rPr>
              <w:t>536.91</w:t>
            </w:r>
          </w:p>
        </w:tc>
        <w:tc>
          <w:tcPr>
            <w:tcW w:w="1001" w:type="pct"/>
            <w:shd w:val="clear" w:color="auto" w:fill="auto"/>
            <w:noWrap/>
            <w:vAlign w:val="center"/>
          </w:tcPr>
          <w:p w14:paraId="0D6F6FC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eastAsia" w:ascii="Times New Roman" w:hAnsi="Times New Roman" w:eastAsia="仿宋_GB2312" w:cs="Times New Roman"/>
                <w:color w:val="auto"/>
                <w:sz w:val="21"/>
                <w:szCs w:val="21"/>
                <w:u w:val="none"/>
                <w:lang w:val="en-US" w:eastAsia="zh-CN"/>
              </w:rPr>
              <w:t>6.26</w:t>
            </w:r>
          </w:p>
        </w:tc>
      </w:tr>
      <w:tr w14:paraId="02468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999" w:type="pct"/>
            <w:shd w:val="clear" w:color="auto" w:fill="auto"/>
            <w:noWrap/>
            <w:vAlign w:val="bottom"/>
          </w:tcPr>
          <w:p w14:paraId="6A9AF8E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default" w:ascii="Times New Roman" w:hAnsi="Times New Roman" w:eastAsia="仿宋_GB2312" w:cs="Times New Roman"/>
                <w:color w:val="auto"/>
                <w:sz w:val="21"/>
                <w:szCs w:val="21"/>
                <w:u w:val="none"/>
                <w:lang w:val="en-US" w:eastAsia="zh-CN"/>
              </w:rPr>
              <w:t>碱厂沟村</w:t>
            </w:r>
          </w:p>
        </w:tc>
        <w:tc>
          <w:tcPr>
            <w:tcW w:w="999" w:type="pct"/>
            <w:shd w:val="clear" w:color="auto" w:fill="auto"/>
            <w:noWrap/>
            <w:vAlign w:val="center"/>
          </w:tcPr>
          <w:p w14:paraId="1E66B40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eastAsia" w:ascii="Times New Roman" w:hAnsi="Times New Roman" w:eastAsia="仿宋_GB2312" w:cs="Times New Roman"/>
                <w:color w:val="auto"/>
                <w:sz w:val="21"/>
                <w:szCs w:val="21"/>
                <w:u w:val="none"/>
                <w:lang w:val="en-US" w:eastAsia="zh-CN"/>
              </w:rPr>
              <w:t>474.83</w:t>
            </w:r>
          </w:p>
        </w:tc>
        <w:tc>
          <w:tcPr>
            <w:tcW w:w="999" w:type="pct"/>
            <w:shd w:val="clear" w:color="auto" w:fill="auto"/>
            <w:noWrap/>
            <w:vAlign w:val="center"/>
          </w:tcPr>
          <w:p w14:paraId="662F684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eastAsia" w:ascii="Times New Roman" w:hAnsi="Times New Roman" w:eastAsia="仿宋_GB2312" w:cs="Times New Roman"/>
                <w:color w:val="auto"/>
                <w:sz w:val="21"/>
                <w:szCs w:val="21"/>
                <w:u w:val="none"/>
                <w:lang w:val="en-US" w:eastAsia="zh-CN"/>
              </w:rPr>
              <w:t>269.83</w:t>
            </w:r>
          </w:p>
        </w:tc>
        <w:tc>
          <w:tcPr>
            <w:tcW w:w="999" w:type="pct"/>
            <w:shd w:val="clear" w:color="auto" w:fill="auto"/>
            <w:noWrap/>
            <w:vAlign w:val="center"/>
          </w:tcPr>
          <w:p w14:paraId="4C03445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eastAsia" w:ascii="Times New Roman" w:hAnsi="Times New Roman" w:eastAsia="仿宋_GB2312" w:cs="Times New Roman"/>
                <w:color w:val="auto"/>
                <w:sz w:val="21"/>
                <w:szCs w:val="21"/>
                <w:u w:val="none"/>
                <w:lang w:val="en-US" w:eastAsia="zh-CN"/>
              </w:rPr>
              <w:t>454.24</w:t>
            </w:r>
          </w:p>
        </w:tc>
        <w:tc>
          <w:tcPr>
            <w:tcW w:w="1001" w:type="pct"/>
            <w:shd w:val="clear" w:color="auto" w:fill="auto"/>
            <w:noWrap/>
            <w:vAlign w:val="center"/>
          </w:tcPr>
          <w:p w14:paraId="5071882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eastAsia" w:ascii="Times New Roman" w:hAnsi="Times New Roman" w:eastAsia="仿宋_GB2312" w:cs="Times New Roman"/>
                <w:color w:val="auto"/>
                <w:sz w:val="21"/>
                <w:szCs w:val="21"/>
                <w:u w:val="none"/>
                <w:lang w:val="en-US" w:eastAsia="zh-CN"/>
              </w:rPr>
              <w:t>29.70</w:t>
            </w:r>
          </w:p>
        </w:tc>
      </w:tr>
      <w:tr w14:paraId="4572E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999" w:type="pct"/>
            <w:shd w:val="clear" w:color="auto" w:fill="auto"/>
            <w:noWrap/>
            <w:vAlign w:val="bottom"/>
          </w:tcPr>
          <w:p w14:paraId="6BFBC7B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default" w:ascii="Times New Roman" w:hAnsi="Times New Roman" w:eastAsia="仿宋_GB2312" w:cs="Times New Roman"/>
                <w:color w:val="auto"/>
                <w:sz w:val="21"/>
                <w:szCs w:val="21"/>
                <w:u w:val="none"/>
                <w:lang w:val="en-US" w:eastAsia="zh-CN"/>
              </w:rPr>
              <w:t>江南村</w:t>
            </w:r>
          </w:p>
        </w:tc>
        <w:tc>
          <w:tcPr>
            <w:tcW w:w="999" w:type="pct"/>
            <w:shd w:val="clear" w:color="auto" w:fill="auto"/>
            <w:noWrap/>
            <w:vAlign w:val="center"/>
          </w:tcPr>
          <w:p w14:paraId="280AA33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eastAsia" w:ascii="Times New Roman" w:hAnsi="Times New Roman" w:eastAsia="仿宋_GB2312" w:cs="Times New Roman"/>
                <w:color w:val="auto"/>
                <w:sz w:val="21"/>
                <w:szCs w:val="21"/>
                <w:u w:val="none"/>
                <w:lang w:val="en-US" w:eastAsia="zh-CN"/>
              </w:rPr>
              <w:t>349.29</w:t>
            </w:r>
          </w:p>
        </w:tc>
        <w:tc>
          <w:tcPr>
            <w:tcW w:w="999" w:type="pct"/>
            <w:shd w:val="clear" w:color="auto" w:fill="auto"/>
            <w:noWrap/>
            <w:vAlign w:val="center"/>
          </w:tcPr>
          <w:p w14:paraId="5BAE4ED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eastAsia" w:ascii="Times New Roman" w:hAnsi="Times New Roman" w:eastAsia="仿宋_GB2312" w:cs="Times New Roman"/>
                <w:color w:val="auto"/>
                <w:sz w:val="21"/>
                <w:szCs w:val="21"/>
                <w:u w:val="none"/>
                <w:lang w:val="en-US" w:eastAsia="zh-CN"/>
              </w:rPr>
              <w:t>331.43</w:t>
            </w:r>
          </w:p>
        </w:tc>
        <w:tc>
          <w:tcPr>
            <w:tcW w:w="999" w:type="pct"/>
            <w:shd w:val="clear" w:color="auto" w:fill="auto"/>
            <w:noWrap/>
            <w:vAlign w:val="center"/>
          </w:tcPr>
          <w:p w14:paraId="5942BF9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eastAsia" w:ascii="Times New Roman" w:hAnsi="Times New Roman" w:eastAsia="仿宋_GB2312" w:cs="Times New Roman"/>
                <w:color w:val="auto"/>
                <w:sz w:val="21"/>
                <w:szCs w:val="21"/>
                <w:u w:val="none"/>
                <w:lang w:val="en-US" w:eastAsia="zh-CN"/>
              </w:rPr>
              <w:t>737.35</w:t>
            </w:r>
          </w:p>
        </w:tc>
        <w:tc>
          <w:tcPr>
            <w:tcW w:w="1001" w:type="pct"/>
            <w:shd w:val="clear" w:color="auto" w:fill="auto"/>
            <w:noWrap/>
            <w:vAlign w:val="center"/>
          </w:tcPr>
          <w:p w14:paraId="4CDAEAC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eastAsia" w:ascii="Times New Roman" w:hAnsi="Times New Roman" w:eastAsia="仿宋_GB2312" w:cs="Times New Roman"/>
                <w:color w:val="auto"/>
                <w:sz w:val="21"/>
                <w:szCs w:val="21"/>
                <w:u w:val="none"/>
                <w:lang w:val="en-US" w:eastAsia="zh-CN"/>
              </w:rPr>
              <w:t>28.56</w:t>
            </w:r>
          </w:p>
        </w:tc>
      </w:tr>
      <w:tr w14:paraId="6786D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999" w:type="pct"/>
            <w:shd w:val="clear" w:color="auto" w:fill="auto"/>
            <w:noWrap/>
            <w:vAlign w:val="bottom"/>
          </w:tcPr>
          <w:p w14:paraId="320AA1C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default" w:ascii="Times New Roman" w:hAnsi="Times New Roman" w:eastAsia="仿宋_GB2312" w:cs="Times New Roman"/>
                <w:color w:val="auto"/>
                <w:sz w:val="21"/>
                <w:szCs w:val="21"/>
                <w:u w:val="none"/>
                <w:lang w:val="en-US" w:eastAsia="zh-CN"/>
              </w:rPr>
              <w:t>双岭子村</w:t>
            </w:r>
          </w:p>
        </w:tc>
        <w:tc>
          <w:tcPr>
            <w:tcW w:w="999" w:type="pct"/>
            <w:shd w:val="clear" w:color="auto" w:fill="auto"/>
            <w:noWrap/>
            <w:vAlign w:val="center"/>
          </w:tcPr>
          <w:p w14:paraId="34745C6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eastAsia" w:ascii="Times New Roman" w:hAnsi="Times New Roman" w:eastAsia="仿宋_GB2312" w:cs="Times New Roman"/>
                <w:color w:val="auto"/>
                <w:sz w:val="21"/>
                <w:szCs w:val="21"/>
                <w:u w:val="none"/>
                <w:lang w:val="en-US" w:eastAsia="zh-CN"/>
              </w:rPr>
              <w:t>196.77</w:t>
            </w:r>
          </w:p>
        </w:tc>
        <w:tc>
          <w:tcPr>
            <w:tcW w:w="999" w:type="pct"/>
            <w:shd w:val="clear" w:color="auto" w:fill="auto"/>
            <w:noWrap/>
            <w:vAlign w:val="center"/>
          </w:tcPr>
          <w:p w14:paraId="0EC4B06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eastAsia" w:ascii="Times New Roman" w:hAnsi="Times New Roman" w:eastAsia="仿宋_GB2312" w:cs="Times New Roman"/>
                <w:color w:val="auto"/>
                <w:sz w:val="21"/>
                <w:szCs w:val="21"/>
                <w:u w:val="none"/>
                <w:lang w:val="en-US" w:eastAsia="zh-CN"/>
              </w:rPr>
              <w:t>190.25</w:t>
            </w:r>
          </w:p>
        </w:tc>
        <w:tc>
          <w:tcPr>
            <w:tcW w:w="999" w:type="pct"/>
            <w:shd w:val="clear" w:color="auto" w:fill="auto"/>
            <w:noWrap/>
            <w:vAlign w:val="center"/>
          </w:tcPr>
          <w:p w14:paraId="2CC631B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eastAsia" w:ascii="Times New Roman" w:hAnsi="Times New Roman" w:eastAsia="仿宋_GB2312" w:cs="Times New Roman"/>
                <w:color w:val="auto"/>
                <w:sz w:val="21"/>
                <w:szCs w:val="21"/>
                <w:u w:val="none"/>
                <w:lang w:val="en-US" w:eastAsia="zh-CN"/>
              </w:rPr>
              <w:t>107.60</w:t>
            </w:r>
          </w:p>
        </w:tc>
        <w:tc>
          <w:tcPr>
            <w:tcW w:w="1001" w:type="pct"/>
            <w:shd w:val="clear" w:color="auto" w:fill="auto"/>
            <w:noWrap/>
            <w:vAlign w:val="center"/>
          </w:tcPr>
          <w:p w14:paraId="7BFBC26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eastAsia" w:ascii="Times New Roman" w:hAnsi="Times New Roman" w:eastAsia="仿宋_GB2312" w:cs="Times New Roman"/>
                <w:color w:val="auto"/>
                <w:sz w:val="21"/>
                <w:szCs w:val="21"/>
                <w:u w:val="none"/>
                <w:lang w:val="en-US" w:eastAsia="zh-CN"/>
              </w:rPr>
              <w:t>20.28</w:t>
            </w:r>
          </w:p>
        </w:tc>
      </w:tr>
      <w:tr w14:paraId="29901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999" w:type="pct"/>
            <w:shd w:val="clear" w:color="auto" w:fill="auto"/>
            <w:noWrap/>
            <w:vAlign w:val="bottom"/>
          </w:tcPr>
          <w:p w14:paraId="11D5726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default" w:ascii="Times New Roman" w:hAnsi="Times New Roman" w:eastAsia="仿宋_GB2312" w:cs="Times New Roman"/>
                <w:color w:val="auto"/>
                <w:sz w:val="21"/>
                <w:szCs w:val="21"/>
                <w:u w:val="none"/>
                <w:lang w:val="en-US" w:eastAsia="zh-CN"/>
              </w:rPr>
              <w:t>同江村</w:t>
            </w:r>
          </w:p>
        </w:tc>
        <w:tc>
          <w:tcPr>
            <w:tcW w:w="999" w:type="pct"/>
            <w:shd w:val="clear" w:color="auto" w:fill="auto"/>
            <w:noWrap/>
            <w:vAlign w:val="center"/>
          </w:tcPr>
          <w:p w14:paraId="3A12668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eastAsia" w:ascii="Times New Roman" w:hAnsi="Times New Roman" w:eastAsia="仿宋_GB2312" w:cs="Times New Roman"/>
                <w:color w:val="auto"/>
                <w:sz w:val="21"/>
                <w:szCs w:val="21"/>
                <w:u w:val="none"/>
                <w:lang w:val="en-US" w:eastAsia="zh-CN"/>
              </w:rPr>
              <w:t>296.23</w:t>
            </w:r>
          </w:p>
        </w:tc>
        <w:tc>
          <w:tcPr>
            <w:tcW w:w="999" w:type="pct"/>
            <w:shd w:val="clear" w:color="auto" w:fill="auto"/>
            <w:noWrap/>
            <w:vAlign w:val="center"/>
          </w:tcPr>
          <w:p w14:paraId="193E2D5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eastAsia" w:ascii="Times New Roman" w:hAnsi="Times New Roman" w:eastAsia="仿宋_GB2312" w:cs="Times New Roman"/>
                <w:color w:val="auto"/>
                <w:sz w:val="21"/>
                <w:szCs w:val="21"/>
                <w:u w:val="none"/>
                <w:lang w:val="en-US" w:eastAsia="zh-CN"/>
              </w:rPr>
              <w:t>84.07</w:t>
            </w:r>
          </w:p>
        </w:tc>
        <w:tc>
          <w:tcPr>
            <w:tcW w:w="999" w:type="pct"/>
            <w:shd w:val="clear" w:color="auto" w:fill="auto"/>
            <w:noWrap/>
            <w:vAlign w:val="center"/>
          </w:tcPr>
          <w:p w14:paraId="25481FC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eastAsia" w:ascii="Times New Roman" w:hAnsi="Times New Roman" w:eastAsia="仿宋_GB2312" w:cs="Times New Roman"/>
                <w:color w:val="auto"/>
                <w:sz w:val="21"/>
                <w:szCs w:val="21"/>
                <w:u w:val="none"/>
                <w:lang w:val="en-US" w:eastAsia="zh-CN"/>
              </w:rPr>
              <w:t>523.64</w:t>
            </w:r>
          </w:p>
        </w:tc>
        <w:tc>
          <w:tcPr>
            <w:tcW w:w="1001" w:type="pct"/>
            <w:shd w:val="clear" w:color="auto" w:fill="auto"/>
            <w:noWrap/>
            <w:vAlign w:val="center"/>
          </w:tcPr>
          <w:p w14:paraId="76D64DE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eastAsia" w:ascii="Times New Roman" w:hAnsi="Times New Roman" w:eastAsia="仿宋_GB2312" w:cs="Times New Roman"/>
                <w:color w:val="auto"/>
                <w:sz w:val="21"/>
                <w:szCs w:val="21"/>
                <w:u w:val="none"/>
                <w:lang w:val="en-US" w:eastAsia="zh-CN"/>
              </w:rPr>
              <w:t>15.87</w:t>
            </w:r>
          </w:p>
        </w:tc>
      </w:tr>
      <w:tr w14:paraId="048F4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999" w:type="pct"/>
            <w:shd w:val="clear" w:color="auto" w:fill="auto"/>
            <w:noWrap/>
            <w:vAlign w:val="bottom"/>
          </w:tcPr>
          <w:p w14:paraId="040CBE8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default" w:ascii="Times New Roman" w:hAnsi="Times New Roman" w:eastAsia="仿宋_GB2312" w:cs="Times New Roman"/>
                <w:color w:val="auto"/>
                <w:sz w:val="21"/>
                <w:szCs w:val="21"/>
                <w:u w:val="none"/>
                <w:lang w:val="en-US" w:eastAsia="zh-CN"/>
              </w:rPr>
              <w:t>洼泥甸村</w:t>
            </w:r>
          </w:p>
        </w:tc>
        <w:tc>
          <w:tcPr>
            <w:tcW w:w="999" w:type="pct"/>
            <w:shd w:val="clear" w:color="auto" w:fill="auto"/>
            <w:noWrap/>
            <w:vAlign w:val="center"/>
          </w:tcPr>
          <w:p w14:paraId="1990184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eastAsia" w:ascii="Times New Roman" w:hAnsi="Times New Roman" w:eastAsia="仿宋_GB2312" w:cs="Times New Roman"/>
                <w:color w:val="auto"/>
                <w:sz w:val="21"/>
                <w:szCs w:val="21"/>
                <w:u w:val="none"/>
                <w:lang w:val="en-US" w:eastAsia="zh-CN"/>
              </w:rPr>
              <w:t>341.78</w:t>
            </w:r>
          </w:p>
        </w:tc>
        <w:tc>
          <w:tcPr>
            <w:tcW w:w="999" w:type="pct"/>
            <w:shd w:val="clear" w:color="auto" w:fill="auto"/>
            <w:noWrap/>
            <w:vAlign w:val="center"/>
          </w:tcPr>
          <w:p w14:paraId="54F63AB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eastAsia" w:ascii="Times New Roman" w:hAnsi="Times New Roman" w:eastAsia="仿宋_GB2312" w:cs="Times New Roman"/>
                <w:color w:val="auto"/>
                <w:sz w:val="21"/>
                <w:szCs w:val="21"/>
                <w:u w:val="none"/>
                <w:lang w:val="en-US" w:eastAsia="zh-CN"/>
              </w:rPr>
              <w:t>336.57</w:t>
            </w:r>
          </w:p>
        </w:tc>
        <w:tc>
          <w:tcPr>
            <w:tcW w:w="999" w:type="pct"/>
            <w:shd w:val="clear" w:color="auto" w:fill="auto"/>
            <w:noWrap/>
            <w:vAlign w:val="center"/>
          </w:tcPr>
          <w:p w14:paraId="6DF81B1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eastAsia" w:ascii="Times New Roman" w:hAnsi="Times New Roman" w:eastAsia="仿宋_GB2312" w:cs="Times New Roman"/>
                <w:color w:val="auto"/>
                <w:sz w:val="21"/>
                <w:szCs w:val="21"/>
                <w:u w:val="none"/>
                <w:lang w:val="en-US" w:eastAsia="zh-CN"/>
              </w:rPr>
              <w:t>215.71</w:t>
            </w:r>
          </w:p>
        </w:tc>
        <w:tc>
          <w:tcPr>
            <w:tcW w:w="1001" w:type="pct"/>
            <w:shd w:val="clear" w:color="auto" w:fill="auto"/>
            <w:noWrap/>
            <w:vAlign w:val="center"/>
          </w:tcPr>
          <w:p w14:paraId="21B9165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eastAsia" w:ascii="Times New Roman" w:hAnsi="Times New Roman" w:eastAsia="仿宋_GB2312" w:cs="Times New Roman"/>
                <w:color w:val="auto"/>
                <w:sz w:val="21"/>
                <w:szCs w:val="21"/>
                <w:u w:val="none"/>
                <w:lang w:val="en-US" w:eastAsia="zh-CN"/>
              </w:rPr>
              <w:t>23.34</w:t>
            </w:r>
          </w:p>
        </w:tc>
      </w:tr>
      <w:tr w14:paraId="4CA0F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999" w:type="pct"/>
            <w:shd w:val="clear" w:color="auto" w:fill="auto"/>
            <w:noWrap/>
            <w:vAlign w:val="bottom"/>
          </w:tcPr>
          <w:p w14:paraId="1F03462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default" w:ascii="Times New Roman" w:hAnsi="Times New Roman" w:eastAsia="仿宋_GB2312" w:cs="Times New Roman"/>
                <w:color w:val="auto"/>
                <w:sz w:val="21"/>
                <w:szCs w:val="21"/>
                <w:u w:val="none"/>
                <w:lang w:val="en-US" w:eastAsia="zh-CN"/>
              </w:rPr>
              <w:t>新江村</w:t>
            </w:r>
          </w:p>
        </w:tc>
        <w:tc>
          <w:tcPr>
            <w:tcW w:w="999" w:type="pct"/>
            <w:shd w:val="clear" w:color="auto" w:fill="auto"/>
            <w:noWrap/>
            <w:vAlign w:val="center"/>
          </w:tcPr>
          <w:p w14:paraId="1135B4B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eastAsia" w:ascii="Times New Roman" w:hAnsi="Times New Roman" w:eastAsia="仿宋_GB2312" w:cs="Times New Roman"/>
                <w:color w:val="auto"/>
                <w:sz w:val="21"/>
                <w:szCs w:val="21"/>
                <w:u w:val="none"/>
                <w:lang w:val="en-US" w:eastAsia="zh-CN"/>
              </w:rPr>
              <w:t>421.02</w:t>
            </w:r>
          </w:p>
        </w:tc>
        <w:tc>
          <w:tcPr>
            <w:tcW w:w="999" w:type="pct"/>
            <w:shd w:val="clear" w:color="auto" w:fill="auto"/>
            <w:noWrap/>
            <w:vAlign w:val="center"/>
          </w:tcPr>
          <w:p w14:paraId="22A862D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eastAsia" w:ascii="Times New Roman" w:hAnsi="Times New Roman" w:eastAsia="仿宋_GB2312" w:cs="Times New Roman"/>
                <w:color w:val="auto"/>
                <w:sz w:val="21"/>
                <w:szCs w:val="21"/>
                <w:u w:val="none"/>
                <w:lang w:val="en-US" w:eastAsia="zh-CN"/>
              </w:rPr>
              <w:t>387.85</w:t>
            </w:r>
          </w:p>
        </w:tc>
        <w:tc>
          <w:tcPr>
            <w:tcW w:w="999" w:type="pct"/>
            <w:shd w:val="clear" w:color="auto" w:fill="auto"/>
            <w:noWrap/>
            <w:vAlign w:val="center"/>
          </w:tcPr>
          <w:p w14:paraId="5094DE0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eastAsia" w:ascii="Times New Roman" w:hAnsi="Times New Roman" w:eastAsia="仿宋_GB2312" w:cs="Times New Roman"/>
                <w:color w:val="auto"/>
                <w:sz w:val="21"/>
                <w:szCs w:val="21"/>
                <w:u w:val="none"/>
                <w:lang w:val="en-US" w:eastAsia="zh-CN"/>
              </w:rPr>
              <w:t>899.37</w:t>
            </w:r>
          </w:p>
        </w:tc>
        <w:tc>
          <w:tcPr>
            <w:tcW w:w="1001" w:type="pct"/>
            <w:shd w:val="clear" w:color="auto" w:fill="auto"/>
            <w:noWrap/>
            <w:vAlign w:val="center"/>
          </w:tcPr>
          <w:p w14:paraId="44DA08E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eastAsia" w:ascii="Times New Roman" w:hAnsi="Times New Roman" w:eastAsia="仿宋_GB2312" w:cs="Times New Roman"/>
                <w:color w:val="auto"/>
                <w:sz w:val="21"/>
                <w:szCs w:val="21"/>
                <w:u w:val="none"/>
                <w:lang w:val="en-US" w:eastAsia="zh-CN"/>
              </w:rPr>
              <w:t>27.53</w:t>
            </w:r>
          </w:p>
        </w:tc>
      </w:tr>
      <w:tr w14:paraId="7A7B2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999" w:type="pct"/>
            <w:shd w:val="clear" w:color="auto" w:fill="auto"/>
            <w:noWrap/>
            <w:vAlign w:val="bottom"/>
          </w:tcPr>
          <w:p w14:paraId="0BCB613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default" w:ascii="Times New Roman" w:hAnsi="Times New Roman" w:eastAsia="仿宋_GB2312" w:cs="Times New Roman"/>
                <w:color w:val="auto"/>
                <w:sz w:val="21"/>
                <w:szCs w:val="21"/>
                <w:u w:val="none"/>
                <w:lang w:val="en-US" w:eastAsia="zh-CN"/>
              </w:rPr>
              <w:t>业主沟村</w:t>
            </w:r>
          </w:p>
        </w:tc>
        <w:tc>
          <w:tcPr>
            <w:tcW w:w="999" w:type="pct"/>
            <w:shd w:val="clear" w:color="auto" w:fill="auto"/>
            <w:noWrap/>
            <w:vAlign w:val="center"/>
          </w:tcPr>
          <w:p w14:paraId="4B2765F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eastAsia" w:ascii="Times New Roman" w:hAnsi="Times New Roman" w:eastAsia="仿宋_GB2312" w:cs="Times New Roman"/>
                <w:color w:val="auto"/>
                <w:sz w:val="21"/>
                <w:szCs w:val="21"/>
                <w:u w:val="none"/>
                <w:lang w:val="en-US" w:eastAsia="zh-CN"/>
              </w:rPr>
              <w:t>746.36</w:t>
            </w:r>
          </w:p>
        </w:tc>
        <w:tc>
          <w:tcPr>
            <w:tcW w:w="999" w:type="pct"/>
            <w:shd w:val="clear" w:color="auto" w:fill="auto"/>
            <w:noWrap/>
            <w:vAlign w:val="center"/>
          </w:tcPr>
          <w:p w14:paraId="516F9DE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eastAsia" w:ascii="Times New Roman" w:hAnsi="Times New Roman" w:eastAsia="仿宋_GB2312" w:cs="Times New Roman"/>
                <w:color w:val="auto"/>
                <w:sz w:val="21"/>
                <w:szCs w:val="21"/>
                <w:u w:val="none"/>
                <w:lang w:val="en-US" w:eastAsia="zh-CN"/>
              </w:rPr>
              <w:t>562.23</w:t>
            </w:r>
          </w:p>
        </w:tc>
        <w:tc>
          <w:tcPr>
            <w:tcW w:w="999" w:type="pct"/>
            <w:shd w:val="clear" w:color="auto" w:fill="auto"/>
            <w:noWrap/>
            <w:vAlign w:val="center"/>
          </w:tcPr>
          <w:p w14:paraId="3FF2D97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eastAsia" w:ascii="Times New Roman" w:hAnsi="Times New Roman" w:eastAsia="仿宋_GB2312" w:cs="Times New Roman"/>
                <w:color w:val="auto"/>
                <w:sz w:val="21"/>
                <w:szCs w:val="21"/>
                <w:u w:val="none"/>
                <w:lang w:val="en-US" w:eastAsia="zh-CN"/>
              </w:rPr>
              <w:t>4382.64</w:t>
            </w:r>
          </w:p>
        </w:tc>
        <w:tc>
          <w:tcPr>
            <w:tcW w:w="1001" w:type="pct"/>
            <w:shd w:val="clear" w:color="auto" w:fill="auto"/>
            <w:noWrap/>
            <w:vAlign w:val="center"/>
          </w:tcPr>
          <w:p w14:paraId="4E76967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eastAsia" w:ascii="Times New Roman" w:hAnsi="Times New Roman" w:eastAsia="仿宋_GB2312" w:cs="Times New Roman"/>
                <w:color w:val="auto"/>
                <w:sz w:val="21"/>
                <w:szCs w:val="21"/>
                <w:u w:val="none"/>
                <w:lang w:val="en-US" w:eastAsia="zh-CN"/>
              </w:rPr>
              <w:t>78.36</w:t>
            </w:r>
          </w:p>
        </w:tc>
      </w:tr>
      <w:tr w14:paraId="6BE6B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99" w:type="pct"/>
            <w:shd w:val="clear" w:color="auto" w:fill="auto"/>
            <w:noWrap/>
            <w:vAlign w:val="center"/>
          </w:tcPr>
          <w:p w14:paraId="3CF40ED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default" w:ascii="Times New Roman" w:hAnsi="Times New Roman" w:eastAsia="仿宋_GB2312" w:cs="Times New Roman"/>
                <w:color w:val="auto"/>
                <w:sz w:val="21"/>
                <w:szCs w:val="21"/>
                <w:u w:val="none"/>
                <w:lang w:val="en-US" w:eastAsia="zh-CN"/>
              </w:rPr>
              <w:t>合计</w:t>
            </w:r>
          </w:p>
        </w:tc>
        <w:tc>
          <w:tcPr>
            <w:tcW w:w="999" w:type="pct"/>
            <w:shd w:val="clear" w:color="auto" w:fill="auto"/>
            <w:noWrap/>
            <w:vAlign w:val="center"/>
          </w:tcPr>
          <w:p w14:paraId="24D558C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eastAsia" w:ascii="Times New Roman" w:hAnsi="Times New Roman" w:eastAsia="仿宋_GB2312" w:cs="Times New Roman"/>
                <w:color w:val="auto"/>
                <w:sz w:val="21"/>
                <w:szCs w:val="21"/>
                <w:u w:val="none"/>
                <w:lang w:val="en-US" w:eastAsia="zh-CN"/>
              </w:rPr>
              <w:t>4882.55</w:t>
            </w:r>
          </w:p>
        </w:tc>
        <w:tc>
          <w:tcPr>
            <w:tcW w:w="999" w:type="pct"/>
            <w:shd w:val="clear" w:color="auto" w:fill="auto"/>
            <w:noWrap/>
            <w:vAlign w:val="center"/>
          </w:tcPr>
          <w:p w14:paraId="56FF0FA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eastAsia" w:ascii="Times New Roman" w:hAnsi="Times New Roman" w:eastAsia="仿宋_GB2312" w:cs="Times New Roman"/>
                <w:color w:val="auto"/>
                <w:sz w:val="21"/>
                <w:szCs w:val="21"/>
                <w:u w:val="none"/>
                <w:lang w:val="en-US" w:eastAsia="zh-CN"/>
              </w:rPr>
              <w:t>4124.10</w:t>
            </w:r>
          </w:p>
        </w:tc>
        <w:tc>
          <w:tcPr>
            <w:tcW w:w="999" w:type="pct"/>
            <w:shd w:val="clear" w:color="auto" w:fill="auto"/>
            <w:noWrap/>
            <w:vAlign w:val="center"/>
          </w:tcPr>
          <w:p w14:paraId="1B3DDC6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eastAsia" w:ascii="Times New Roman" w:hAnsi="Times New Roman" w:eastAsia="仿宋_GB2312" w:cs="Times New Roman"/>
                <w:color w:val="auto"/>
                <w:sz w:val="21"/>
                <w:szCs w:val="21"/>
                <w:u w:val="none"/>
                <w:lang w:val="en-US" w:eastAsia="zh-CN"/>
              </w:rPr>
              <w:t>12129.36</w:t>
            </w:r>
          </w:p>
        </w:tc>
        <w:tc>
          <w:tcPr>
            <w:tcW w:w="1001" w:type="pct"/>
            <w:shd w:val="clear" w:color="auto" w:fill="auto"/>
            <w:noWrap/>
            <w:vAlign w:val="center"/>
          </w:tcPr>
          <w:p w14:paraId="358B770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rPr>
            </w:pPr>
            <w:r>
              <w:rPr>
                <w:rFonts w:hint="eastAsia" w:ascii="Times New Roman" w:hAnsi="Times New Roman" w:eastAsia="仿宋_GB2312" w:cs="Times New Roman"/>
                <w:color w:val="auto"/>
                <w:sz w:val="21"/>
                <w:szCs w:val="21"/>
                <w:u w:val="none"/>
                <w:lang w:val="en-US" w:eastAsia="zh-CN"/>
              </w:rPr>
              <w:t>358.24</w:t>
            </w:r>
          </w:p>
        </w:tc>
      </w:tr>
    </w:tbl>
    <w:p w14:paraId="418E69FA">
      <w:pPr>
        <w:keepNext w:val="0"/>
        <w:keepLines w:val="0"/>
        <w:pageBreakBefore w:val="0"/>
        <w:widowControl w:val="0"/>
        <w:kinsoku/>
        <w:overflowPunct/>
        <w:topLinePunct w:val="0"/>
        <w:autoSpaceDE/>
        <w:autoSpaceDN/>
        <w:bidi w:val="0"/>
        <w:spacing w:line="600" w:lineRule="exact"/>
        <w:textAlignment w:val="auto"/>
        <w:rPr>
          <w:rFonts w:hint="eastAsia"/>
          <w:u w:val="none"/>
          <w:lang w:bidi="ar"/>
        </w:rPr>
      </w:pPr>
    </w:p>
    <w:bookmarkEnd w:id="31"/>
    <w:p w14:paraId="632D09A9">
      <w:pPr>
        <w:pStyle w:val="3"/>
        <w:bidi w:val="0"/>
        <w:ind w:left="0" w:leftChars="0" w:firstLine="420" w:firstLineChars="0"/>
        <w:rPr>
          <w:rFonts w:hint="eastAsia" w:ascii="黑体" w:hAnsi="黑体" w:eastAsia="黑体" w:cs="黑体"/>
          <w:u w:val="none"/>
          <w:lang w:val="en-US" w:eastAsia="zh-CN"/>
        </w:rPr>
      </w:pPr>
      <w:bookmarkStart w:id="41" w:name="_Toc152937193"/>
      <w:bookmarkStart w:id="42" w:name="_Toc22682"/>
      <w:bookmarkStart w:id="43" w:name="_Toc12951"/>
      <w:r>
        <w:rPr>
          <w:rFonts w:hint="eastAsia" w:ascii="黑体" w:hAnsi="黑体" w:eastAsia="黑体" w:cs="黑体"/>
          <w:u w:val="none"/>
          <w:lang w:val="en-US" w:eastAsia="zh-CN"/>
        </w:rPr>
        <w:t>规划分区</w:t>
      </w:r>
      <w:bookmarkEnd w:id="41"/>
      <w:bookmarkEnd w:id="42"/>
      <w:bookmarkEnd w:id="43"/>
    </w:p>
    <w:p w14:paraId="51D892C0">
      <w:pPr>
        <w:keepNext w:val="0"/>
        <w:keepLines w:val="0"/>
        <w:pageBreakBefore w:val="0"/>
        <w:widowControl w:val="0"/>
        <w:kinsoku/>
        <w:overflowPunct/>
        <w:topLinePunct w:val="0"/>
        <w:autoSpaceDE/>
        <w:autoSpaceDN/>
        <w:bidi w:val="0"/>
        <w:spacing w:line="600" w:lineRule="exact"/>
        <w:textAlignment w:val="auto"/>
        <w:rPr>
          <w:u w:val="none"/>
        </w:rPr>
      </w:pPr>
      <w:bookmarkStart w:id="44" w:name="_Hlk130996293"/>
      <w:r>
        <w:rPr>
          <w:rFonts w:hint="eastAsia"/>
          <w:u w:val="none"/>
        </w:rPr>
        <w:t>依据国土空间开发保护总体格局，按照主体功能定位划分规划分区，规划分区共</w:t>
      </w:r>
      <w:r>
        <w:rPr>
          <w:u w:val="none"/>
        </w:rPr>
        <w:t>6</w:t>
      </w:r>
      <w:r>
        <w:rPr>
          <w:rFonts w:hint="eastAsia"/>
          <w:u w:val="none"/>
        </w:rPr>
        <w:t>类，分别为生态保护区、生态控制区、农田保护区、乡村发展区、城镇发展区、矿产能源发展区。分区调整应按照国家转换原则和准入要求规定执行。</w:t>
      </w:r>
      <w:bookmarkEnd w:id="44"/>
    </w:p>
    <w:p w14:paraId="7C82C157">
      <w:pPr>
        <w:pStyle w:val="4"/>
        <w:bidi w:val="0"/>
        <w:ind w:left="0" w:leftChars="0" w:firstLine="420" w:firstLineChars="0"/>
        <w:rPr>
          <w:rFonts w:hint="eastAsia"/>
          <w:color w:val="auto"/>
          <w:u w:val="none"/>
          <w:lang w:val="en-US" w:eastAsia="zh-CN"/>
        </w:rPr>
      </w:pPr>
      <w:r>
        <w:rPr>
          <w:rFonts w:hint="eastAsia"/>
          <w:color w:val="auto"/>
          <w:u w:val="none"/>
          <w:lang w:val="en-US" w:eastAsia="zh-CN"/>
        </w:rPr>
        <w:t>生态保护区</w:t>
      </w:r>
    </w:p>
    <w:p w14:paraId="3F400E88">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生态保护区指具有特殊重要生态功能或生态敏感脆弱、必须强制性严格保护的陆地自然区域，古城镇生态保护区总面积12132.16公顷，占全镇国土空间总面积的38.31</w:t>
      </w:r>
      <w:r>
        <w:rPr>
          <w:u w:val="none"/>
        </w:rPr>
        <w:t>%</w:t>
      </w:r>
      <w:r>
        <w:rPr>
          <w:rFonts w:hint="eastAsia"/>
          <w:u w:val="none"/>
        </w:rPr>
        <w:t>。区内以提供生态系统服务和生态产品供给为主导用途，重点保护生态系统服务功能极重要区、生态极脆弱区、饮用水水源一级保护区及其他具有重要生态功能、潜在重要生态价值、有必要实施严格保护的区域。积极开展山水林田湖草生态修复，提高区域涵养水源、保持水土和生物多样性维护能力，维持区域生态平衡，增强生态系统碳汇能力。区内各类开发利用活动必须符合生态保护红线及自然保护地的有关管控要求。</w:t>
      </w:r>
    </w:p>
    <w:p w14:paraId="177A4EDA">
      <w:pPr>
        <w:pStyle w:val="4"/>
        <w:bidi w:val="0"/>
        <w:ind w:left="0" w:leftChars="0" w:firstLine="420" w:firstLineChars="0"/>
        <w:rPr>
          <w:rFonts w:hint="eastAsia"/>
          <w:color w:val="auto"/>
          <w:u w:val="none"/>
          <w:lang w:val="en-US" w:eastAsia="zh-CN"/>
        </w:rPr>
      </w:pPr>
      <w:r>
        <w:rPr>
          <w:rFonts w:hint="eastAsia"/>
          <w:color w:val="auto"/>
          <w:u w:val="none"/>
          <w:lang w:val="en-US" w:eastAsia="zh-CN"/>
        </w:rPr>
        <w:t>生态控制区</w:t>
      </w:r>
    </w:p>
    <w:p w14:paraId="4A2FB3B2">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生态控制区指生态保护红线外，需要予以保留原貌、强化生态保育和生态建设、限制开发建设的自然区域。古城镇生态控制区总面积13396.49公顷，占全镇国土空间总面积的42.31%。区内以生态保护与修复为主导用途，原则上限制各类新增加的开发建设行为以及种植、养殖活动，不得擅自改变地形地貌及其他原有状态；鼓励开展有利于增强生态系统碳汇能力的生态保护与修复活动；在不降低生态功能、不破坏生态系统且符合空间准入、强度控制和风貌管控要求，经评估对生态功能不产生破坏的前提下，可进行适度的开发利用和结构布局调整。</w:t>
      </w:r>
    </w:p>
    <w:p w14:paraId="230D9DD7">
      <w:pPr>
        <w:pStyle w:val="4"/>
        <w:bidi w:val="0"/>
        <w:ind w:left="0" w:leftChars="0" w:firstLine="420" w:firstLineChars="0"/>
        <w:rPr>
          <w:rFonts w:hint="eastAsia"/>
          <w:color w:val="auto"/>
          <w:u w:val="none"/>
          <w:lang w:val="en-US" w:eastAsia="zh-CN"/>
        </w:rPr>
      </w:pPr>
      <w:r>
        <w:rPr>
          <w:rFonts w:hint="eastAsia"/>
          <w:color w:val="auto"/>
          <w:u w:val="none"/>
          <w:lang w:val="en-US" w:eastAsia="zh-CN"/>
        </w:rPr>
        <w:t>农田保护区</w:t>
      </w:r>
    </w:p>
    <w:p w14:paraId="5C6D0357">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农田保护区指永久基本农田相对集中需严格保护的区域，古城镇农田保护区总面积4125.12公顷，占全镇国土空间总面积的13.02%。区内以粮食生产为主导用途，是实行永久基本农田特殊保护和国土综合整治的重点区域。区内以大力发展粮食种植业为主，稳定粮食播种面积，提高粮食单产；鼓励开展高标准农田建设，完善灌溉与排水、田间道路、农田防护与生态环境保持等农业基础设施，强化土壤培肥，全面提升耕地质量；非农建设用地和其他零星农用地应当优先整理、复垦或调整为永久基本农田。区内禁止新增城镇、村庄等非农建设；符合条件的交通、能源、水利等重大建设项目因选址特殊确实无法避让永久基本农田的，必须按照“先补后占”的原则补划数量质量相当的永久基本农田，经严格论证后报国务院批准。</w:t>
      </w:r>
    </w:p>
    <w:p w14:paraId="5D261052">
      <w:pPr>
        <w:pStyle w:val="4"/>
        <w:bidi w:val="0"/>
        <w:ind w:left="0" w:leftChars="0" w:firstLine="420" w:firstLineChars="0"/>
        <w:rPr>
          <w:rFonts w:hint="eastAsia"/>
          <w:color w:val="auto"/>
          <w:u w:val="none"/>
          <w:lang w:val="en-US" w:eastAsia="zh-CN"/>
        </w:rPr>
      </w:pPr>
      <w:r>
        <w:rPr>
          <w:rFonts w:hint="eastAsia"/>
          <w:color w:val="auto"/>
          <w:u w:val="none"/>
          <w:lang w:val="en-US" w:eastAsia="zh-CN"/>
        </w:rPr>
        <w:t>乡村发展区</w:t>
      </w:r>
    </w:p>
    <w:p w14:paraId="184D1353">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乡村发展区指农田保护区外，为满足农林牧渔等农业发展以及农民集中生活和生产配套为主的区域，古城镇乡镇发展区主要分布于城镇发展区农田保护区周边，包括村庄建设区、一般农业区和林业发展区，总面积1902.37公顷，占全镇国土空间总面积的6.01%。村庄建设区允许为改善农村人居环境而进行的村庄建设与整治。一般农业区、林业发展区允许农业和乡村特色产业发展及其配套设施建设。</w:t>
      </w:r>
    </w:p>
    <w:p w14:paraId="5FEB2274">
      <w:pPr>
        <w:pStyle w:val="4"/>
        <w:bidi w:val="0"/>
        <w:ind w:left="0" w:leftChars="0" w:firstLine="420" w:firstLineChars="0"/>
        <w:rPr>
          <w:rFonts w:hint="eastAsia"/>
          <w:color w:val="auto"/>
          <w:u w:val="none"/>
          <w:lang w:val="en-US" w:eastAsia="zh-CN"/>
        </w:rPr>
      </w:pPr>
      <w:r>
        <w:rPr>
          <w:rFonts w:hint="eastAsia"/>
          <w:color w:val="auto"/>
          <w:u w:val="none"/>
          <w:lang w:val="en-US" w:eastAsia="zh-CN"/>
        </w:rPr>
        <w:t>城镇发展区</w:t>
      </w:r>
    </w:p>
    <w:p w14:paraId="5A95AB08">
      <w:pPr>
        <w:keepNext w:val="0"/>
        <w:keepLines w:val="0"/>
        <w:pageBreakBefore w:val="0"/>
        <w:widowControl w:val="0"/>
        <w:kinsoku/>
        <w:overflowPunct/>
        <w:topLinePunct w:val="0"/>
        <w:autoSpaceDE/>
        <w:autoSpaceDN/>
        <w:bidi w:val="0"/>
        <w:spacing w:line="600" w:lineRule="exact"/>
        <w:jc w:val="left"/>
        <w:textAlignment w:val="auto"/>
        <w:rPr>
          <w:u w:val="none"/>
        </w:rPr>
      </w:pPr>
      <w:r>
        <w:rPr>
          <w:rFonts w:hint="eastAsia"/>
          <w:u w:val="none"/>
        </w:rPr>
        <w:t>城镇发展区指古城镇中心区城镇开发边界，是城镇集中开发建设并可满足城镇生产生活需要的区域，古城镇城镇发展区总面积67.36公顷，占全镇国土空间总面积的0.21%。区内以城镇发展为主导用途，是全镇非农产业和人口集聚的重点区域，是开展城镇开发建设的核心区域。引导城镇和工业用地集中布局，通过调整城镇内部功能布局，完善城镇基础设施，改善城镇人居环境，促进城镇建设用地集约利用。按照城镇开发边界管理要求，通过“详细规划+规划许</w:t>
      </w:r>
      <w:r>
        <w:rPr>
          <w:rFonts w:hint="eastAsia" w:ascii="仿宋_GB2312" w:hAnsi="仿宋_GB2312"/>
          <w:szCs w:val="24"/>
          <w:u w:val="none"/>
        </w:rPr>
        <w:t>可”的方式进行管理，通过划定城镇单元强化指标和控制线的传导。对暂未明确具体用途、规划期内不开发或特定条件下开发的用地规划为留白用地。明确新增用地地类在城镇发展区内的准入要求，调整完善城镇发展区用地布局和结构。</w:t>
      </w:r>
    </w:p>
    <w:p w14:paraId="3ACF4B84">
      <w:pPr>
        <w:pStyle w:val="4"/>
        <w:bidi w:val="0"/>
        <w:ind w:left="0" w:leftChars="0" w:firstLine="420" w:firstLineChars="0"/>
        <w:rPr>
          <w:rFonts w:hint="eastAsia"/>
          <w:color w:val="auto"/>
          <w:u w:val="none"/>
          <w:lang w:val="en-US" w:eastAsia="zh-CN"/>
        </w:rPr>
      </w:pPr>
      <w:r>
        <w:rPr>
          <w:rFonts w:hint="eastAsia"/>
          <w:color w:val="auto"/>
          <w:u w:val="none"/>
          <w:lang w:val="en-US" w:eastAsia="zh-CN"/>
        </w:rPr>
        <w:t>矿产能源发展区</w:t>
      </w:r>
    </w:p>
    <w:p w14:paraId="3D90D93A">
      <w:pPr>
        <w:keepNext w:val="0"/>
        <w:keepLines w:val="0"/>
        <w:pageBreakBefore w:val="0"/>
        <w:widowControl w:val="0"/>
        <w:kinsoku/>
        <w:overflowPunct/>
        <w:topLinePunct w:val="0"/>
        <w:autoSpaceDE/>
        <w:autoSpaceDN/>
        <w:bidi w:val="0"/>
        <w:spacing w:line="600" w:lineRule="exact"/>
        <w:textAlignment w:val="auto"/>
        <w:rPr>
          <w:rFonts w:hint="eastAsia"/>
          <w:u w:val="none"/>
        </w:rPr>
      </w:pPr>
      <w:r>
        <w:rPr>
          <w:rFonts w:hint="eastAsia"/>
          <w:u w:val="none"/>
        </w:rPr>
        <w:t>矿产能源发展区指重要的采矿区、战略性矿产储量区，古城镇矿产能源发展区总面积50.03公顷，占全镇国土空间总面积的0.16%。区内以矿产资源开发为主导用途，是矿产资源的勘查、开采的重点区域，综合考虑战略性矿产资源产能产量、成矿条件和储量、资源开采条件、生态环境、区位条件和下游产业布局等，明确国家规划矿区，合理设定矿业权区域；引导矿产资源开采企业使用先进适用工艺技术，不断提高矿山开采回采率、选矿回收率、综合利用率，减少资源消耗，降低废弃物排放，大力建设绿色矿山。区内原则上禁止城镇和村庄集中建设，在符合国土空间规划和其他相关规划的前提下，允许开展土地复垦和其他综合整治，鼓励开展矿山生态修复。</w:t>
      </w:r>
    </w:p>
    <w:p w14:paraId="30369C3D">
      <w:pPr>
        <w:pStyle w:val="6"/>
        <w:bidi w:val="0"/>
        <w:rPr>
          <w:rFonts w:hint="eastAsia"/>
          <w:lang w:eastAsia="zh-CN"/>
        </w:rPr>
      </w:pPr>
      <w:r>
        <w:rPr>
          <w:rFonts w:hint="eastAsia"/>
          <w:lang w:eastAsia="zh-CN"/>
        </w:rPr>
        <w:drawing>
          <wp:inline distT="0" distB="0" distL="114300" distR="114300">
            <wp:extent cx="5441315" cy="3850005"/>
            <wp:effectExtent l="0" t="0" r="6985" b="17145"/>
            <wp:docPr id="10" name="图片 10" descr="210522106古城镇16国土空间规划分区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210522106古城镇16国土空间规划分区图"/>
                    <pic:cNvPicPr>
                      <a:picLocks noChangeAspect="1"/>
                    </pic:cNvPicPr>
                  </pic:nvPicPr>
                  <pic:blipFill>
                    <a:blip r:embed="rId21"/>
                    <a:stretch>
                      <a:fillRect/>
                    </a:stretch>
                  </pic:blipFill>
                  <pic:spPr>
                    <a:xfrm>
                      <a:off x="0" y="0"/>
                      <a:ext cx="5441315" cy="3850005"/>
                    </a:xfrm>
                    <a:prstGeom prst="rect">
                      <a:avLst/>
                    </a:prstGeom>
                  </pic:spPr>
                </pic:pic>
              </a:graphicData>
            </a:graphic>
          </wp:inline>
        </w:drawing>
      </w:r>
    </w:p>
    <w:p w14:paraId="78EA4A7A">
      <w:pPr>
        <w:pStyle w:val="3"/>
        <w:bidi w:val="0"/>
        <w:ind w:left="0" w:leftChars="0" w:firstLine="420" w:firstLineChars="0"/>
        <w:rPr>
          <w:rFonts w:hint="eastAsia" w:ascii="黑体" w:hAnsi="黑体" w:eastAsia="黑体" w:cs="黑体"/>
          <w:u w:val="none"/>
          <w:lang w:val="en-US" w:eastAsia="zh-CN"/>
        </w:rPr>
      </w:pPr>
      <w:bookmarkStart w:id="45" w:name="_Toc24478"/>
      <w:bookmarkStart w:id="46" w:name="_Toc29451"/>
      <w:bookmarkStart w:id="47" w:name="_Toc152937194"/>
      <w:r>
        <w:rPr>
          <w:rFonts w:hint="eastAsia" w:ascii="黑体" w:hAnsi="黑体" w:eastAsia="黑体" w:cs="黑体"/>
          <w:u w:val="none"/>
          <w:lang w:val="en-US" w:eastAsia="zh-CN"/>
        </w:rPr>
        <w:t>国土空间功能结构优化</w:t>
      </w:r>
      <w:bookmarkEnd w:id="45"/>
      <w:bookmarkEnd w:id="46"/>
      <w:bookmarkEnd w:id="47"/>
    </w:p>
    <w:p w14:paraId="4F38244E">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lang w:bidi="ar"/>
        </w:rPr>
        <w:t>严格落实县级国土空间总体规划的约束性指标要求，加强全域土地用途管制，统筹国土空间用途结构优化。</w:t>
      </w:r>
    </w:p>
    <w:p w14:paraId="37D59316">
      <w:pPr>
        <w:pStyle w:val="4"/>
        <w:bidi w:val="0"/>
        <w:ind w:left="0" w:leftChars="0" w:firstLine="420" w:firstLineChars="0"/>
        <w:rPr>
          <w:rFonts w:hint="eastAsia"/>
          <w:color w:val="auto"/>
          <w:u w:val="none"/>
          <w:lang w:val="en-US" w:eastAsia="zh-CN"/>
        </w:rPr>
      </w:pPr>
      <w:bookmarkStart w:id="48" w:name="_Toc152937195"/>
      <w:r>
        <w:rPr>
          <w:rFonts w:hint="eastAsia"/>
          <w:color w:val="auto"/>
          <w:u w:val="none"/>
          <w:lang w:val="en-US" w:eastAsia="zh-CN"/>
        </w:rPr>
        <w:t>耕地和永久基本农田布局优化</w:t>
      </w:r>
    </w:p>
    <w:p w14:paraId="1778892A">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lang w:bidi="ar"/>
        </w:rPr>
        <w:t>保障优化农业空间，落实最严格的耕地保护制度，多渠道补充耕地，切实完成耕地保护任务，通过实施土地整治等工程促使耕地尤其是永久基本农田集中连片布局。</w:t>
      </w:r>
    </w:p>
    <w:p w14:paraId="0632BF64">
      <w:pPr>
        <w:pStyle w:val="4"/>
        <w:bidi w:val="0"/>
        <w:ind w:left="0" w:leftChars="0" w:firstLine="420" w:firstLineChars="0"/>
        <w:rPr>
          <w:rFonts w:hint="eastAsia"/>
          <w:color w:val="auto"/>
          <w:u w:val="none"/>
          <w:lang w:val="en-US" w:eastAsia="zh-CN"/>
        </w:rPr>
      </w:pPr>
      <w:r>
        <w:rPr>
          <w:rFonts w:hint="eastAsia"/>
          <w:color w:val="auto"/>
          <w:u w:val="none"/>
          <w:lang w:val="en-US" w:eastAsia="zh-CN"/>
        </w:rPr>
        <w:t>园地布局优化</w:t>
      </w:r>
    </w:p>
    <w:p w14:paraId="63E51C78">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lang w:bidi="ar"/>
        </w:rPr>
        <w:t>规划期间在严格保护稳定耕地的基础上，合理调整园地面积，综合运用农业措施，改善生产条件，提高园地利用效益，推动农产品加工等产业发展。</w:t>
      </w:r>
    </w:p>
    <w:p w14:paraId="678209D3">
      <w:pPr>
        <w:pStyle w:val="4"/>
        <w:bidi w:val="0"/>
        <w:ind w:left="0" w:leftChars="0" w:firstLine="420" w:firstLineChars="0"/>
        <w:rPr>
          <w:rFonts w:hint="eastAsia"/>
          <w:color w:val="auto"/>
          <w:u w:val="none"/>
          <w:lang w:val="en-US" w:eastAsia="zh-CN"/>
        </w:rPr>
      </w:pPr>
      <w:r>
        <w:rPr>
          <w:rFonts w:hint="eastAsia"/>
          <w:color w:val="auto"/>
          <w:u w:val="none"/>
          <w:lang w:val="en-US" w:eastAsia="zh-CN"/>
        </w:rPr>
        <w:t>林草和水域用地布局优化</w:t>
      </w:r>
    </w:p>
    <w:p w14:paraId="02BFC284">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lang w:bidi="ar"/>
        </w:rPr>
        <w:t>规划期间林地保持稳定发展，推进林地质量提升，在保护林地资源的前提下发展林下经济。草地主要以维护天然牧草地为主，适度改造宜牧荒草地，提升草地质量。保障重要河湖水面空间，保护湿地资源，筑牢生态源地，推动生态空间健康发展。</w:t>
      </w:r>
    </w:p>
    <w:p w14:paraId="1195F3C9">
      <w:pPr>
        <w:pStyle w:val="4"/>
        <w:bidi w:val="0"/>
        <w:ind w:left="0" w:leftChars="0" w:firstLine="420" w:firstLineChars="0"/>
        <w:rPr>
          <w:rFonts w:hint="eastAsia"/>
          <w:color w:val="auto"/>
          <w:u w:val="none"/>
          <w:lang w:val="en-US" w:eastAsia="zh-CN"/>
        </w:rPr>
      </w:pPr>
      <w:r>
        <w:rPr>
          <w:rFonts w:hint="eastAsia"/>
          <w:color w:val="auto"/>
          <w:u w:val="none"/>
          <w:lang w:val="en-US" w:eastAsia="zh-CN"/>
        </w:rPr>
        <w:t>加强建设用地集约利用</w:t>
      </w:r>
    </w:p>
    <w:p w14:paraId="0E02F692">
      <w:pPr>
        <w:keepNext w:val="0"/>
        <w:keepLines w:val="0"/>
        <w:pageBreakBefore w:val="0"/>
        <w:widowControl w:val="0"/>
        <w:kinsoku/>
        <w:overflowPunct/>
        <w:topLinePunct w:val="0"/>
        <w:autoSpaceDE/>
        <w:autoSpaceDN/>
        <w:bidi w:val="0"/>
        <w:spacing w:line="600" w:lineRule="exact"/>
        <w:textAlignment w:val="auto"/>
        <w:rPr>
          <w:rFonts w:hint="eastAsia"/>
          <w:u w:val="none"/>
          <w:lang w:bidi="ar"/>
        </w:rPr>
      </w:pPr>
      <w:r>
        <w:rPr>
          <w:rFonts w:hint="eastAsia"/>
          <w:u w:val="none"/>
          <w:lang w:bidi="ar"/>
        </w:rPr>
        <w:t>统筹配置镇中心区城镇建设用地及村庄建设用地，优化城乡建设用地空间格局，引导建设用地由“增量扩张”向“增存并举”转型，精准配置新增建设用地，集约保障城镇建设，引导人口减少村庄地区建设用地有序减量，合理保障重大交通、水利、清洁能源等区域基础设施用地和其他建设用地需求。合理安排城乡建设用地增减挂钩、工矿废弃地复垦利用、城镇低效用地再开发等项目，促进城乡一体化融合发展。促进城镇建设用地集约利用。引导城镇建设用地向城镇开发边界内集中，促进城镇集约集聚建设，提高土地节约集约利用水平。推进闲置土地二次开发，积极引导城中村集中成片改造，推动城中村向现代化社区转变，提升土地利用效率和环境品质。推动乡村建设用地集约利用。加强农村宅基地管理、推进农村土地综合整治，提升土地的综合承载能力，为乡村产业发展、公共服务设施建设提供有力支撑。引导工业向城镇产业空间集聚，加大产业集聚区基础设施建设投入。充分利用农村土地制度改革成果，合理保障农村新产业新业态发展用地。</w:t>
      </w:r>
    </w:p>
    <w:p w14:paraId="2C3B2F93">
      <w:pPr>
        <w:pStyle w:val="6"/>
        <w:bidi w:val="0"/>
        <w:rPr>
          <w:rFonts w:hint="eastAsia"/>
          <w:lang w:eastAsia="zh-CN"/>
        </w:rPr>
      </w:pPr>
      <w:r>
        <w:rPr>
          <w:rFonts w:hint="eastAsia"/>
          <w:lang w:eastAsia="zh-CN"/>
        </w:rPr>
        <w:drawing>
          <wp:inline distT="0" distB="0" distL="114300" distR="114300">
            <wp:extent cx="5441315" cy="3850005"/>
            <wp:effectExtent l="0" t="0" r="6985" b="17145"/>
            <wp:docPr id="11" name="图片 11" descr="210522106古城镇17国土空间用地布局规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210522106古城镇17国土空间用地布局规划图"/>
                    <pic:cNvPicPr>
                      <a:picLocks noChangeAspect="1"/>
                    </pic:cNvPicPr>
                  </pic:nvPicPr>
                  <pic:blipFill>
                    <a:blip r:embed="rId22"/>
                    <a:stretch>
                      <a:fillRect/>
                    </a:stretch>
                  </pic:blipFill>
                  <pic:spPr>
                    <a:xfrm>
                      <a:off x="0" y="0"/>
                      <a:ext cx="5441315" cy="3850005"/>
                    </a:xfrm>
                    <a:prstGeom prst="rect">
                      <a:avLst/>
                    </a:prstGeom>
                  </pic:spPr>
                </pic:pic>
              </a:graphicData>
            </a:graphic>
          </wp:inline>
        </w:drawing>
      </w:r>
    </w:p>
    <w:p w14:paraId="6F343F2F">
      <w:pPr>
        <w:keepNext w:val="0"/>
        <w:keepLines w:val="0"/>
        <w:pageBreakBefore w:val="0"/>
        <w:widowControl w:val="0"/>
        <w:kinsoku/>
        <w:overflowPunct/>
        <w:topLinePunct w:val="0"/>
        <w:autoSpaceDE/>
        <w:autoSpaceDN/>
        <w:bidi w:val="0"/>
        <w:spacing w:line="600" w:lineRule="exact"/>
        <w:textAlignment w:val="auto"/>
        <w:rPr>
          <w:rFonts w:hint="eastAsia"/>
          <w:u w:val="none"/>
          <w:lang w:bidi="ar"/>
        </w:rPr>
      </w:pPr>
    </w:p>
    <w:p w14:paraId="7F77FB6B">
      <w:pPr>
        <w:keepNext w:val="0"/>
        <w:keepLines w:val="0"/>
        <w:pageBreakBefore w:val="0"/>
        <w:widowControl w:val="0"/>
        <w:kinsoku/>
        <w:wordWrap/>
        <w:overflowPunct/>
        <w:topLinePunct w:val="0"/>
        <w:autoSpaceDE/>
        <w:autoSpaceDN/>
        <w:bidi w:val="0"/>
        <w:adjustRightInd w:val="0"/>
        <w:snapToGrid w:val="0"/>
        <w:spacing w:after="219" w:afterLines="50" w:line="600" w:lineRule="exact"/>
        <w:ind w:firstLine="0" w:firstLineChars="0"/>
        <w:jc w:val="center"/>
        <w:textAlignment w:val="auto"/>
        <w:outlineLvl w:val="9"/>
        <w:rPr>
          <w:rFonts w:hint="eastAsia" w:ascii="黑体" w:hAnsi="黑体" w:eastAsia="黑体" w:cs="黑体"/>
          <w:b w:val="0"/>
          <w:bCs w:val="0"/>
          <w:color w:val="000000"/>
          <w:u w:val="none"/>
        </w:rPr>
      </w:pPr>
      <w:bookmarkStart w:id="49" w:name="_Toc606"/>
      <w:bookmarkStart w:id="50" w:name="_Toc9691"/>
      <w:bookmarkStart w:id="51" w:name="_Toc29292"/>
      <w:bookmarkStart w:id="52" w:name="_Toc11718"/>
      <w:r>
        <w:rPr>
          <w:rFonts w:hint="eastAsia" w:ascii="黑体" w:hAnsi="黑体" w:eastAsia="黑体" w:cs="黑体"/>
          <w:b w:val="0"/>
          <w:bCs w:val="0"/>
          <w:color w:val="000000"/>
          <w:u w:val="none"/>
          <w:lang w:val="en-US" w:eastAsia="zh-CN"/>
        </w:rPr>
        <w:t>全</w:t>
      </w:r>
      <w:r>
        <w:rPr>
          <w:rFonts w:hint="eastAsia" w:ascii="黑体" w:hAnsi="黑体" w:eastAsia="黑体" w:cs="黑体"/>
          <w:b w:val="0"/>
          <w:bCs w:val="0"/>
          <w:color w:val="000000"/>
          <w:u w:val="none"/>
        </w:rPr>
        <w:t>域国土空间功能结构调整表</w:t>
      </w:r>
      <w:bookmarkEnd w:id="49"/>
      <w:bookmarkEnd w:id="50"/>
      <w:bookmarkEnd w:id="51"/>
      <w:bookmarkEnd w:id="52"/>
    </w:p>
    <w:p w14:paraId="2569C102">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right"/>
        <w:textAlignment w:val="auto"/>
        <w:rPr>
          <w:rFonts w:hint="eastAsia" w:ascii="仿宋_GB2312" w:hAnsi="宋体" w:cs="宋体"/>
          <w:color w:val="auto"/>
          <w:spacing w:val="-1"/>
          <w:sz w:val="21"/>
          <w:szCs w:val="21"/>
          <w:u w:val="none"/>
          <w:lang w:bidi="ar"/>
        </w:rPr>
      </w:pPr>
      <w:r>
        <w:rPr>
          <w:rFonts w:hint="eastAsia" w:ascii="仿宋_GB2312" w:hAnsi="宋体" w:cs="宋体"/>
          <w:color w:val="auto"/>
          <w:spacing w:val="-1"/>
          <w:sz w:val="21"/>
          <w:szCs w:val="21"/>
          <w:u w:val="none"/>
          <w:lang w:bidi="ar"/>
        </w:rPr>
        <w:t>单位：公顷、%</w:t>
      </w:r>
    </w:p>
    <w:tbl>
      <w:tblPr>
        <w:tblStyle w:val="22"/>
        <w:tblW w:w="85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8"/>
        <w:gridCol w:w="1663"/>
        <w:gridCol w:w="1064"/>
        <w:gridCol w:w="886"/>
        <w:gridCol w:w="1950"/>
        <w:gridCol w:w="1961"/>
      </w:tblGrid>
      <w:tr w14:paraId="06711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31" w:type="dxa"/>
            <w:gridSpan w:val="2"/>
            <w:vMerge w:val="restart"/>
            <w:noWrap/>
            <w:vAlign w:val="center"/>
          </w:tcPr>
          <w:p w14:paraId="1E88C1E6">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sz w:val="21"/>
                <w:szCs w:val="21"/>
                <w:u w:val="none"/>
                <w14:ligatures w14:val="standardContextual"/>
              </w:rPr>
            </w:pPr>
            <w:r>
              <w:rPr>
                <w:rFonts w:hint="default" w:ascii="Times New Roman" w:hAnsi="Times New Roman" w:eastAsia="仿宋_GB2312" w:cs="Times New Roman"/>
                <w:b/>
                <w:bCs/>
                <w:color w:val="auto"/>
                <w:sz w:val="21"/>
                <w:szCs w:val="21"/>
                <w:u w:val="none"/>
                <w14:ligatures w14:val="standardContextual"/>
              </w:rPr>
              <w:t>用地类型</w:t>
            </w:r>
          </w:p>
        </w:tc>
        <w:tc>
          <w:tcPr>
            <w:tcW w:w="1950" w:type="dxa"/>
            <w:gridSpan w:val="2"/>
            <w:noWrap/>
            <w:vAlign w:val="center"/>
          </w:tcPr>
          <w:p w14:paraId="620E3B2E">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sz w:val="21"/>
                <w:szCs w:val="21"/>
                <w:u w:val="none"/>
                <w14:ligatures w14:val="standardContextual"/>
              </w:rPr>
            </w:pPr>
            <w:r>
              <w:rPr>
                <w:rFonts w:hint="default" w:ascii="Times New Roman" w:hAnsi="Times New Roman" w:eastAsia="仿宋_GB2312" w:cs="Times New Roman"/>
                <w:b/>
                <w:bCs/>
                <w:color w:val="auto"/>
                <w:sz w:val="21"/>
                <w:szCs w:val="21"/>
                <w:u w:val="none"/>
                <w14:ligatures w14:val="standardContextual"/>
              </w:rPr>
              <w:t>规划基期年</w:t>
            </w:r>
          </w:p>
        </w:tc>
        <w:tc>
          <w:tcPr>
            <w:tcW w:w="3911" w:type="dxa"/>
            <w:gridSpan w:val="2"/>
            <w:noWrap/>
            <w:vAlign w:val="center"/>
          </w:tcPr>
          <w:p w14:paraId="4A7FC688">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sz w:val="21"/>
                <w:szCs w:val="21"/>
                <w:u w:val="none"/>
                <w14:ligatures w14:val="standardContextual"/>
              </w:rPr>
            </w:pPr>
            <w:r>
              <w:rPr>
                <w:rFonts w:hint="default" w:ascii="Times New Roman" w:hAnsi="Times New Roman" w:eastAsia="仿宋_GB2312" w:cs="Times New Roman"/>
                <w:b/>
                <w:bCs/>
                <w:color w:val="auto"/>
                <w:sz w:val="21"/>
                <w:szCs w:val="21"/>
                <w:u w:val="none"/>
                <w14:ligatures w14:val="standardContextual"/>
              </w:rPr>
              <w:t>规划目标年</w:t>
            </w:r>
          </w:p>
        </w:tc>
      </w:tr>
      <w:tr w14:paraId="00F3A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31" w:type="dxa"/>
            <w:gridSpan w:val="2"/>
            <w:vMerge w:val="continue"/>
            <w:noWrap/>
            <w:vAlign w:val="center"/>
          </w:tcPr>
          <w:p w14:paraId="6E596EA3">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b/>
                <w:bCs/>
                <w:color w:val="auto"/>
                <w:sz w:val="21"/>
                <w:szCs w:val="21"/>
                <w:u w:val="none"/>
                <w14:ligatures w14:val="standardContextual"/>
              </w:rPr>
            </w:pPr>
          </w:p>
        </w:tc>
        <w:tc>
          <w:tcPr>
            <w:tcW w:w="1064" w:type="dxa"/>
            <w:noWrap/>
            <w:vAlign w:val="center"/>
          </w:tcPr>
          <w:p w14:paraId="7B0B45E8">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sz w:val="21"/>
                <w:szCs w:val="21"/>
                <w:u w:val="none"/>
                <w14:ligatures w14:val="standardContextual"/>
              </w:rPr>
            </w:pPr>
            <w:r>
              <w:rPr>
                <w:rFonts w:hint="default" w:ascii="Times New Roman" w:hAnsi="Times New Roman" w:eastAsia="仿宋_GB2312" w:cs="Times New Roman"/>
                <w:b/>
                <w:bCs/>
                <w:color w:val="auto"/>
                <w:sz w:val="21"/>
                <w:szCs w:val="21"/>
                <w:u w:val="none"/>
                <w14:ligatures w14:val="standardContextual"/>
              </w:rPr>
              <w:t>面积</w:t>
            </w:r>
          </w:p>
        </w:tc>
        <w:tc>
          <w:tcPr>
            <w:tcW w:w="886" w:type="dxa"/>
            <w:noWrap/>
            <w:vAlign w:val="center"/>
          </w:tcPr>
          <w:p w14:paraId="2CCAE0B3">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sz w:val="21"/>
                <w:szCs w:val="21"/>
                <w:u w:val="none"/>
                <w14:ligatures w14:val="standardContextual"/>
              </w:rPr>
            </w:pPr>
            <w:r>
              <w:rPr>
                <w:rFonts w:hint="default" w:ascii="Times New Roman" w:hAnsi="Times New Roman" w:eastAsia="仿宋_GB2312" w:cs="Times New Roman"/>
                <w:b/>
                <w:bCs/>
                <w:color w:val="auto"/>
                <w:sz w:val="21"/>
                <w:szCs w:val="21"/>
                <w:u w:val="none"/>
                <w14:ligatures w14:val="standardContextual"/>
              </w:rPr>
              <w:t>比重</w:t>
            </w:r>
          </w:p>
        </w:tc>
        <w:tc>
          <w:tcPr>
            <w:tcW w:w="1950" w:type="dxa"/>
            <w:noWrap/>
            <w:vAlign w:val="center"/>
          </w:tcPr>
          <w:p w14:paraId="3547D1BA">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sz w:val="21"/>
                <w:szCs w:val="21"/>
                <w:u w:val="none"/>
                <w14:ligatures w14:val="standardContextual"/>
              </w:rPr>
            </w:pPr>
            <w:r>
              <w:rPr>
                <w:rFonts w:hint="default" w:ascii="Times New Roman" w:hAnsi="Times New Roman" w:eastAsia="仿宋_GB2312" w:cs="Times New Roman"/>
                <w:b/>
                <w:bCs/>
                <w:color w:val="auto"/>
                <w:sz w:val="21"/>
                <w:szCs w:val="21"/>
                <w:u w:val="none"/>
                <w14:ligatures w14:val="standardContextual"/>
              </w:rPr>
              <w:t>面积</w:t>
            </w:r>
          </w:p>
        </w:tc>
        <w:tc>
          <w:tcPr>
            <w:tcW w:w="1961" w:type="dxa"/>
            <w:noWrap/>
            <w:vAlign w:val="center"/>
          </w:tcPr>
          <w:p w14:paraId="50BC6604">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sz w:val="21"/>
                <w:szCs w:val="21"/>
                <w:u w:val="none"/>
                <w14:ligatures w14:val="standardContextual"/>
              </w:rPr>
            </w:pPr>
            <w:r>
              <w:rPr>
                <w:rFonts w:hint="default" w:ascii="Times New Roman" w:hAnsi="Times New Roman" w:eastAsia="仿宋_GB2312" w:cs="Times New Roman"/>
                <w:b/>
                <w:bCs/>
                <w:color w:val="auto"/>
                <w:sz w:val="21"/>
                <w:szCs w:val="21"/>
                <w:u w:val="none"/>
                <w14:ligatures w14:val="standardContextual"/>
              </w:rPr>
              <w:t>比重</w:t>
            </w:r>
          </w:p>
        </w:tc>
      </w:tr>
      <w:tr w14:paraId="23D5F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31" w:type="dxa"/>
            <w:gridSpan w:val="2"/>
            <w:noWrap/>
            <w:vAlign w:val="center"/>
          </w:tcPr>
          <w:p w14:paraId="245CB4C8">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160" w:leftChars="50" w:right="0" w:firstLine="0" w:firstLineChars="0"/>
              <w:jc w:val="center"/>
              <w:textAlignment w:val="auto"/>
              <w:rPr>
                <w:rFonts w:hint="default" w:ascii="Times New Roman" w:hAnsi="Times New Roman" w:eastAsia="仿宋_GB2312" w:cs="Times New Roman"/>
                <w:color w:val="auto"/>
                <w:sz w:val="21"/>
                <w:szCs w:val="21"/>
                <w:u w:val="none"/>
                <w14:ligatures w14:val="standardContextual"/>
              </w:rPr>
            </w:pPr>
            <w:r>
              <w:rPr>
                <w:rFonts w:hint="default" w:ascii="Times New Roman" w:hAnsi="Times New Roman" w:eastAsia="仿宋_GB2312" w:cs="Times New Roman"/>
                <w:color w:val="auto"/>
                <w:sz w:val="21"/>
                <w:szCs w:val="21"/>
                <w:u w:val="none"/>
                <w14:ligatures w14:val="standardContextual"/>
              </w:rPr>
              <w:t>耕地</w:t>
            </w:r>
          </w:p>
        </w:tc>
        <w:tc>
          <w:tcPr>
            <w:tcW w:w="1064" w:type="dxa"/>
            <w:noWrap/>
            <w:vAlign w:val="center"/>
          </w:tcPr>
          <w:p w14:paraId="744D8B2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5089.52</w:t>
            </w:r>
          </w:p>
        </w:tc>
        <w:tc>
          <w:tcPr>
            <w:tcW w:w="886" w:type="dxa"/>
            <w:noWrap/>
            <w:vAlign w:val="center"/>
          </w:tcPr>
          <w:p w14:paraId="7F08251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16.07</w:t>
            </w:r>
          </w:p>
        </w:tc>
        <w:tc>
          <w:tcPr>
            <w:tcW w:w="3911" w:type="dxa"/>
            <w:gridSpan w:val="2"/>
            <w:noWrap/>
            <w:vAlign w:val="center"/>
          </w:tcPr>
          <w:p w14:paraId="486D43F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≥4882.55</w:t>
            </w:r>
          </w:p>
        </w:tc>
      </w:tr>
      <w:tr w14:paraId="0B799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31" w:type="dxa"/>
            <w:gridSpan w:val="2"/>
            <w:noWrap/>
            <w:vAlign w:val="center"/>
          </w:tcPr>
          <w:p w14:paraId="3E174A65">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160" w:leftChars="50" w:right="0" w:firstLine="0" w:firstLineChars="0"/>
              <w:jc w:val="center"/>
              <w:textAlignment w:val="auto"/>
              <w:rPr>
                <w:rFonts w:hint="default" w:ascii="Times New Roman" w:hAnsi="Times New Roman" w:eastAsia="仿宋_GB2312" w:cs="Times New Roman"/>
                <w:color w:val="auto"/>
                <w:sz w:val="21"/>
                <w:szCs w:val="21"/>
                <w:u w:val="none"/>
                <w14:ligatures w14:val="standardContextual"/>
              </w:rPr>
            </w:pPr>
            <w:r>
              <w:rPr>
                <w:rFonts w:hint="default" w:ascii="Times New Roman" w:hAnsi="Times New Roman" w:eastAsia="仿宋_GB2312" w:cs="Times New Roman"/>
                <w:color w:val="auto"/>
                <w:sz w:val="21"/>
                <w:szCs w:val="21"/>
                <w:u w:val="none"/>
                <w14:ligatures w14:val="standardContextual"/>
              </w:rPr>
              <w:t>园地</w:t>
            </w:r>
          </w:p>
        </w:tc>
        <w:tc>
          <w:tcPr>
            <w:tcW w:w="1064" w:type="dxa"/>
            <w:noWrap/>
            <w:vAlign w:val="center"/>
          </w:tcPr>
          <w:p w14:paraId="5A7D12C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118.73</w:t>
            </w:r>
          </w:p>
        </w:tc>
        <w:tc>
          <w:tcPr>
            <w:tcW w:w="886" w:type="dxa"/>
            <w:noWrap/>
            <w:vAlign w:val="center"/>
          </w:tcPr>
          <w:p w14:paraId="1C21703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0.37</w:t>
            </w:r>
          </w:p>
        </w:tc>
        <w:tc>
          <w:tcPr>
            <w:tcW w:w="3911" w:type="dxa"/>
            <w:gridSpan w:val="2"/>
            <w:noWrap/>
            <w:vAlign w:val="center"/>
          </w:tcPr>
          <w:p w14:paraId="27E8EE0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合理利用</w:t>
            </w:r>
          </w:p>
        </w:tc>
      </w:tr>
      <w:tr w14:paraId="69B99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31" w:type="dxa"/>
            <w:gridSpan w:val="2"/>
            <w:noWrap/>
            <w:vAlign w:val="center"/>
          </w:tcPr>
          <w:p w14:paraId="006CA9AC">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160" w:leftChars="50" w:right="0" w:firstLine="0" w:firstLineChars="0"/>
              <w:jc w:val="center"/>
              <w:textAlignment w:val="auto"/>
              <w:rPr>
                <w:rFonts w:hint="default" w:ascii="Times New Roman" w:hAnsi="Times New Roman" w:eastAsia="仿宋_GB2312" w:cs="Times New Roman"/>
                <w:color w:val="auto"/>
                <w:sz w:val="21"/>
                <w:szCs w:val="21"/>
                <w:u w:val="none"/>
                <w14:ligatures w14:val="standardContextual"/>
              </w:rPr>
            </w:pPr>
            <w:r>
              <w:rPr>
                <w:rFonts w:hint="default" w:ascii="Times New Roman" w:hAnsi="Times New Roman" w:eastAsia="仿宋_GB2312" w:cs="Times New Roman"/>
                <w:color w:val="auto"/>
                <w:sz w:val="21"/>
                <w:szCs w:val="21"/>
                <w:u w:val="none"/>
                <w14:ligatures w14:val="standardContextual"/>
              </w:rPr>
              <w:t>林地</w:t>
            </w:r>
          </w:p>
        </w:tc>
        <w:tc>
          <w:tcPr>
            <w:tcW w:w="1064" w:type="dxa"/>
            <w:noWrap/>
            <w:vAlign w:val="center"/>
          </w:tcPr>
          <w:p w14:paraId="485E2F1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24889.50</w:t>
            </w:r>
          </w:p>
        </w:tc>
        <w:tc>
          <w:tcPr>
            <w:tcW w:w="886" w:type="dxa"/>
            <w:noWrap/>
            <w:vAlign w:val="center"/>
          </w:tcPr>
          <w:p w14:paraId="7A58FC5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78.58</w:t>
            </w:r>
          </w:p>
        </w:tc>
        <w:tc>
          <w:tcPr>
            <w:tcW w:w="3911" w:type="dxa"/>
            <w:gridSpan w:val="2"/>
            <w:noWrap/>
            <w:vAlign w:val="center"/>
          </w:tcPr>
          <w:p w14:paraId="3E85369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保持稳定</w:t>
            </w:r>
          </w:p>
        </w:tc>
      </w:tr>
      <w:tr w14:paraId="3C8E1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31" w:type="dxa"/>
            <w:gridSpan w:val="2"/>
            <w:noWrap/>
            <w:vAlign w:val="center"/>
          </w:tcPr>
          <w:p w14:paraId="39759D69">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160" w:leftChars="50" w:right="0" w:firstLine="0" w:firstLineChars="0"/>
              <w:jc w:val="center"/>
              <w:textAlignment w:val="auto"/>
              <w:rPr>
                <w:rFonts w:hint="default" w:ascii="Times New Roman" w:hAnsi="Times New Roman" w:eastAsia="仿宋_GB2312" w:cs="Times New Roman"/>
                <w:color w:val="auto"/>
                <w:sz w:val="21"/>
                <w:szCs w:val="21"/>
                <w:u w:val="none"/>
                <w14:ligatures w14:val="standardContextual"/>
              </w:rPr>
            </w:pPr>
            <w:r>
              <w:rPr>
                <w:rFonts w:hint="default" w:ascii="Times New Roman" w:hAnsi="Times New Roman" w:eastAsia="仿宋_GB2312" w:cs="Times New Roman"/>
                <w:color w:val="auto"/>
                <w:sz w:val="21"/>
                <w:szCs w:val="21"/>
                <w:u w:val="none"/>
                <w14:ligatures w14:val="standardContextual"/>
              </w:rPr>
              <w:t>草地</w:t>
            </w:r>
          </w:p>
        </w:tc>
        <w:tc>
          <w:tcPr>
            <w:tcW w:w="1064" w:type="dxa"/>
            <w:noWrap/>
            <w:vAlign w:val="center"/>
          </w:tcPr>
          <w:p w14:paraId="493B767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85.96</w:t>
            </w:r>
          </w:p>
        </w:tc>
        <w:tc>
          <w:tcPr>
            <w:tcW w:w="886" w:type="dxa"/>
            <w:noWrap/>
            <w:vAlign w:val="center"/>
          </w:tcPr>
          <w:p w14:paraId="7893CA7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0.27</w:t>
            </w:r>
          </w:p>
        </w:tc>
        <w:tc>
          <w:tcPr>
            <w:tcW w:w="3911" w:type="dxa"/>
            <w:gridSpan w:val="2"/>
            <w:noWrap/>
            <w:vAlign w:val="center"/>
          </w:tcPr>
          <w:p w14:paraId="082E0CE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略有下降（其中天然牧草地保持稳定</w:t>
            </w:r>
            <w:r>
              <w:rPr>
                <w:rFonts w:hint="eastAsia" w:ascii="Times New Roman" w:hAnsi="Times New Roman" w:cs="Times New Roman"/>
                <w:color w:val="auto"/>
                <w:sz w:val="21"/>
                <w:szCs w:val="21"/>
                <w:u w:val="none"/>
                <w:lang w:val="en-US" w:eastAsia="zh-CN"/>
                <w14:ligatures w14:val="standardContextual"/>
              </w:rPr>
              <w:t>)</w:t>
            </w:r>
          </w:p>
        </w:tc>
      </w:tr>
      <w:tr w14:paraId="5B5E8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31" w:type="dxa"/>
            <w:gridSpan w:val="2"/>
            <w:noWrap/>
            <w:vAlign w:val="center"/>
          </w:tcPr>
          <w:p w14:paraId="0F3C1EF3">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160" w:leftChars="50" w:right="0" w:firstLine="0" w:firstLineChars="0"/>
              <w:jc w:val="center"/>
              <w:textAlignment w:val="auto"/>
              <w:rPr>
                <w:rFonts w:hint="default" w:ascii="Times New Roman" w:hAnsi="Times New Roman" w:eastAsia="仿宋_GB2312" w:cs="Times New Roman"/>
                <w:color w:val="auto"/>
                <w:sz w:val="21"/>
                <w:szCs w:val="21"/>
                <w:u w:val="none"/>
                <w14:ligatures w14:val="standardContextual"/>
              </w:rPr>
            </w:pPr>
            <w:r>
              <w:rPr>
                <w:rFonts w:hint="default" w:ascii="Times New Roman" w:hAnsi="Times New Roman" w:eastAsia="仿宋_GB2312" w:cs="Times New Roman"/>
                <w:color w:val="auto"/>
                <w:sz w:val="21"/>
                <w:szCs w:val="21"/>
                <w:u w:val="none"/>
                <w14:ligatures w14:val="standardContextual"/>
              </w:rPr>
              <w:t>湿地</w:t>
            </w:r>
          </w:p>
        </w:tc>
        <w:tc>
          <w:tcPr>
            <w:tcW w:w="1064" w:type="dxa"/>
            <w:noWrap/>
            <w:vAlign w:val="center"/>
          </w:tcPr>
          <w:p w14:paraId="181B63F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33.94</w:t>
            </w:r>
          </w:p>
        </w:tc>
        <w:tc>
          <w:tcPr>
            <w:tcW w:w="886" w:type="dxa"/>
            <w:noWrap/>
            <w:vAlign w:val="center"/>
          </w:tcPr>
          <w:p w14:paraId="4283167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0.11</w:t>
            </w:r>
          </w:p>
        </w:tc>
        <w:tc>
          <w:tcPr>
            <w:tcW w:w="3911" w:type="dxa"/>
            <w:gridSpan w:val="2"/>
            <w:noWrap/>
            <w:vAlign w:val="center"/>
          </w:tcPr>
          <w:p w14:paraId="6F5AFE3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保持稳定</w:t>
            </w:r>
          </w:p>
        </w:tc>
      </w:tr>
      <w:tr w14:paraId="79308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31" w:type="dxa"/>
            <w:gridSpan w:val="2"/>
            <w:noWrap/>
            <w:vAlign w:val="center"/>
          </w:tcPr>
          <w:p w14:paraId="1642C6D5">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160" w:leftChars="50" w:right="0" w:firstLine="0" w:firstLineChars="0"/>
              <w:jc w:val="center"/>
              <w:textAlignment w:val="auto"/>
              <w:rPr>
                <w:rFonts w:hint="default" w:ascii="Times New Roman" w:hAnsi="Times New Roman" w:eastAsia="仿宋_GB2312" w:cs="Times New Roman"/>
                <w:color w:val="auto"/>
                <w:sz w:val="21"/>
                <w:szCs w:val="21"/>
                <w:u w:val="none"/>
                <w14:ligatures w14:val="standardContextual"/>
              </w:rPr>
            </w:pPr>
            <w:r>
              <w:rPr>
                <w:rFonts w:hint="default" w:ascii="Times New Roman" w:hAnsi="Times New Roman" w:eastAsia="仿宋_GB2312" w:cs="Times New Roman"/>
                <w:color w:val="auto"/>
                <w:sz w:val="21"/>
                <w:szCs w:val="21"/>
                <w:u w:val="none"/>
                <w14:ligatures w14:val="standardContextual"/>
              </w:rPr>
              <w:t>农业设施建设用地</w:t>
            </w:r>
          </w:p>
        </w:tc>
        <w:tc>
          <w:tcPr>
            <w:tcW w:w="1064" w:type="dxa"/>
            <w:noWrap/>
            <w:vAlign w:val="center"/>
          </w:tcPr>
          <w:p w14:paraId="558D1B6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172.91</w:t>
            </w:r>
          </w:p>
        </w:tc>
        <w:tc>
          <w:tcPr>
            <w:tcW w:w="886" w:type="dxa"/>
            <w:noWrap/>
            <w:vAlign w:val="center"/>
          </w:tcPr>
          <w:p w14:paraId="0D47DD9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0.55</w:t>
            </w:r>
          </w:p>
        </w:tc>
        <w:tc>
          <w:tcPr>
            <w:tcW w:w="3911" w:type="dxa"/>
            <w:gridSpan w:val="2"/>
            <w:noWrap/>
            <w:vAlign w:val="center"/>
          </w:tcPr>
          <w:p w14:paraId="22AC073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持续增加</w:t>
            </w:r>
          </w:p>
        </w:tc>
      </w:tr>
      <w:tr w14:paraId="0A1BE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68" w:type="dxa"/>
            <w:vMerge w:val="restart"/>
            <w:noWrap/>
            <w:vAlign w:val="center"/>
          </w:tcPr>
          <w:p w14:paraId="7DF831E7">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160" w:leftChars="50" w:right="0" w:firstLine="0" w:firstLineChars="0"/>
              <w:jc w:val="center"/>
              <w:textAlignment w:val="auto"/>
              <w:rPr>
                <w:rFonts w:hint="default" w:ascii="Times New Roman" w:hAnsi="Times New Roman" w:eastAsia="仿宋_GB2312" w:cs="Times New Roman"/>
                <w:color w:val="auto"/>
                <w:sz w:val="21"/>
                <w:szCs w:val="21"/>
                <w:u w:val="none"/>
                <w14:ligatures w14:val="standardContextual"/>
              </w:rPr>
            </w:pPr>
            <w:r>
              <w:rPr>
                <w:rFonts w:hint="default" w:ascii="Times New Roman" w:hAnsi="Times New Roman" w:eastAsia="仿宋_GB2312" w:cs="Times New Roman"/>
                <w:color w:val="auto"/>
                <w:sz w:val="21"/>
                <w:szCs w:val="21"/>
                <w:u w:val="none"/>
                <w14:ligatures w14:val="standardContextual"/>
              </w:rPr>
              <w:t>城乡建设用地</w:t>
            </w:r>
          </w:p>
        </w:tc>
        <w:tc>
          <w:tcPr>
            <w:tcW w:w="1663" w:type="dxa"/>
            <w:vAlign w:val="center"/>
          </w:tcPr>
          <w:p w14:paraId="6160401D">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160" w:leftChars="50" w:right="0" w:firstLine="0" w:firstLineChars="0"/>
              <w:jc w:val="center"/>
              <w:textAlignment w:val="auto"/>
              <w:rPr>
                <w:rFonts w:hint="default" w:ascii="Times New Roman" w:hAnsi="Times New Roman" w:eastAsia="仿宋_GB2312" w:cs="Times New Roman"/>
                <w:color w:val="auto"/>
                <w:sz w:val="21"/>
                <w:szCs w:val="21"/>
                <w:u w:val="none"/>
                <w14:ligatures w14:val="standardContextual"/>
              </w:rPr>
            </w:pPr>
            <w:r>
              <w:rPr>
                <w:rFonts w:hint="default" w:ascii="Times New Roman" w:hAnsi="Times New Roman" w:eastAsia="仿宋_GB2312" w:cs="Times New Roman"/>
                <w:color w:val="auto"/>
                <w:sz w:val="21"/>
                <w:szCs w:val="21"/>
                <w:u w:val="none"/>
                <w14:ligatures w14:val="standardContextual"/>
              </w:rPr>
              <w:t>城镇建设用地</w:t>
            </w:r>
          </w:p>
        </w:tc>
        <w:tc>
          <w:tcPr>
            <w:tcW w:w="1064" w:type="dxa"/>
            <w:noWrap/>
            <w:vAlign w:val="center"/>
          </w:tcPr>
          <w:p w14:paraId="49FB921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44.77</w:t>
            </w:r>
          </w:p>
        </w:tc>
        <w:tc>
          <w:tcPr>
            <w:tcW w:w="886" w:type="dxa"/>
            <w:noWrap/>
            <w:vAlign w:val="center"/>
          </w:tcPr>
          <w:p w14:paraId="7BE66EA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0.14</w:t>
            </w:r>
          </w:p>
        </w:tc>
        <w:tc>
          <w:tcPr>
            <w:tcW w:w="1950" w:type="dxa"/>
            <w:noWrap/>
            <w:vAlign w:val="bottom"/>
          </w:tcPr>
          <w:p w14:paraId="3BE3CCB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66.04</w:t>
            </w:r>
          </w:p>
        </w:tc>
        <w:tc>
          <w:tcPr>
            <w:tcW w:w="1961" w:type="dxa"/>
            <w:noWrap/>
            <w:vAlign w:val="bottom"/>
          </w:tcPr>
          <w:p w14:paraId="632CDB4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0.21</w:t>
            </w:r>
          </w:p>
        </w:tc>
      </w:tr>
      <w:tr w14:paraId="125E1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68" w:type="dxa"/>
            <w:vMerge w:val="continue"/>
            <w:noWrap/>
            <w:vAlign w:val="center"/>
          </w:tcPr>
          <w:p w14:paraId="1CFB5514">
            <w:pPr>
              <w:keepNext w:val="0"/>
              <w:keepLines w:val="0"/>
              <w:widowControl/>
              <w:suppressLineNumbers w:val="0"/>
              <w:wordWrap w:val="0"/>
              <w:spacing w:before="0" w:beforeAutospacing="0" w:after="0" w:afterAutospacing="0" w:line="240" w:lineRule="auto"/>
              <w:ind w:left="160" w:leftChars="50" w:right="0" w:firstLine="0" w:firstLineChars="0"/>
              <w:jc w:val="center"/>
              <w:rPr>
                <w:rFonts w:hint="default" w:ascii="Times New Roman" w:hAnsi="Times New Roman" w:eastAsia="仿宋_GB2312" w:cs="Times New Roman"/>
                <w:color w:val="auto"/>
                <w:sz w:val="21"/>
                <w:szCs w:val="21"/>
                <w:u w:val="none"/>
                <w14:ligatures w14:val="standardContextual"/>
              </w:rPr>
            </w:pPr>
          </w:p>
        </w:tc>
        <w:tc>
          <w:tcPr>
            <w:tcW w:w="1663" w:type="dxa"/>
            <w:vAlign w:val="center"/>
          </w:tcPr>
          <w:p w14:paraId="3E8048D2">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160" w:leftChars="50" w:right="0" w:firstLine="0" w:firstLineChars="0"/>
              <w:jc w:val="center"/>
              <w:textAlignment w:val="auto"/>
              <w:rPr>
                <w:rFonts w:hint="default" w:ascii="Times New Roman" w:hAnsi="Times New Roman" w:eastAsia="仿宋_GB2312" w:cs="Times New Roman"/>
                <w:color w:val="auto"/>
                <w:sz w:val="21"/>
                <w:szCs w:val="21"/>
                <w:u w:val="none"/>
                <w14:ligatures w14:val="standardContextual"/>
              </w:rPr>
            </w:pPr>
            <w:r>
              <w:rPr>
                <w:rFonts w:hint="default" w:ascii="Times New Roman" w:hAnsi="Times New Roman" w:eastAsia="仿宋_GB2312" w:cs="Times New Roman"/>
                <w:color w:val="auto"/>
                <w:sz w:val="21"/>
                <w:szCs w:val="21"/>
                <w:u w:val="none"/>
                <w14:ligatures w14:val="standardContextual"/>
              </w:rPr>
              <w:t>村庄建设用地</w:t>
            </w:r>
          </w:p>
        </w:tc>
        <w:tc>
          <w:tcPr>
            <w:tcW w:w="1064" w:type="dxa"/>
            <w:noWrap/>
            <w:vAlign w:val="center"/>
          </w:tcPr>
          <w:p w14:paraId="18419CB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330.98</w:t>
            </w:r>
          </w:p>
        </w:tc>
        <w:tc>
          <w:tcPr>
            <w:tcW w:w="886" w:type="dxa"/>
            <w:noWrap/>
            <w:vAlign w:val="center"/>
          </w:tcPr>
          <w:p w14:paraId="325F9BC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1.04</w:t>
            </w:r>
          </w:p>
        </w:tc>
        <w:tc>
          <w:tcPr>
            <w:tcW w:w="1950" w:type="dxa"/>
            <w:noWrap/>
            <w:vAlign w:val="bottom"/>
          </w:tcPr>
          <w:p w14:paraId="7EF195E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358.11</w:t>
            </w:r>
          </w:p>
        </w:tc>
        <w:tc>
          <w:tcPr>
            <w:tcW w:w="1961" w:type="dxa"/>
            <w:noWrap/>
            <w:vAlign w:val="bottom"/>
          </w:tcPr>
          <w:p w14:paraId="62ED361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1.13</w:t>
            </w:r>
          </w:p>
        </w:tc>
      </w:tr>
      <w:tr w14:paraId="1154C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31" w:type="dxa"/>
            <w:gridSpan w:val="2"/>
            <w:noWrap/>
            <w:vAlign w:val="center"/>
          </w:tcPr>
          <w:p w14:paraId="40BB8F32">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160" w:leftChars="50" w:right="0" w:firstLine="0" w:firstLineChars="0"/>
              <w:jc w:val="center"/>
              <w:textAlignment w:val="auto"/>
              <w:rPr>
                <w:rFonts w:hint="default" w:ascii="Times New Roman" w:hAnsi="Times New Roman" w:eastAsia="仿宋_GB2312" w:cs="Times New Roman"/>
                <w:color w:val="auto"/>
                <w:sz w:val="21"/>
                <w:szCs w:val="21"/>
                <w:u w:val="none"/>
                <w14:ligatures w14:val="standardContextual"/>
              </w:rPr>
            </w:pPr>
            <w:r>
              <w:rPr>
                <w:rFonts w:hint="default" w:ascii="Times New Roman" w:hAnsi="Times New Roman" w:eastAsia="仿宋_GB2312" w:cs="Times New Roman"/>
                <w:color w:val="auto"/>
                <w:sz w:val="21"/>
                <w:szCs w:val="21"/>
                <w:u w:val="none"/>
                <w14:ligatures w14:val="standardContextual"/>
              </w:rPr>
              <w:t>区域基础设施用地</w:t>
            </w:r>
          </w:p>
        </w:tc>
        <w:tc>
          <w:tcPr>
            <w:tcW w:w="1064" w:type="dxa"/>
            <w:noWrap/>
            <w:vAlign w:val="center"/>
          </w:tcPr>
          <w:p w14:paraId="05D3D1B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230.65</w:t>
            </w:r>
          </w:p>
        </w:tc>
        <w:tc>
          <w:tcPr>
            <w:tcW w:w="886" w:type="dxa"/>
            <w:noWrap/>
            <w:vAlign w:val="center"/>
          </w:tcPr>
          <w:p w14:paraId="41A62A7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0.73</w:t>
            </w:r>
          </w:p>
        </w:tc>
        <w:tc>
          <w:tcPr>
            <w:tcW w:w="3911" w:type="dxa"/>
            <w:gridSpan w:val="2"/>
            <w:noWrap/>
            <w:vAlign w:val="center"/>
          </w:tcPr>
          <w:p w14:paraId="5FB7984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合理利用</w:t>
            </w:r>
          </w:p>
        </w:tc>
      </w:tr>
      <w:tr w14:paraId="165CC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31" w:type="dxa"/>
            <w:gridSpan w:val="2"/>
            <w:noWrap/>
            <w:vAlign w:val="center"/>
          </w:tcPr>
          <w:p w14:paraId="0D7376DD">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160" w:leftChars="50" w:right="0" w:firstLine="0" w:firstLineChars="0"/>
              <w:jc w:val="center"/>
              <w:textAlignment w:val="auto"/>
              <w:rPr>
                <w:rFonts w:hint="default" w:ascii="Times New Roman" w:hAnsi="Times New Roman" w:eastAsia="仿宋_GB2312" w:cs="Times New Roman"/>
                <w:color w:val="auto"/>
                <w:sz w:val="21"/>
                <w:szCs w:val="21"/>
                <w:u w:val="none"/>
                <w14:ligatures w14:val="standardContextual"/>
              </w:rPr>
            </w:pPr>
            <w:r>
              <w:rPr>
                <w:rFonts w:hint="default" w:ascii="Times New Roman" w:hAnsi="Times New Roman" w:eastAsia="仿宋_GB2312" w:cs="Times New Roman"/>
                <w:color w:val="auto"/>
                <w:sz w:val="21"/>
                <w:szCs w:val="21"/>
                <w:u w:val="none"/>
                <w14:ligatures w14:val="standardContextual"/>
              </w:rPr>
              <w:t>其他建设用地</w:t>
            </w:r>
          </w:p>
        </w:tc>
        <w:tc>
          <w:tcPr>
            <w:tcW w:w="1064" w:type="dxa"/>
            <w:noWrap/>
            <w:vAlign w:val="center"/>
          </w:tcPr>
          <w:p w14:paraId="2DE9C0A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51.04</w:t>
            </w:r>
          </w:p>
        </w:tc>
        <w:tc>
          <w:tcPr>
            <w:tcW w:w="886" w:type="dxa"/>
            <w:noWrap/>
            <w:vAlign w:val="center"/>
          </w:tcPr>
          <w:p w14:paraId="0517C4F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0.16</w:t>
            </w:r>
          </w:p>
        </w:tc>
        <w:tc>
          <w:tcPr>
            <w:tcW w:w="3911" w:type="dxa"/>
            <w:gridSpan w:val="2"/>
            <w:noWrap/>
            <w:vAlign w:val="center"/>
          </w:tcPr>
          <w:p w14:paraId="108B47A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合理利用</w:t>
            </w:r>
          </w:p>
        </w:tc>
      </w:tr>
      <w:tr w14:paraId="4F1A9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31" w:type="dxa"/>
            <w:gridSpan w:val="2"/>
            <w:noWrap/>
            <w:vAlign w:val="center"/>
          </w:tcPr>
          <w:p w14:paraId="58DE6AD8">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160" w:leftChars="50" w:right="0" w:firstLine="0" w:firstLineChars="0"/>
              <w:jc w:val="center"/>
              <w:textAlignment w:val="auto"/>
              <w:rPr>
                <w:rFonts w:hint="default" w:ascii="Times New Roman" w:hAnsi="Times New Roman" w:eastAsia="仿宋_GB2312" w:cs="Times New Roman"/>
                <w:color w:val="auto"/>
                <w:sz w:val="21"/>
                <w:szCs w:val="21"/>
                <w:u w:val="none"/>
                <w14:ligatures w14:val="standardContextual"/>
              </w:rPr>
            </w:pPr>
            <w:r>
              <w:rPr>
                <w:rFonts w:hint="default" w:ascii="Times New Roman" w:hAnsi="Times New Roman" w:eastAsia="仿宋_GB2312" w:cs="Times New Roman"/>
                <w:color w:val="auto"/>
                <w:sz w:val="21"/>
                <w:szCs w:val="21"/>
                <w:u w:val="none"/>
                <w14:ligatures w14:val="standardContextual"/>
              </w:rPr>
              <w:t>陆地水域</w:t>
            </w:r>
          </w:p>
        </w:tc>
        <w:tc>
          <w:tcPr>
            <w:tcW w:w="1064" w:type="dxa"/>
            <w:noWrap/>
            <w:vAlign w:val="center"/>
          </w:tcPr>
          <w:p w14:paraId="4731FEF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624.24</w:t>
            </w:r>
          </w:p>
        </w:tc>
        <w:tc>
          <w:tcPr>
            <w:tcW w:w="886" w:type="dxa"/>
            <w:noWrap/>
            <w:vAlign w:val="center"/>
          </w:tcPr>
          <w:p w14:paraId="258706D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1.97</w:t>
            </w:r>
          </w:p>
        </w:tc>
        <w:tc>
          <w:tcPr>
            <w:tcW w:w="3911" w:type="dxa"/>
            <w:gridSpan w:val="2"/>
            <w:noWrap/>
            <w:vAlign w:val="center"/>
          </w:tcPr>
          <w:p w14:paraId="61FBC95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保持稳定</w:t>
            </w:r>
          </w:p>
        </w:tc>
      </w:tr>
      <w:tr w14:paraId="134AB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31" w:type="dxa"/>
            <w:gridSpan w:val="2"/>
            <w:noWrap/>
            <w:vAlign w:val="center"/>
          </w:tcPr>
          <w:p w14:paraId="2B80BE92">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160" w:leftChars="50" w:right="0" w:firstLine="0" w:firstLineChars="0"/>
              <w:jc w:val="center"/>
              <w:textAlignment w:val="auto"/>
              <w:rPr>
                <w:rFonts w:hint="default" w:ascii="Times New Roman" w:hAnsi="Times New Roman" w:eastAsia="仿宋_GB2312" w:cs="Times New Roman"/>
                <w:color w:val="auto"/>
                <w:sz w:val="21"/>
                <w:szCs w:val="21"/>
                <w:u w:val="none"/>
                <w14:ligatures w14:val="standardContextual"/>
              </w:rPr>
            </w:pPr>
            <w:r>
              <w:rPr>
                <w:rFonts w:hint="default" w:ascii="Times New Roman" w:hAnsi="Times New Roman" w:eastAsia="仿宋_GB2312" w:cs="Times New Roman"/>
                <w:color w:val="auto"/>
                <w:sz w:val="21"/>
                <w:szCs w:val="21"/>
                <w:u w:val="none"/>
                <w14:ligatures w14:val="standardContextual"/>
              </w:rPr>
              <w:t>其他土地</w:t>
            </w:r>
          </w:p>
        </w:tc>
        <w:tc>
          <w:tcPr>
            <w:tcW w:w="1064" w:type="dxa"/>
            <w:noWrap/>
            <w:vAlign w:val="center"/>
          </w:tcPr>
          <w:p w14:paraId="3FE1646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1.31</w:t>
            </w:r>
          </w:p>
        </w:tc>
        <w:tc>
          <w:tcPr>
            <w:tcW w:w="886" w:type="dxa"/>
            <w:noWrap/>
            <w:vAlign w:val="center"/>
          </w:tcPr>
          <w:p w14:paraId="7670810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0.01</w:t>
            </w:r>
          </w:p>
        </w:tc>
        <w:tc>
          <w:tcPr>
            <w:tcW w:w="3911" w:type="dxa"/>
            <w:gridSpan w:val="2"/>
            <w:noWrap/>
            <w:vAlign w:val="center"/>
          </w:tcPr>
          <w:p w14:paraId="79DD2AB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略有下降</w:t>
            </w:r>
          </w:p>
        </w:tc>
      </w:tr>
      <w:tr w14:paraId="7B0D4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31" w:type="dxa"/>
            <w:gridSpan w:val="2"/>
            <w:noWrap/>
            <w:vAlign w:val="center"/>
          </w:tcPr>
          <w:p w14:paraId="1B17F08C">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160" w:leftChars="50" w:right="0" w:firstLine="0" w:firstLineChars="0"/>
              <w:jc w:val="center"/>
              <w:textAlignment w:val="auto"/>
              <w:rPr>
                <w:rFonts w:hint="default" w:ascii="Times New Roman" w:hAnsi="Times New Roman" w:eastAsia="仿宋_GB2312" w:cs="Times New Roman"/>
                <w:color w:val="auto"/>
                <w:sz w:val="21"/>
                <w:szCs w:val="21"/>
                <w:u w:val="none"/>
                <w14:ligatures w14:val="standardContextual"/>
              </w:rPr>
            </w:pPr>
            <w:r>
              <w:rPr>
                <w:rFonts w:hint="default" w:ascii="Times New Roman" w:hAnsi="Times New Roman" w:eastAsia="仿宋_GB2312" w:cs="Times New Roman"/>
                <w:color w:val="auto"/>
                <w:sz w:val="21"/>
                <w:szCs w:val="21"/>
                <w:u w:val="none"/>
                <w14:ligatures w14:val="standardContextual"/>
              </w:rPr>
              <w:t>合计</w:t>
            </w:r>
          </w:p>
        </w:tc>
        <w:tc>
          <w:tcPr>
            <w:tcW w:w="1064" w:type="dxa"/>
            <w:noWrap/>
            <w:vAlign w:val="center"/>
          </w:tcPr>
          <w:p w14:paraId="6F59F15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31673.54</w:t>
            </w:r>
          </w:p>
        </w:tc>
        <w:tc>
          <w:tcPr>
            <w:tcW w:w="886" w:type="dxa"/>
            <w:noWrap/>
            <w:vAlign w:val="center"/>
          </w:tcPr>
          <w:p w14:paraId="19E19FC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100.00</w:t>
            </w:r>
          </w:p>
        </w:tc>
        <w:tc>
          <w:tcPr>
            <w:tcW w:w="1950" w:type="dxa"/>
            <w:noWrap/>
            <w:vAlign w:val="center"/>
          </w:tcPr>
          <w:p w14:paraId="4849D0D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eastAsia" w:ascii="Times New Roman" w:hAnsi="Times New Roman" w:eastAsia="仿宋_GB2312" w:cs="Times New Roman"/>
                <w:color w:val="auto"/>
                <w:sz w:val="21"/>
                <w:szCs w:val="21"/>
                <w:u w:val="none"/>
                <w:lang w:val="en-US" w:eastAsia="zh-CN"/>
                <w14:ligatures w14:val="standardContextual"/>
              </w:rPr>
              <w:t>31673.54</w:t>
            </w:r>
          </w:p>
        </w:tc>
        <w:tc>
          <w:tcPr>
            <w:tcW w:w="1961" w:type="dxa"/>
            <w:noWrap/>
            <w:vAlign w:val="center"/>
          </w:tcPr>
          <w:p w14:paraId="6290E14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eastAsia" w:ascii="Times New Roman" w:hAnsi="Times New Roman" w:eastAsia="仿宋_GB2312" w:cs="Times New Roman"/>
                <w:color w:val="auto"/>
                <w:sz w:val="21"/>
                <w:szCs w:val="21"/>
                <w:u w:val="none"/>
                <w:lang w:val="en-US" w:eastAsia="zh-CN"/>
                <w14:ligatures w14:val="standardContextual"/>
              </w:rPr>
              <w:t>100.00</w:t>
            </w:r>
          </w:p>
        </w:tc>
      </w:tr>
    </w:tbl>
    <w:p w14:paraId="41F7DC84">
      <w:pPr>
        <w:keepNext w:val="0"/>
        <w:keepLines w:val="0"/>
        <w:pageBreakBefore w:val="0"/>
        <w:widowControl w:val="0"/>
        <w:kinsoku/>
        <w:overflowPunct/>
        <w:topLinePunct w:val="0"/>
        <w:autoSpaceDE/>
        <w:autoSpaceDN/>
        <w:bidi w:val="0"/>
        <w:spacing w:line="600" w:lineRule="exact"/>
        <w:textAlignment w:val="auto"/>
        <w:rPr>
          <w:rFonts w:hint="eastAsia"/>
          <w:u w:val="none"/>
          <w:lang w:bidi="ar"/>
        </w:rPr>
      </w:pPr>
    </w:p>
    <w:p w14:paraId="32DF69D2">
      <w:pPr>
        <w:pStyle w:val="2"/>
        <w:spacing w:before="360" w:after="360"/>
        <w:rPr>
          <w:rFonts w:hint="eastAsia" w:ascii="方正小标宋简体" w:hAnsi="方正小标宋简体" w:eastAsia="方正小标宋简体" w:cs="方正小标宋简体"/>
          <w:color w:val="auto"/>
          <w:u w:val="none"/>
          <w:lang w:val="en-US" w:eastAsia="zh-CN"/>
        </w:rPr>
      </w:pPr>
      <w:bookmarkStart w:id="53" w:name="_Toc6501"/>
      <w:bookmarkStart w:id="54" w:name="_Toc28933"/>
      <w:r>
        <w:rPr>
          <w:rFonts w:hint="eastAsia" w:ascii="方正小标宋简体" w:hAnsi="方正小标宋简体" w:eastAsia="方正小标宋简体" w:cs="方正小标宋简体"/>
          <w:color w:val="auto"/>
          <w:u w:val="none"/>
          <w:lang w:val="en-US" w:eastAsia="zh-CN"/>
        </w:rPr>
        <w:t>资源保护与利用</w:t>
      </w:r>
      <w:bookmarkEnd w:id="48"/>
      <w:bookmarkEnd w:id="53"/>
      <w:bookmarkEnd w:id="54"/>
    </w:p>
    <w:p w14:paraId="3FEB6227">
      <w:pPr>
        <w:pStyle w:val="3"/>
        <w:bidi w:val="0"/>
        <w:ind w:left="0" w:leftChars="0" w:firstLine="420" w:firstLineChars="0"/>
        <w:rPr>
          <w:rFonts w:hint="eastAsia" w:ascii="黑体" w:hAnsi="黑体" w:eastAsia="黑体" w:cs="黑体"/>
          <w:u w:val="none"/>
          <w:lang w:val="en-US" w:eastAsia="zh-CN"/>
        </w:rPr>
      </w:pPr>
      <w:bookmarkStart w:id="55" w:name="_Toc18859"/>
      <w:bookmarkStart w:id="56" w:name="_Toc32556"/>
      <w:bookmarkStart w:id="57" w:name="_Toc152937196"/>
      <w:r>
        <w:rPr>
          <w:rFonts w:hint="eastAsia" w:ascii="黑体" w:hAnsi="黑体" w:eastAsia="黑体" w:cs="黑体"/>
          <w:u w:val="none"/>
          <w:lang w:val="en-US" w:eastAsia="zh-CN"/>
        </w:rPr>
        <w:t>耕地资源</w:t>
      </w:r>
      <w:bookmarkEnd w:id="55"/>
      <w:bookmarkEnd w:id="56"/>
      <w:bookmarkEnd w:id="57"/>
    </w:p>
    <w:p w14:paraId="442139E0">
      <w:pPr>
        <w:pStyle w:val="4"/>
        <w:bidi w:val="0"/>
        <w:ind w:left="0" w:leftChars="0" w:firstLine="420" w:firstLineChars="0"/>
        <w:rPr>
          <w:rFonts w:hint="eastAsia"/>
          <w:color w:val="auto"/>
          <w:u w:val="none"/>
          <w:lang w:val="en-US" w:eastAsia="zh-CN"/>
        </w:rPr>
      </w:pPr>
      <w:r>
        <w:rPr>
          <w:rFonts w:hint="eastAsia"/>
          <w:color w:val="auto"/>
          <w:u w:val="none"/>
          <w:lang w:val="en-US" w:eastAsia="zh-CN"/>
        </w:rPr>
        <w:t>加强耕地数量、质量、生态“三位一体”保护</w:t>
      </w:r>
    </w:p>
    <w:p w14:paraId="49B619B2">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加强永久基本农田保护和建设。以永久基本农田为基础，优先在粮食生产功能区、重要农产品生产保护区建设高标准农田，逐步把永久基本农田全部建成旱涝保收的高标准农田。经依法批准确需占用的，应先补建后占用。完善永久基本农田保护储备区制度。土地整治和新建高标准农田增加的优质耕地应当优先补划为永久基本农田。在永久基本农田集中分布地区，不得规划新建可能造成污染的建设项目。</w:t>
      </w:r>
    </w:p>
    <w:p w14:paraId="6A049AE7">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全面加强农田生态管护。强化农田生态保护，加大退化、污染、损毁农田改良和修复力度，积极采取工程、生物、农业等措施，大力改善耕地土壤环境质量，提升农业生态水平。在提高单产、稳定总产的前提下，倡导耕地轮耕轮作休耕，促进农田休养生息，促进农业的可持续发展。</w:t>
      </w:r>
    </w:p>
    <w:p w14:paraId="4DB77692">
      <w:pPr>
        <w:pStyle w:val="4"/>
        <w:bidi w:val="0"/>
        <w:ind w:left="0" w:leftChars="0" w:firstLine="420" w:firstLineChars="0"/>
        <w:rPr>
          <w:rFonts w:hint="eastAsia"/>
          <w:color w:val="auto"/>
          <w:u w:val="none"/>
          <w:lang w:val="en-US" w:eastAsia="zh-CN"/>
        </w:rPr>
      </w:pPr>
      <w:r>
        <w:rPr>
          <w:rFonts w:hint="eastAsia"/>
          <w:color w:val="auto"/>
          <w:u w:val="none"/>
          <w:lang w:val="en-US" w:eastAsia="zh-CN"/>
        </w:rPr>
        <w:t>加强耕地后备资源开发和储备</w:t>
      </w:r>
    </w:p>
    <w:p w14:paraId="124C9309">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摸清底数，加强耕地后备资源开发。以现状其他草地、裸土地为评价对象，从生态、气候、土壤、区位等方面，构建耕地后备资源分类评价体系，开展调查评价，摸清耕地后备资源。同时，在保护好生态的前提下，有计划、有步骤地开发耕地后备资源，为耕地占补平衡提供支撑。</w:t>
      </w:r>
    </w:p>
    <w:p w14:paraId="1EB18B80">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多措并举，积极拓宽耕地补充途径。结合规划期内建设占用耕地情况，按照占补平衡要求，多途径补充耕地。积极开展全域国土空间综合整治，推进农用地整理和建设用地复垦，特别是工矿废弃地复垦，实现多渠道补充耕地。</w:t>
      </w:r>
    </w:p>
    <w:p w14:paraId="1C416F11">
      <w:pPr>
        <w:pStyle w:val="4"/>
        <w:bidi w:val="0"/>
        <w:ind w:left="0" w:leftChars="0" w:firstLine="420" w:firstLineChars="0"/>
        <w:rPr>
          <w:rFonts w:hint="eastAsia"/>
          <w:color w:val="auto"/>
          <w:u w:val="none"/>
          <w:lang w:val="en-US" w:eastAsia="zh-CN"/>
        </w:rPr>
      </w:pPr>
      <w:r>
        <w:rPr>
          <w:rFonts w:hint="eastAsia"/>
          <w:color w:val="auto"/>
          <w:u w:val="none"/>
          <w:lang w:val="en-US" w:eastAsia="zh-CN"/>
        </w:rPr>
        <w:t>推进设施农业建设</w:t>
      </w:r>
    </w:p>
    <w:p w14:paraId="154E902F">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落实《全国现代设施农业建设规划（</w:t>
      </w:r>
      <w:r>
        <w:rPr>
          <w:u w:val="none"/>
        </w:rPr>
        <w:t>2023—2030</w:t>
      </w:r>
      <w:r>
        <w:rPr>
          <w:rFonts w:hint="eastAsia"/>
          <w:u w:val="none"/>
        </w:rPr>
        <w:t>年）》相关要求，以建设节能</w:t>
      </w:r>
      <w:r>
        <w:rPr>
          <w:rFonts w:hint="eastAsia" w:eastAsia="仿宋_GB2312"/>
          <w:u w:val="none"/>
          <w:lang w:eastAsia="zh-CN"/>
        </w:rPr>
        <w:t>宜居</w:t>
      </w:r>
      <w:r>
        <w:rPr>
          <w:rFonts w:hint="eastAsia"/>
          <w:u w:val="none"/>
        </w:rPr>
        <w:t>为主的现代设施种植业、高效集约为主的现代设施畜牧业、生态健康养殖为主的现代设施渔业、仓储保鲜和烘干为主的现代物流设施为目标，进一步加大设施农业建设力度和用地保障，全面落实省下达设施农业用地建设要求，强化现代设施农业用地、用电、用水等配套保障。以基础设施现代化促进农业农村现代化，在稳定粮食安全供给的同时，保障肉类、蔬菜、水果、水产品等各类食物供给。</w:t>
      </w:r>
    </w:p>
    <w:p w14:paraId="01FE069D">
      <w:pPr>
        <w:pStyle w:val="4"/>
        <w:bidi w:val="0"/>
        <w:ind w:left="0" w:leftChars="0" w:firstLine="420" w:firstLineChars="0"/>
        <w:rPr>
          <w:rFonts w:hint="eastAsia"/>
          <w:color w:val="auto"/>
          <w:u w:val="none"/>
          <w:lang w:val="en-US" w:eastAsia="zh-CN"/>
        </w:rPr>
      </w:pPr>
      <w:r>
        <w:rPr>
          <w:rFonts w:hint="eastAsia"/>
          <w:color w:val="auto"/>
          <w:u w:val="none"/>
          <w:lang w:val="en-US" w:eastAsia="zh-CN"/>
        </w:rPr>
        <w:t>落实“占补平衡”制度</w:t>
      </w:r>
    </w:p>
    <w:p w14:paraId="3FCABDD4">
      <w:pPr>
        <w:keepNext w:val="0"/>
        <w:keepLines w:val="0"/>
        <w:pageBreakBefore w:val="0"/>
        <w:widowControl w:val="0"/>
        <w:kinsoku/>
        <w:overflowPunct/>
        <w:topLinePunct w:val="0"/>
        <w:autoSpaceDE/>
        <w:autoSpaceDN/>
        <w:bidi w:val="0"/>
        <w:spacing w:line="600" w:lineRule="exact"/>
        <w:ind w:firstLine="640"/>
        <w:textAlignment w:val="auto"/>
        <w:rPr>
          <w:rFonts w:hint="eastAsia"/>
          <w:color w:val="auto"/>
          <w:u w:val="none"/>
        </w:rPr>
      </w:pPr>
      <w:r>
        <w:rPr>
          <w:rFonts w:hint="eastAsia"/>
          <w:color w:val="auto"/>
          <w:u w:val="none"/>
        </w:rPr>
        <w:t>强化耕地总量管控和以补定占管理，稳步提升耕地质量，牢牢守住耕地保护红线。严格执行国土空间规划和土地利用计划管控要求，加强耕地用途转用监督，从严控制各类占用耕地行为。对非农建设占用耕地，要严格审批，严格执行土地使用标准，切实做到不占或少占耕地。规范有序实施耕地转为园地、林地、草地等其他农用地，科学合理安排造林绿化任务，严格控制占用耕地规模。</w:t>
      </w:r>
    </w:p>
    <w:p w14:paraId="4D26DB3B">
      <w:pPr>
        <w:keepNext w:val="0"/>
        <w:keepLines w:val="0"/>
        <w:pageBreakBefore w:val="0"/>
        <w:widowControl w:val="0"/>
        <w:kinsoku/>
        <w:overflowPunct/>
        <w:topLinePunct w:val="0"/>
        <w:autoSpaceDE/>
        <w:autoSpaceDN/>
        <w:bidi w:val="0"/>
        <w:spacing w:line="600" w:lineRule="exact"/>
        <w:textAlignment w:val="auto"/>
        <w:rPr>
          <w:u w:val="none"/>
        </w:rPr>
      </w:pPr>
      <w:r>
        <w:rPr>
          <w:rFonts w:hint="eastAsia"/>
          <w:color w:val="auto"/>
          <w:u w:val="none"/>
        </w:rPr>
        <w:t>除国家安排的生态退耕、自然灾害损毁难以复耕、河湖水面自然扩大造成耕地永久淹没及国家规定的其他可不落实补充耕地的情形外，各类占用耕地行为导致耕地减少的，均应落实耕地占补平衡，补充与所占用耕地数量和质量相当的耕地。在符合国土空间规划和生态环境保护要求的前提下，国土调查成果中各类非耕地地类均可作为补充耕地来源。确保补充耕地质量平均水平不低于各类占用耕地质量平均水平。</w:t>
      </w:r>
    </w:p>
    <w:p w14:paraId="0D91D9FC">
      <w:pPr>
        <w:pStyle w:val="3"/>
        <w:bidi w:val="0"/>
        <w:ind w:left="0" w:leftChars="0" w:firstLine="420" w:firstLineChars="0"/>
        <w:rPr>
          <w:rFonts w:hint="eastAsia" w:ascii="黑体" w:hAnsi="黑体" w:eastAsia="黑体" w:cs="黑体"/>
          <w:u w:val="none"/>
          <w:lang w:val="en-US" w:eastAsia="zh-CN"/>
        </w:rPr>
      </w:pPr>
      <w:bookmarkStart w:id="58" w:name="_Toc11413"/>
      <w:bookmarkStart w:id="59" w:name="_Toc32651"/>
      <w:bookmarkStart w:id="60" w:name="_Toc152937197"/>
      <w:bookmarkStart w:id="61" w:name="_Toc133419331"/>
      <w:r>
        <w:rPr>
          <w:rFonts w:hint="eastAsia" w:ascii="黑体" w:hAnsi="黑体" w:eastAsia="黑体" w:cs="黑体"/>
          <w:u w:val="none"/>
          <w:lang w:val="en-US" w:eastAsia="zh-CN"/>
        </w:rPr>
        <w:t>水资源</w:t>
      </w:r>
      <w:bookmarkEnd w:id="58"/>
      <w:bookmarkEnd w:id="59"/>
      <w:bookmarkEnd w:id="60"/>
    </w:p>
    <w:p w14:paraId="2F6460B4">
      <w:pPr>
        <w:pStyle w:val="4"/>
        <w:bidi w:val="0"/>
        <w:ind w:left="0" w:leftChars="0" w:firstLine="420" w:firstLineChars="0"/>
        <w:rPr>
          <w:rFonts w:hint="eastAsia"/>
          <w:color w:val="auto"/>
          <w:u w:val="none"/>
          <w:lang w:val="en-US" w:eastAsia="zh-CN"/>
        </w:rPr>
      </w:pPr>
      <w:r>
        <w:rPr>
          <w:rFonts w:hint="eastAsia"/>
          <w:color w:val="auto"/>
          <w:u w:val="none"/>
          <w:lang w:val="en-US" w:eastAsia="zh-CN"/>
        </w:rPr>
        <w:t>加强水资源保护</w:t>
      </w:r>
    </w:p>
    <w:p w14:paraId="27B97D58">
      <w:pPr>
        <w:keepNext w:val="0"/>
        <w:keepLines w:val="0"/>
        <w:pageBreakBefore w:val="0"/>
        <w:widowControl w:val="0"/>
        <w:kinsoku/>
        <w:overflowPunct/>
        <w:topLinePunct w:val="0"/>
        <w:autoSpaceDE/>
        <w:autoSpaceDN/>
        <w:bidi w:val="0"/>
        <w:spacing w:line="600" w:lineRule="exact"/>
        <w:textAlignment w:val="auto"/>
        <w:rPr>
          <w:rFonts w:hint="eastAsia"/>
          <w:u w:val="none"/>
        </w:rPr>
      </w:pPr>
      <w:r>
        <w:rPr>
          <w:rFonts w:hint="eastAsia"/>
          <w:color w:val="auto"/>
          <w:highlight w:val="none"/>
          <w:u w:val="none"/>
        </w:rPr>
        <w:t>依法划定河湖岸线保护和管理范围，严格落实河道管理范围内退耕退林有关规定，保护河湖水域空间。严控水资源利用上限，强化水资源保护，提升水环境容量，推进水利基础设施建设，保证城乡供水安全。严控用水总量与水质管控、加强河湖资源保护、提高水资源利用水平等。</w:t>
      </w:r>
    </w:p>
    <w:p w14:paraId="5218D568">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根据国家《生活饮用水卫生标准》（</w:t>
      </w:r>
      <w:r>
        <w:rPr>
          <w:u w:val="none"/>
        </w:rPr>
        <w:t>GB5749-2006）和《地面水环境质量标准》（GB3838-2002）中水源卫生保护规定，划定水源保护区，保护区必须执行国家水源相关保护条例，保证取水点的水质符合饮用水水源水质标准。</w:t>
      </w:r>
    </w:p>
    <w:p w14:paraId="1DBFDFAF">
      <w:pPr>
        <w:keepNext w:val="0"/>
        <w:keepLines w:val="0"/>
        <w:pageBreakBefore w:val="0"/>
        <w:widowControl w:val="0"/>
        <w:kinsoku/>
        <w:overflowPunct/>
        <w:topLinePunct w:val="0"/>
        <w:autoSpaceDE/>
        <w:autoSpaceDN/>
        <w:bidi w:val="0"/>
        <w:spacing w:line="600" w:lineRule="exact"/>
        <w:textAlignment w:val="auto"/>
        <w:rPr>
          <w:u w:val="none"/>
        </w:rPr>
      </w:pPr>
      <w:r>
        <w:rPr>
          <w:u w:val="none"/>
        </w:rPr>
        <w:t>合理开发水资源，避免水资源破坏。实施</w:t>
      </w:r>
      <w:r>
        <w:rPr>
          <w:rFonts w:hint="eastAsia"/>
          <w:u w:val="none"/>
        </w:rPr>
        <w:t>“</w:t>
      </w:r>
      <w:r>
        <w:rPr>
          <w:u w:val="none"/>
        </w:rPr>
        <w:t>生态涵水</w:t>
      </w:r>
      <w:r>
        <w:rPr>
          <w:rFonts w:hint="eastAsia"/>
          <w:u w:val="none"/>
        </w:rPr>
        <w:t>”</w:t>
      </w:r>
      <w:r>
        <w:rPr>
          <w:u w:val="none"/>
        </w:rPr>
        <w:t>战略，涵水于地、涵水于林草，实现</w:t>
      </w:r>
      <w:r>
        <w:rPr>
          <w:rFonts w:hint="eastAsia"/>
          <w:u w:val="none"/>
        </w:rPr>
        <w:t>“</w:t>
      </w:r>
      <w:r>
        <w:rPr>
          <w:u w:val="none"/>
        </w:rPr>
        <w:t>以水带绿，以绿养水，以林护岸</w:t>
      </w:r>
      <w:r>
        <w:rPr>
          <w:rFonts w:hint="eastAsia"/>
          <w:u w:val="none"/>
        </w:rPr>
        <w:t>”</w:t>
      </w:r>
      <w:r>
        <w:rPr>
          <w:u w:val="none"/>
        </w:rPr>
        <w:t>，进一步增强全</w:t>
      </w:r>
      <w:r>
        <w:rPr>
          <w:rFonts w:hint="eastAsia"/>
          <w:u w:val="none"/>
        </w:rPr>
        <w:t>街道</w:t>
      </w:r>
      <w:r>
        <w:rPr>
          <w:u w:val="none"/>
        </w:rPr>
        <w:t>水源涵养能力。实施</w:t>
      </w:r>
      <w:r>
        <w:rPr>
          <w:rFonts w:hint="eastAsia"/>
          <w:u w:val="none"/>
        </w:rPr>
        <w:t>“</w:t>
      </w:r>
      <w:r>
        <w:rPr>
          <w:u w:val="none"/>
        </w:rPr>
        <w:t>管理节水</w:t>
      </w:r>
      <w:r>
        <w:rPr>
          <w:rFonts w:hint="eastAsia"/>
          <w:u w:val="none"/>
        </w:rPr>
        <w:t>”</w:t>
      </w:r>
      <w:r>
        <w:rPr>
          <w:u w:val="none"/>
        </w:rPr>
        <w:t>战略，提升可持续发展能力。坚持</w:t>
      </w:r>
      <w:r>
        <w:rPr>
          <w:rFonts w:hint="eastAsia"/>
          <w:u w:val="none"/>
        </w:rPr>
        <w:t>“</w:t>
      </w:r>
      <w:r>
        <w:rPr>
          <w:u w:val="none"/>
        </w:rPr>
        <w:t>以水定产、以水定城</w:t>
      </w:r>
      <w:r>
        <w:rPr>
          <w:rFonts w:hint="eastAsia"/>
          <w:u w:val="none"/>
        </w:rPr>
        <w:t>”</w:t>
      </w:r>
      <w:r>
        <w:rPr>
          <w:u w:val="none"/>
        </w:rPr>
        <w:t>，全面落实水资源管理制度，落实水资源消耗总量与强度双控制，加快节水型社会建设</w:t>
      </w:r>
      <w:r>
        <w:rPr>
          <w:rFonts w:hint="eastAsia"/>
          <w:u w:val="none"/>
        </w:rPr>
        <w:t>。</w:t>
      </w:r>
    </w:p>
    <w:p w14:paraId="64F4FB70">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优化水资源配置，提高水资源利用率。按照用水需求，科学合理配置水资源。加大水资源的利用率，实现循环利用，节约用水。大力实现废水的资源化，利用处理后的废水开展市政建设、城镇基础设施建设等，充分利用水资源，缓解水资源的矛盾。</w:t>
      </w:r>
    </w:p>
    <w:p w14:paraId="255EE0BD">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大力倡导节水型产业，实施建设项目节水制度。对全街道所有新建、改建、扩建项目必须进行用水节水项目审查。新建工程或民用建筑供水系统要有节水措施和节水系统</w:t>
      </w:r>
      <w:r>
        <w:rPr>
          <w:rFonts w:hint="eastAsia" w:hAnsi="仿宋_GB2312" w:cs="仿宋_GB2312"/>
          <w:u w:val="none"/>
        </w:rPr>
        <w:t>，否则不予审批，不准开工。审查验收新建、改建、扩建项目用水节水评估报告、施工图和建设</w:t>
      </w:r>
      <w:r>
        <w:rPr>
          <w:rFonts w:hint="eastAsia" w:hAnsi="仿宋_GB2312" w:cs="仿宋_GB2312"/>
          <w:u w:val="none"/>
          <w:lang w:eastAsia="zh-CN"/>
        </w:rPr>
        <w:t>工程</w:t>
      </w:r>
      <w:r>
        <w:rPr>
          <w:rFonts w:hint="eastAsia" w:hAnsi="仿宋_GB2312" w:cs="仿宋_GB2312"/>
          <w:u w:val="none"/>
        </w:rPr>
        <w:t>验收。确保建设项目全周期节水。</w:t>
      </w:r>
    </w:p>
    <w:p w14:paraId="43E07F76">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加强水环境生态治理，控源、截污与河段清淤相结合，实施河流水质目标管理，全面治理工业污染源。强化城镇、乡村污水收集处理，有效治理农业面源污染，打造良好河流生态环境</w:t>
      </w:r>
      <w:r>
        <w:rPr>
          <w:u w:val="none"/>
        </w:rPr>
        <w:t>。</w:t>
      </w:r>
    </w:p>
    <w:p w14:paraId="1686B2AD">
      <w:pPr>
        <w:pStyle w:val="4"/>
        <w:bidi w:val="0"/>
        <w:ind w:left="0" w:leftChars="0" w:firstLine="420" w:firstLineChars="0"/>
        <w:rPr>
          <w:rFonts w:hint="eastAsia"/>
          <w:color w:val="auto"/>
          <w:u w:val="none"/>
          <w:lang w:val="en-US" w:eastAsia="zh-CN"/>
        </w:rPr>
      </w:pPr>
      <w:r>
        <w:rPr>
          <w:rFonts w:hint="eastAsia"/>
          <w:color w:val="auto"/>
          <w:u w:val="none"/>
          <w:lang w:val="en-US" w:eastAsia="zh-CN"/>
        </w:rPr>
        <w:t>加强河流水系保护</w:t>
      </w:r>
    </w:p>
    <w:p w14:paraId="48816466">
      <w:pPr>
        <w:keepNext w:val="0"/>
        <w:keepLines w:val="0"/>
        <w:pageBreakBefore w:val="0"/>
        <w:widowControl w:val="0"/>
        <w:kinsoku/>
        <w:overflowPunct/>
        <w:topLinePunct w:val="0"/>
        <w:autoSpaceDE/>
        <w:autoSpaceDN/>
        <w:bidi w:val="0"/>
        <w:spacing w:line="600" w:lineRule="exact"/>
        <w:textAlignment w:val="auto"/>
        <w:rPr>
          <w:u w:val="none"/>
        </w:rPr>
      </w:pPr>
      <w:r>
        <w:rPr>
          <w:u w:val="none"/>
        </w:rPr>
        <w:t>加强河流水系管理范围内自然资源统一管理和生态保护修复。统筹规划、水务、环境、交通、农业等多元复合需求，加强水利基础设施利用空间的整体保护、系统修复和综合治理，实现河湖管理范围内土地用途管制的规范化、生态修复的系统化和空间品质的精细化。</w:t>
      </w:r>
      <w:r>
        <w:rPr>
          <w:rFonts w:hint="eastAsia"/>
          <w:u w:val="none"/>
        </w:rPr>
        <w:t>项目选址中，涉及饮用水水源保护区时，按照《中华人民共和国水污染防治法》《辽宁省水污染防治条例》等相关规定执行。</w:t>
      </w:r>
    </w:p>
    <w:p w14:paraId="26F576D2">
      <w:pPr>
        <w:keepNext/>
        <w:keepLines/>
        <w:numPr>
          <w:ilvl w:val="0"/>
          <w:numId w:val="2"/>
        </w:numPr>
        <w:spacing w:before="200" w:after="120"/>
        <w:ind w:left="440" w:hanging="440"/>
        <w:jc w:val="center"/>
        <w:outlineLvl w:val="1"/>
        <w:rPr>
          <w:rFonts w:ascii="Times New Roman" w:hAnsi="Times New Roman" w:eastAsia="黑体" w:cs="Times New Roman"/>
          <w:color w:val="auto"/>
          <w:kern w:val="2"/>
          <w:sz w:val="32"/>
          <w:szCs w:val="22"/>
          <w:u w:val="none"/>
          <w:lang w:val="en-US" w:eastAsia="zh-CN" w:bidi="ar-SA"/>
        </w:rPr>
      </w:pPr>
      <w:bookmarkStart w:id="62" w:name="_Toc14275"/>
      <w:bookmarkStart w:id="63" w:name="_Toc32750"/>
      <w:bookmarkStart w:id="64" w:name="_Toc152937198"/>
      <w:r>
        <w:rPr>
          <w:rFonts w:hint="eastAsia" w:ascii="Times New Roman" w:hAnsi="Times New Roman" w:eastAsia="黑体" w:cs="Times New Roman"/>
          <w:color w:val="auto"/>
          <w:kern w:val="2"/>
          <w:sz w:val="32"/>
          <w:szCs w:val="22"/>
          <w:u w:val="none"/>
          <w:lang w:val="en-US" w:eastAsia="zh-CN" w:bidi="ar-SA"/>
        </w:rPr>
        <w:t>湿地资源</w:t>
      </w:r>
      <w:bookmarkEnd w:id="62"/>
      <w:bookmarkEnd w:id="63"/>
      <w:bookmarkEnd w:id="64"/>
    </w:p>
    <w:p w14:paraId="31DC20FE">
      <w:pPr>
        <w:pStyle w:val="4"/>
        <w:bidi w:val="0"/>
        <w:ind w:left="0" w:leftChars="0" w:firstLine="420" w:firstLineChars="0"/>
        <w:rPr>
          <w:rFonts w:hint="eastAsia"/>
          <w:color w:val="auto"/>
          <w:u w:val="none"/>
          <w:lang w:val="en-US" w:eastAsia="zh-CN"/>
        </w:rPr>
      </w:pPr>
      <w:bookmarkStart w:id="65" w:name="_Toc133419335"/>
      <w:r>
        <w:rPr>
          <w:rFonts w:hint="eastAsia"/>
          <w:color w:val="auto"/>
          <w:u w:val="none"/>
          <w:lang w:val="en-US" w:eastAsia="zh-CN"/>
        </w:rPr>
        <w:t>加强湿地保护</w:t>
      </w:r>
    </w:p>
    <w:p w14:paraId="64EA8DC8">
      <w:pPr>
        <w:keepNext w:val="0"/>
        <w:keepLines w:val="0"/>
        <w:pageBreakBefore w:val="0"/>
        <w:widowControl w:val="0"/>
        <w:kinsoku/>
        <w:overflowPunct/>
        <w:topLinePunct w:val="0"/>
        <w:autoSpaceDE/>
        <w:autoSpaceDN/>
        <w:bidi w:val="0"/>
        <w:spacing w:line="600" w:lineRule="exact"/>
        <w:textAlignment w:val="auto"/>
        <w:rPr>
          <w:u w:val="none"/>
        </w:rPr>
      </w:pPr>
      <w:bookmarkStart w:id="66" w:name="_Hlk131003627"/>
      <w:r>
        <w:rPr>
          <w:u w:val="none"/>
        </w:rPr>
        <w:t>严格保护现状重要湿地，保障全</w:t>
      </w:r>
      <w:r>
        <w:rPr>
          <w:rFonts w:hint="eastAsia"/>
          <w:u w:val="none"/>
        </w:rPr>
        <w:t>街道</w:t>
      </w:r>
      <w:r>
        <w:rPr>
          <w:u w:val="none"/>
        </w:rPr>
        <w:t>现有湿地总面积不减少，性质不改变。纳入生态保护红线的湿地，严禁转为其他用途。确需占用</w:t>
      </w:r>
      <w:r>
        <w:rPr>
          <w:rFonts w:hint="eastAsia"/>
          <w:u w:val="none"/>
        </w:rPr>
        <w:t>纳入生态红线以外的</w:t>
      </w:r>
      <w:r>
        <w:rPr>
          <w:u w:val="none"/>
        </w:rPr>
        <w:t>湿地并转为其他用途的，用地单位要按照</w:t>
      </w:r>
      <w:r>
        <w:rPr>
          <w:rFonts w:hint="eastAsia"/>
          <w:u w:val="none"/>
        </w:rPr>
        <w:t>“</w:t>
      </w:r>
      <w:r>
        <w:rPr>
          <w:u w:val="none"/>
        </w:rPr>
        <w:t>先补后占、占补平衡</w:t>
      </w:r>
      <w:r>
        <w:rPr>
          <w:rFonts w:hint="eastAsia"/>
          <w:u w:val="none"/>
        </w:rPr>
        <w:t>”</w:t>
      </w:r>
      <w:r>
        <w:rPr>
          <w:u w:val="none"/>
        </w:rPr>
        <w:t>的原则，负责恢复或重建与所占湿地面积和质量相当的湿地，确保湿地面积不减少，通过实施退耕还湿、退养还湿、排水退化湿地恢复和盐碱化土地复湿等增加湿地面积</w:t>
      </w:r>
      <w:bookmarkEnd w:id="66"/>
      <w:r>
        <w:rPr>
          <w:u w:val="none"/>
        </w:rPr>
        <w:t>。</w:t>
      </w:r>
    </w:p>
    <w:p w14:paraId="154E25DF">
      <w:pPr>
        <w:pStyle w:val="4"/>
        <w:bidi w:val="0"/>
        <w:ind w:left="0" w:leftChars="0" w:firstLine="420" w:firstLineChars="0"/>
        <w:rPr>
          <w:rFonts w:hint="eastAsia"/>
          <w:color w:val="auto"/>
          <w:u w:val="none"/>
          <w:lang w:val="en-US" w:eastAsia="zh-CN"/>
        </w:rPr>
      </w:pPr>
      <w:r>
        <w:rPr>
          <w:rFonts w:hint="eastAsia"/>
          <w:color w:val="auto"/>
          <w:u w:val="none"/>
          <w:lang w:val="en-US" w:eastAsia="zh-CN"/>
        </w:rPr>
        <w:t>恢复治理功能退化湿地</w:t>
      </w:r>
    </w:p>
    <w:p w14:paraId="720FAB48">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加强湿地生态修复，及时修复受损、退化湿地。建立湿地生态补水协调机制，保障湿地生态用水。对因水资源缺乏导致功能退化的自然湿地，应当通过工程和技术措施补水，恢复湿地生态功能；因气候变化、自然灾害等造成湿地生态特征退化的，采取退耕、补水和封育等措施，恢复湿地生态功能。</w:t>
      </w:r>
    </w:p>
    <w:bookmarkEnd w:id="65"/>
    <w:p w14:paraId="5E2AF01A">
      <w:pPr>
        <w:pStyle w:val="3"/>
        <w:bidi w:val="0"/>
        <w:ind w:left="0" w:leftChars="0" w:firstLine="420" w:firstLineChars="0"/>
        <w:rPr>
          <w:rFonts w:hint="eastAsia" w:ascii="黑体" w:hAnsi="黑体" w:eastAsia="黑体" w:cs="黑体"/>
          <w:u w:val="none"/>
          <w:lang w:val="en-US" w:eastAsia="zh-CN"/>
        </w:rPr>
      </w:pPr>
      <w:bookmarkStart w:id="67" w:name="_Toc2459"/>
      <w:bookmarkStart w:id="68" w:name="_Toc152937199"/>
      <w:bookmarkStart w:id="69" w:name="_Toc14277"/>
      <w:r>
        <w:rPr>
          <w:rFonts w:hint="eastAsia" w:ascii="黑体" w:hAnsi="黑体" w:eastAsia="黑体" w:cs="黑体"/>
          <w:u w:val="none"/>
          <w:lang w:val="en-US" w:eastAsia="zh-CN"/>
        </w:rPr>
        <w:t>林草资源</w:t>
      </w:r>
      <w:bookmarkEnd w:id="67"/>
      <w:bookmarkEnd w:id="68"/>
      <w:bookmarkEnd w:id="69"/>
    </w:p>
    <w:p w14:paraId="3049F488">
      <w:pPr>
        <w:pStyle w:val="4"/>
        <w:bidi w:val="0"/>
        <w:ind w:left="0" w:leftChars="0" w:firstLine="420" w:firstLineChars="0"/>
        <w:rPr>
          <w:rFonts w:hint="eastAsia"/>
          <w:color w:val="auto"/>
          <w:u w:val="none"/>
          <w:lang w:val="en-US" w:eastAsia="zh-CN"/>
        </w:rPr>
      </w:pPr>
      <w:bookmarkStart w:id="70" w:name="_Toc381632"/>
      <w:r>
        <w:rPr>
          <w:rFonts w:hint="eastAsia"/>
          <w:color w:val="auto"/>
          <w:u w:val="none"/>
          <w:lang w:val="en-US" w:eastAsia="zh-CN"/>
        </w:rPr>
        <w:t>加强森林资源保护</w:t>
      </w:r>
      <w:bookmarkEnd w:id="70"/>
    </w:p>
    <w:p w14:paraId="2036CC24">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大力提升森林质量。林业方面坚持以“植、抚、管”相结合的方式，科学开展林业工作，禁止天然林商业性采伐，</w:t>
      </w:r>
      <w:r>
        <w:rPr>
          <w:u w:val="none"/>
        </w:rPr>
        <w:t>从严控制非基础建设项目占用征收林地。加强对建设项目选址先期的引导，各项建设应尽量不占或少占林地，必须占用或者征收林地的，应当依法办理审核手续</w:t>
      </w:r>
      <w:r>
        <w:rPr>
          <w:rFonts w:hint="eastAsia"/>
          <w:u w:val="none"/>
        </w:rPr>
        <w:t>。开展造林绿化工作，积极组织开展造林绿化空间适宜性评估，全面摸清适宜造林绿化空间和位置，实现矢量化管理。规划至2035年，古城镇</w:t>
      </w:r>
      <w:r>
        <w:rPr>
          <w:u w:val="none"/>
        </w:rPr>
        <w:t>林地保有量以及森林覆盖率</w:t>
      </w:r>
      <w:r>
        <w:rPr>
          <w:rFonts w:hint="eastAsia" w:ascii="Times New Roman" w:eastAsia="仿宋_GB2312"/>
          <w:u w:val="none"/>
          <w:lang w:val="en-US" w:eastAsia="zh-CN"/>
        </w:rPr>
        <w:t>依据上级下达任务确定</w:t>
      </w:r>
      <w:r>
        <w:rPr>
          <w:u w:val="none"/>
        </w:rPr>
        <w:t>。</w:t>
      </w:r>
    </w:p>
    <w:p w14:paraId="71424689">
      <w:pPr>
        <w:pStyle w:val="4"/>
        <w:bidi w:val="0"/>
        <w:ind w:left="0" w:leftChars="0" w:firstLine="420" w:firstLineChars="0"/>
        <w:rPr>
          <w:rFonts w:hint="eastAsia"/>
          <w:color w:val="auto"/>
          <w:u w:val="none"/>
          <w:lang w:val="en-US" w:eastAsia="zh-CN"/>
        </w:rPr>
      </w:pPr>
      <w:r>
        <w:rPr>
          <w:rFonts w:hint="eastAsia"/>
          <w:color w:val="auto"/>
          <w:u w:val="none"/>
          <w:lang w:val="en-US" w:eastAsia="zh-CN"/>
        </w:rPr>
        <w:t>加强草地资源保护</w:t>
      </w:r>
    </w:p>
    <w:p w14:paraId="1698DE39">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古城镇</w:t>
      </w:r>
      <w:r>
        <w:rPr>
          <w:u w:val="none"/>
        </w:rPr>
        <w:t>现状草地</w:t>
      </w:r>
      <w:r>
        <w:rPr>
          <w:rFonts w:hint="eastAsia"/>
          <w:u w:val="none"/>
        </w:rPr>
        <w:t>主要是</w:t>
      </w:r>
      <w:r>
        <w:rPr>
          <w:u w:val="none"/>
        </w:rPr>
        <w:t>其他草地，规划期内大力维护天然草地，合理利用草地资源，及时修复草地生态环境。有序实施草地生态恢复与综合治理，提升草地生态质量，最大程度保护原生植被不受破坏，增加草地物种生物多样性，维护草地生态系统稳定性，稳固草地在防风固沙、水土保持等方面的积极作用。</w:t>
      </w:r>
    </w:p>
    <w:p w14:paraId="0191EC47">
      <w:pPr>
        <w:pStyle w:val="4"/>
        <w:bidi w:val="0"/>
        <w:ind w:left="0" w:leftChars="0" w:firstLine="420" w:firstLineChars="0"/>
        <w:rPr>
          <w:rFonts w:hint="eastAsia"/>
          <w:color w:val="auto"/>
          <w:u w:val="none"/>
          <w:lang w:val="en-US" w:eastAsia="zh-CN"/>
        </w:rPr>
      </w:pPr>
      <w:r>
        <w:rPr>
          <w:rFonts w:hint="eastAsia"/>
          <w:color w:val="auto"/>
          <w:u w:val="none"/>
          <w:lang w:val="en-US" w:eastAsia="zh-CN"/>
        </w:rPr>
        <w:t>预防林草资源退化</w:t>
      </w:r>
    </w:p>
    <w:p w14:paraId="562222C7">
      <w:pPr>
        <w:keepNext w:val="0"/>
        <w:keepLines w:val="0"/>
        <w:pageBreakBefore w:val="0"/>
        <w:widowControl w:val="0"/>
        <w:kinsoku/>
        <w:overflowPunct/>
        <w:topLinePunct w:val="0"/>
        <w:autoSpaceDE/>
        <w:autoSpaceDN/>
        <w:bidi w:val="0"/>
        <w:spacing w:line="600" w:lineRule="exact"/>
        <w:textAlignment w:val="auto"/>
        <w:rPr>
          <w:u w:val="none"/>
        </w:rPr>
      </w:pPr>
      <w:r>
        <w:rPr>
          <w:u w:val="none"/>
        </w:rPr>
        <w:t>对林草资源实行</w:t>
      </w:r>
      <w:r>
        <w:rPr>
          <w:rFonts w:hint="eastAsia"/>
          <w:u w:val="none"/>
        </w:rPr>
        <w:t>“</w:t>
      </w:r>
      <w:r>
        <w:rPr>
          <w:u w:val="none"/>
        </w:rPr>
        <w:t>总量控制、区域稳定、动态管理、增减平衡</w:t>
      </w:r>
      <w:r>
        <w:rPr>
          <w:rFonts w:hint="eastAsia"/>
          <w:u w:val="none"/>
        </w:rPr>
        <w:t>”</w:t>
      </w:r>
      <w:r>
        <w:rPr>
          <w:u w:val="none"/>
        </w:rPr>
        <w:t>的管理机制，在不影响整体森林生态系统功能发挥和破坏森林植被的前提下，提升森林综合效益，构建稳定的森林生态系统。大力实施草地维护，避免草地生态失衡。</w:t>
      </w:r>
    </w:p>
    <w:p w14:paraId="769D14F7">
      <w:pPr>
        <w:pStyle w:val="3"/>
        <w:bidi w:val="0"/>
        <w:ind w:left="0" w:leftChars="0" w:firstLine="420" w:firstLineChars="0"/>
        <w:rPr>
          <w:rFonts w:hint="eastAsia" w:ascii="黑体" w:hAnsi="黑体" w:eastAsia="黑体" w:cs="黑体"/>
          <w:u w:val="none"/>
          <w:lang w:val="en-US" w:eastAsia="zh-CN"/>
        </w:rPr>
      </w:pPr>
      <w:bookmarkStart w:id="71" w:name="_Toc23348"/>
      <w:bookmarkStart w:id="72" w:name="_Toc24093"/>
      <w:r>
        <w:rPr>
          <w:rFonts w:hint="eastAsia" w:ascii="黑体" w:hAnsi="黑体" w:eastAsia="黑体" w:cs="黑体"/>
          <w:u w:val="none"/>
          <w:lang w:val="en-US" w:eastAsia="zh-CN"/>
        </w:rPr>
        <w:t>矿产资源</w:t>
      </w:r>
      <w:bookmarkEnd w:id="71"/>
      <w:bookmarkEnd w:id="72"/>
    </w:p>
    <w:p w14:paraId="033A49E3">
      <w:pPr>
        <w:pStyle w:val="4"/>
        <w:bidi w:val="0"/>
        <w:ind w:left="0" w:leftChars="0" w:firstLine="420" w:firstLineChars="0"/>
        <w:rPr>
          <w:rFonts w:hint="eastAsia"/>
          <w:color w:val="auto"/>
          <w:u w:val="none"/>
          <w:lang w:val="en-US" w:eastAsia="zh-CN"/>
        </w:rPr>
      </w:pPr>
      <w:r>
        <w:rPr>
          <w:rFonts w:hint="eastAsia"/>
          <w:color w:val="auto"/>
          <w:u w:val="none"/>
          <w:lang w:val="en-US" w:eastAsia="zh-CN"/>
        </w:rPr>
        <w:t>合理利用矿产资源</w:t>
      </w:r>
    </w:p>
    <w:p w14:paraId="6E312A35">
      <w:pPr>
        <w:keepNext w:val="0"/>
        <w:keepLines w:val="0"/>
        <w:pageBreakBefore w:val="0"/>
        <w:widowControl w:val="0"/>
        <w:kinsoku/>
        <w:overflowPunct/>
        <w:topLinePunct w:val="0"/>
        <w:autoSpaceDE/>
        <w:autoSpaceDN/>
        <w:bidi w:val="0"/>
        <w:spacing w:line="600" w:lineRule="exact"/>
        <w:textAlignment w:val="auto"/>
        <w:rPr>
          <w:u w:val="none"/>
        </w:rPr>
      </w:pPr>
      <w:r>
        <w:rPr>
          <w:rFonts w:hint="eastAsia" w:hAnsi="仿宋_GB2312" w:cs="仿宋_GB2312"/>
          <w:color w:val="auto"/>
          <w:szCs w:val="32"/>
          <w:highlight w:val="none"/>
          <w:u w:val="none"/>
        </w:rPr>
        <w:t>落实矿产资源分区管控要求，引导矿产资源有序开发。重点开采金、银、铅、锌、铜、钼、镁石、硅石等矿产；禁止开采可耕地的砖瓦用粘土等矿产。科学合理开发已设有效采矿权，加强矿山地质环境恢复治理，大幅度降低采矿活动对生态环境造成的不良影响</w:t>
      </w:r>
      <w:r>
        <w:rPr>
          <w:color w:val="auto"/>
          <w:highlight w:val="none"/>
          <w:u w:val="none"/>
        </w:rPr>
        <w:t>。</w:t>
      </w:r>
      <w:r>
        <w:rPr>
          <w:rFonts w:hint="eastAsia"/>
          <w:color w:val="auto"/>
          <w:highlight w:val="none"/>
          <w:u w:val="none"/>
        </w:rPr>
        <w:t>有序推进绿色矿山建设，加快改造升级，提升绿色矿山达标率。</w:t>
      </w:r>
    </w:p>
    <w:p w14:paraId="6F2D1B8E">
      <w:pPr>
        <w:keepNext w:val="0"/>
        <w:keepLines w:val="0"/>
        <w:pageBreakBefore w:val="0"/>
        <w:widowControl w:val="0"/>
        <w:kinsoku/>
        <w:overflowPunct/>
        <w:topLinePunct w:val="0"/>
        <w:autoSpaceDE/>
        <w:autoSpaceDN/>
        <w:bidi w:val="0"/>
        <w:spacing w:line="600" w:lineRule="exact"/>
        <w:textAlignment w:val="auto"/>
        <w:rPr>
          <w:u w:val="none"/>
        </w:rPr>
      </w:pPr>
      <w:r>
        <w:rPr>
          <w:u w:val="none"/>
        </w:rPr>
        <w:t>严格总量控制和开采准入，各类矿产资源的开发利用总量控制要求符合相关规划，强化对矿产资源开发管理，协调资源开发与环境保护，严禁超能力生产。根据现有矿产资源储量和生产能力，统筹开发规模和时序，保障矿产资源可持续供给。</w:t>
      </w:r>
    </w:p>
    <w:p w14:paraId="30870183">
      <w:pPr>
        <w:keepNext w:val="0"/>
        <w:keepLines w:val="0"/>
        <w:pageBreakBefore w:val="0"/>
        <w:widowControl w:val="0"/>
        <w:kinsoku/>
        <w:overflowPunct/>
        <w:topLinePunct w:val="0"/>
        <w:autoSpaceDE/>
        <w:autoSpaceDN/>
        <w:bidi w:val="0"/>
        <w:spacing w:line="600" w:lineRule="exact"/>
        <w:textAlignment w:val="auto"/>
        <w:rPr>
          <w:u w:val="none"/>
        </w:rPr>
      </w:pPr>
      <w:r>
        <w:rPr>
          <w:u w:val="none"/>
        </w:rPr>
        <w:t>各类矿产资源勘察开采区应符合国土空间规划中生态保护红线、永久基本农田、城镇开发边界三条主要控制线以及相关法律法规和规划规定的各类禁止、限制勘查开采区域的管控要求。</w:t>
      </w:r>
    </w:p>
    <w:p w14:paraId="4651B9DC">
      <w:pPr>
        <w:pStyle w:val="4"/>
        <w:bidi w:val="0"/>
        <w:ind w:left="0" w:leftChars="0" w:firstLine="420" w:firstLineChars="0"/>
        <w:rPr>
          <w:rFonts w:hint="eastAsia"/>
          <w:color w:val="auto"/>
          <w:u w:val="none"/>
          <w:lang w:val="en-US" w:eastAsia="zh-CN"/>
        </w:rPr>
      </w:pPr>
      <w:r>
        <w:rPr>
          <w:rFonts w:hint="eastAsia"/>
          <w:color w:val="auto"/>
          <w:u w:val="none"/>
          <w:lang w:val="en-US" w:eastAsia="zh-CN"/>
        </w:rPr>
        <w:t>强化矿产资源开发利用</w:t>
      </w:r>
    </w:p>
    <w:p w14:paraId="4853FA66">
      <w:pPr>
        <w:keepNext w:val="0"/>
        <w:keepLines w:val="0"/>
        <w:pageBreakBefore w:val="0"/>
        <w:widowControl w:val="0"/>
        <w:kinsoku/>
        <w:overflowPunct/>
        <w:topLinePunct w:val="0"/>
        <w:autoSpaceDE/>
        <w:autoSpaceDN/>
        <w:bidi w:val="0"/>
        <w:spacing w:line="600" w:lineRule="exact"/>
        <w:textAlignment w:val="auto"/>
        <w:rPr>
          <w:u w:val="none"/>
        </w:rPr>
      </w:pPr>
      <w:r>
        <w:rPr>
          <w:u w:val="none"/>
        </w:rPr>
        <w:t>各类勘察开采区应符合国土空间规划中生态保护红线、永久基本农田、城镇开发边界三条主要控制线以及相关法律法规和规划规定的各类禁止、限制勘查开采区域的管控要求。</w:t>
      </w:r>
    </w:p>
    <w:p w14:paraId="58B9EDD9">
      <w:pPr>
        <w:pStyle w:val="4"/>
        <w:bidi w:val="0"/>
        <w:ind w:left="0" w:leftChars="0" w:firstLine="420" w:firstLineChars="0"/>
        <w:rPr>
          <w:rFonts w:hint="eastAsia"/>
          <w:color w:val="auto"/>
          <w:u w:val="none"/>
          <w:lang w:val="en-US" w:eastAsia="zh-CN"/>
        </w:rPr>
      </w:pPr>
      <w:r>
        <w:rPr>
          <w:rFonts w:hint="eastAsia"/>
          <w:color w:val="auto"/>
          <w:u w:val="none"/>
          <w:lang w:val="en-US" w:eastAsia="zh-CN"/>
        </w:rPr>
        <w:t>积极发展绿色矿山</w:t>
      </w:r>
    </w:p>
    <w:p w14:paraId="6FE69304">
      <w:pPr>
        <w:keepNext w:val="0"/>
        <w:keepLines w:val="0"/>
        <w:pageBreakBefore w:val="0"/>
        <w:widowControl w:val="0"/>
        <w:kinsoku/>
        <w:overflowPunct/>
        <w:topLinePunct w:val="0"/>
        <w:autoSpaceDE/>
        <w:autoSpaceDN/>
        <w:bidi w:val="0"/>
        <w:spacing w:line="600" w:lineRule="exact"/>
        <w:textAlignment w:val="auto"/>
        <w:rPr>
          <w:u w:val="none"/>
        </w:rPr>
      </w:pPr>
      <w:r>
        <w:rPr>
          <w:u w:val="none"/>
        </w:rPr>
        <w:t>优化矿产资源开发利用结构，完善政府宏观调控与市场高效运作相结合的矿业权市场。进一步加大矿山地质环境保护与治理力度，发展绿色矿山，建设绿色矿山，切实推进绿色矿山建设进程。新建矿山按照绿色矿山标准要求进行规划、设计、建设和运营管理；改扩建矿山按照绿色矿山标准进行改扩建；生产矿山逐步达到绿色矿山标准。规划期末，各类矿山全部达到绿色矿山标准。</w:t>
      </w:r>
    </w:p>
    <w:p w14:paraId="7BA303F3">
      <w:pPr>
        <w:pStyle w:val="3"/>
        <w:bidi w:val="0"/>
        <w:ind w:left="0" w:leftChars="0" w:firstLine="420" w:firstLineChars="0"/>
        <w:rPr>
          <w:rFonts w:hint="eastAsia" w:ascii="黑体" w:hAnsi="黑体" w:eastAsia="黑体" w:cs="黑体"/>
          <w:u w:val="none"/>
          <w:lang w:val="en-US" w:eastAsia="zh-CN"/>
        </w:rPr>
      </w:pPr>
      <w:bookmarkStart w:id="73" w:name="_Toc133419359"/>
      <w:bookmarkStart w:id="74" w:name="_Toc21992"/>
      <w:bookmarkStart w:id="75" w:name="_Toc152937201"/>
      <w:bookmarkStart w:id="76" w:name="_Toc28211"/>
      <w:r>
        <w:rPr>
          <w:rFonts w:hint="eastAsia" w:ascii="黑体" w:hAnsi="黑体" w:eastAsia="黑体" w:cs="黑体"/>
          <w:u w:val="none"/>
          <w:lang w:val="en-US" w:eastAsia="zh-CN"/>
        </w:rPr>
        <w:t>历史文化</w:t>
      </w:r>
      <w:bookmarkEnd w:id="73"/>
      <w:r>
        <w:rPr>
          <w:rFonts w:hint="eastAsia" w:ascii="黑体" w:hAnsi="黑体" w:eastAsia="黑体" w:cs="黑体"/>
          <w:u w:val="none"/>
          <w:lang w:val="en-US" w:eastAsia="zh-CN"/>
        </w:rPr>
        <w:t>资源</w:t>
      </w:r>
      <w:bookmarkEnd w:id="74"/>
      <w:bookmarkEnd w:id="75"/>
      <w:bookmarkEnd w:id="76"/>
    </w:p>
    <w:p w14:paraId="37DB7917">
      <w:pPr>
        <w:pStyle w:val="4"/>
        <w:bidi w:val="0"/>
        <w:ind w:left="0" w:leftChars="0" w:firstLine="420" w:firstLineChars="0"/>
        <w:rPr>
          <w:rFonts w:hint="eastAsia"/>
          <w:color w:val="auto"/>
          <w:u w:val="none"/>
          <w:lang w:val="en-US" w:eastAsia="zh-CN"/>
        </w:rPr>
      </w:pPr>
      <w:r>
        <w:rPr>
          <w:rFonts w:hint="eastAsia"/>
          <w:color w:val="auto"/>
          <w:u w:val="none"/>
          <w:lang w:val="en-US" w:eastAsia="zh-CN"/>
        </w:rPr>
        <w:t>构建历史文化遗产保护体系</w:t>
      </w:r>
    </w:p>
    <w:p w14:paraId="79C12BE9">
      <w:pPr>
        <w:keepNext w:val="0"/>
        <w:keepLines w:val="0"/>
        <w:pageBreakBefore w:val="0"/>
        <w:widowControl w:val="0"/>
        <w:kinsoku/>
        <w:overflowPunct/>
        <w:topLinePunct w:val="0"/>
        <w:autoSpaceDE/>
        <w:autoSpaceDN/>
        <w:bidi w:val="0"/>
        <w:spacing w:line="600" w:lineRule="exact"/>
        <w:textAlignment w:val="auto"/>
        <w:rPr>
          <w:rFonts w:hint="eastAsia"/>
          <w:u w:val="none"/>
        </w:rPr>
      </w:pPr>
      <w:r>
        <w:rPr>
          <w:rFonts w:hint="eastAsia"/>
          <w:u w:val="none"/>
        </w:rPr>
        <w:t>以历史文化价值为导向，按照真实性、完整性的保护要求，兼顾古代与近现代、城镇与乡村、物质与非物质等历史文化遗产，根据保护对象的级别和类型，构建历史文化遗产保护体系，将小荒沟遗址</w:t>
      </w:r>
      <w:r>
        <w:rPr>
          <w:rFonts w:hint="eastAsia" w:ascii="Times New Roman" w:eastAsia="仿宋_GB2312"/>
          <w:u w:val="none"/>
          <w:lang w:val="en-US" w:eastAsia="zh-CN"/>
        </w:rPr>
        <w:t>1处</w:t>
      </w:r>
      <w:r>
        <w:rPr>
          <w:rFonts w:hint="eastAsia"/>
          <w:u w:val="none"/>
        </w:rPr>
        <w:t>省级文物保护单位、业主沟抗联伏击战遗址、东聚涌烧锅旧址、古城子洼泥甸子姜家大院抗联供给站遗址等3处市级文物保护单位以及大荒沟墓群、二道沟柳条边遗址等2处县级文物保护单位纳入历史文化遗产保护名录，明确保护对象、保护范围和建设控制地带。</w:t>
      </w:r>
    </w:p>
    <w:p w14:paraId="1FE1C286">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right"/>
        <w:textAlignment w:val="auto"/>
        <w:rPr>
          <w:rFonts w:hint="eastAsia" w:ascii="仿宋_GB2312" w:hAnsi="宋体" w:eastAsia="仿宋_GB2312" w:cs="宋体"/>
          <w:color w:val="auto"/>
          <w:spacing w:val="-1"/>
          <w:sz w:val="21"/>
          <w:szCs w:val="21"/>
          <w:u w:val="none"/>
          <w:lang w:eastAsia="zh-CN" w:bidi="ar"/>
        </w:rPr>
      </w:pPr>
      <w:bookmarkStart w:id="77" w:name="_Toc19217"/>
      <w:bookmarkStart w:id="78" w:name="_Toc27320"/>
    </w:p>
    <w:bookmarkEnd w:id="77"/>
    <w:bookmarkEnd w:id="78"/>
    <w:p w14:paraId="407310FE">
      <w:pPr>
        <w:keepNext w:val="0"/>
        <w:keepLines w:val="0"/>
        <w:pageBreakBefore w:val="0"/>
        <w:widowControl w:val="0"/>
        <w:kinsoku/>
        <w:wordWrap/>
        <w:overflowPunct/>
        <w:topLinePunct w:val="0"/>
        <w:autoSpaceDE/>
        <w:autoSpaceDN/>
        <w:bidi w:val="0"/>
        <w:adjustRightInd w:val="0"/>
        <w:snapToGrid w:val="0"/>
        <w:spacing w:after="219" w:afterLines="50" w:line="600" w:lineRule="exact"/>
        <w:ind w:firstLine="0" w:firstLineChars="0"/>
        <w:jc w:val="center"/>
        <w:textAlignment w:val="auto"/>
        <w:outlineLvl w:val="9"/>
        <w:rPr>
          <w:rFonts w:hint="eastAsia" w:ascii="黑体" w:hAnsi="黑体" w:eastAsia="黑体" w:cs="黑体"/>
          <w:b w:val="0"/>
          <w:bCs w:val="0"/>
          <w:color w:val="000000"/>
          <w:u w:val="none"/>
        </w:rPr>
      </w:pPr>
      <w:bookmarkStart w:id="79" w:name="_Toc9175"/>
      <w:bookmarkStart w:id="80" w:name="_Toc18818"/>
      <w:bookmarkStart w:id="81" w:name="_Toc7725"/>
      <w:bookmarkStart w:id="82" w:name="_Toc7241"/>
      <w:r>
        <w:rPr>
          <w:rFonts w:hint="eastAsia" w:ascii="黑体" w:hAnsi="黑体" w:eastAsia="黑体" w:cs="黑体"/>
          <w:b w:val="0"/>
          <w:bCs w:val="0"/>
          <w:color w:val="000000"/>
          <w:u w:val="none"/>
        </w:rPr>
        <w:t>历史文化资源一览表</w:t>
      </w:r>
      <w:bookmarkEnd w:id="79"/>
      <w:bookmarkEnd w:id="80"/>
      <w:bookmarkEnd w:id="81"/>
      <w:bookmarkEnd w:id="82"/>
    </w:p>
    <w:tbl>
      <w:tblPr>
        <w:tblStyle w:val="22"/>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3"/>
        <w:gridCol w:w="4085"/>
        <w:gridCol w:w="1246"/>
        <w:gridCol w:w="877"/>
        <w:gridCol w:w="1593"/>
      </w:tblGrid>
      <w:tr w14:paraId="5FEC9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3" w:type="dxa"/>
            <w:vAlign w:val="center"/>
          </w:tcPr>
          <w:p w14:paraId="033D73B1">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u w:val="none"/>
                <w14:ligatures w14:val="standardContextual"/>
              </w:rPr>
            </w:pPr>
            <w:r>
              <w:rPr>
                <w:rFonts w:hint="default" w:ascii="Times New Roman" w:hAnsi="Times New Roman" w:cs="Times New Roman"/>
                <w:color w:val="auto"/>
                <w:sz w:val="21"/>
                <w:szCs w:val="21"/>
                <w:u w:val="none"/>
                <w14:ligatures w14:val="standardContextual"/>
              </w:rPr>
              <w:t>序号</w:t>
            </w:r>
          </w:p>
        </w:tc>
        <w:tc>
          <w:tcPr>
            <w:tcW w:w="4085" w:type="dxa"/>
            <w:vAlign w:val="center"/>
          </w:tcPr>
          <w:p w14:paraId="46CC592A">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u w:val="none"/>
                <w14:ligatures w14:val="standardContextual"/>
              </w:rPr>
            </w:pPr>
            <w:r>
              <w:rPr>
                <w:rFonts w:hint="default" w:ascii="Times New Roman" w:hAnsi="Times New Roman" w:cs="Times New Roman"/>
                <w:color w:val="auto"/>
                <w:sz w:val="21"/>
                <w:szCs w:val="21"/>
                <w:u w:val="none"/>
                <w14:ligatures w14:val="standardContextual"/>
              </w:rPr>
              <w:t>名称</w:t>
            </w:r>
          </w:p>
        </w:tc>
        <w:tc>
          <w:tcPr>
            <w:tcW w:w="1246" w:type="dxa"/>
            <w:vAlign w:val="center"/>
          </w:tcPr>
          <w:p w14:paraId="11679852">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u w:val="none"/>
                <w14:ligatures w14:val="standardContextual"/>
              </w:rPr>
            </w:pPr>
            <w:r>
              <w:rPr>
                <w:rFonts w:hint="default" w:ascii="Times New Roman" w:hAnsi="Times New Roman" w:cs="Times New Roman"/>
                <w:color w:val="auto"/>
                <w:sz w:val="21"/>
                <w:szCs w:val="21"/>
                <w:u w:val="none"/>
                <w14:ligatures w14:val="standardContextual"/>
              </w:rPr>
              <w:t>行政村</w:t>
            </w:r>
          </w:p>
        </w:tc>
        <w:tc>
          <w:tcPr>
            <w:tcW w:w="877" w:type="dxa"/>
            <w:vAlign w:val="center"/>
          </w:tcPr>
          <w:p w14:paraId="7901E483">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u w:val="none"/>
                <w14:ligatures w14:val="standardContextual"/>
              </w:rPr>
            </w:pPr>
            <w:r>
              <w:rPr>
                <w:rFonts w:hint="default" w:ascii="Times New Roman" w:hAnsi="Times New Roman" w:cs="Times New Roman"/>
                <w:color w:val="auto"/>
                <w:sz w:val="21"/>
                <w:szCs w:val="21"/>
                <w:u w:val="none"/>
                <w14:ligatures w14:val="standardContextual"/>
              </w:rPr>
              <w:t>级别</w:t>
            </w:r>
          </w:p>
        </w:tc>
        <w:tc>
          <w:tcPr>
            <w:tcW w:w="1593" w:type="dxa"/>
            <w:vAlign w:val="center"/>
          </w:tcPr>
          <w:p w14:paraId="5184452C">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u w:val="none"/>
                <w14:ligatures w14:val="standardContextual"/>
              </w:rPr>
            </w:pPr>
            <w:r>
              <w:rPr>
                <w:rFonts w:hint="default" w:ascii="Times New Roman" w:hAnsi="Times New Roman" w:cs="Times New Roman"/>
                <w:color w:val="auto"/>
                <w:sz w:val="21"/>
                <w:szCs w:val="21"/>
                <w:u w:val="none"/>
                <w14:ligatures w14:val="standardContextual"/>
              </w:rPr>
              <w:t>类别</w:t>
            </w:r>
          </w:p>
        </w:tc>
      </w:tr>
      <w:tr w14:paraId="7FC4C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3" w:type="dxa"/>
            <w:vAlign w:val="center"/>
          </w:tcPr>
          <w:p w14:paraId="305BB6C2">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u w:val="none"/>
                <w14:ligatures w14:val="standardContextual"/>
              </w:rPr>
            </w:pPr>
            <w:r>
              <w:rPr>
                <w:rFonts w:hint="default" w:ascii="Times New Roman" w:hAnsi="Times New Roman" w:cs="Times New Roman"/>
                <w:color w:val="auto"/>
                <w:sz w:val="21"/>
                <w:szCs w:val="21"/>
                <w:u w:val="none"/>
                <w14:ligatures w14:val="standardContextual"/>
              </w:rPr>
              <w:t>1</w:t>
            </w:r>
          </w:p>
        </w:tc>
        <w:tc>
          <w:tcPr>
            <w:tcW w:w="4085" w:type="dxa"/>
            <w:vAlign w:val="bottom"/>
          </w:tcPr>
          <w:p w14:paraId="03FEB9C5">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000000"/>
                <w:sz w:val="21"/>
                <w:szCs w:val="16"/>
                <w:u w:val="none"/>
                <w14:ligatures w14:val="standardContextual"/>
              </w:rPr>
            </w:pPr>
            <w:r>
              <w:rPr>
                <w:rFonts w:hint="eastAsia" w:ascii="Times New Roman" w:hAnsi="Times New Roman" w:eastAsia="仿宋_GB2312" w:cs="Times New Roman"/>
                <w:color w:val="000000"/>
                <w:sz w:val="21"/>
                <w:szCs w:val="16"/>
                <w:u w:val="none"/>
                <w:lang w:val="en-US" w:eastAsia="zh-CN"/>
                <w14:ligatures w14:val="standardContextual"/>
              </w:rPr>
              <w:t>小荒沟遗址</w:t>
            </w:r>
          </w:p>
        </w:tc>
        <w:tc>
          <w:tcPr>
            <w:tcW w:w="1246" w:type="dxa"/>
            <w:vAlign w:val="bottom"/>
          </w:tcPr>
          <w:p w14:paraId="6BB29727">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000000"/>
                <w:sz w:val="21"/>
                <w:szCs w:val="16"/>
                <w:u w:val="none"/>
                <w14:ligatures w14:val="standardContextual"/>
              </w:rPr>
            </w:pPr>
            <w:r>
              <w:rPr>
                <w:rFonts w:hint="eastAsia" w:ascii="Times New Roman" w:hAnsi="Times New Roman" w:eastAsia="仿宋_GB2312" w:cs="Times New Roman"/>
                <w:color w:val="000000"/>
                <w:sz w:val="21"/>
                <w:szCs w:val="16"/>
                <w:u w:val="none"/>
                <w:lang w:val="en-US" w:eastAsia="zh-CN"/>
                <w14:ligatures w14:val="standardContextual"/>
              </w:rPr>
              <w:t>拐磨子村</w:t>
            </w:r>
          </w:p>
        </w:tc>
        <w:tc>
          <w:tcPr>
            <w:tcW w:w="877" w:type="dxa"/>
            <w:vAlign w:val="bottom"/>
          </w:tcPr>
          <w:p w14:paraId="3C7AFC31">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000000"/>
                <w:sz w:val="21"/>
                <w:szCs w:val="16"/>
                <w:u w:val="none"/>
                <w14:ligatures w14:val="standardContextual"/>
              </w:rPr>
            </w:pPr>
            <w:r>
              <w:rPr>
                <w:rFonts w:hint="eastAsia" w:ascii="Times New Roman" w:hAnsi="Times New Roman" w:eastAsia="仿宋_GB2312" w:cs="Times New Roman"/>
                <w:color w:val="000000"/>
                <w:sz w:val="21"/>
                <w:szCs w:val="16"/>
                <w:u w:val="none"/>
                <w:lang w:val="en-US" w:eastAsia="zh-CN"/>
                <w14:ligatures w14:val="standardContextual"/>
              </w:rPr>
              <w:t>省级</w:t>
            </w:r>
          </w:p>
        </w:tc>
        <w:tc>
          <w:tcPr>
            <w:tcW w:w="1593" w:type="dxa"/>
            <w:vAlign w:val="center"/>
          </w:tcPr>
          <w:p w14:paraId="4DC5214B">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u w:val="none"/>
                <w14:ligatures w14:val="standardContextual"/>
              </w:rPr>
            </w:pPr>
            <w:r>
              <w:rPr>
                <w:rFonts w:hint="eastAsia" w:ascii="Times New Roman" w:hAnsi="Times New Roman" w:eastAsia="仿宋_GB2312" w:cs="Times New Roman"/>
                <w:color w:val="000000"/>
                <w:sz w:val="21"/>
                <w:szCs w:val="16"/>
                <w:u w:val="none"/>
                <w:lang w:val="en-US" w:eastAsia="zh-CN"/>
                <w14:ligatures w14:val="standardContextual"/>
              </w:rPr>
              <w:t>文物保护单位</w:t>
            </w:r>
          </w:p>
        </w:tc>
      </w:tr>
      <w:tr w14:paraId="58811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3" w:type="dxa"/>
            <w:vAlign w:val="center"/>
          </w:tcPr>
          <w:p w14:paraId="3D7832EB">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cs="Times New Roman"/>
                <w:color w:val="auto"/>
                <w:sz w:val="21"/>
                <w:szCs w:val="21"/>
                <w:u w:val="none"/>
                <w:lang w:val="en-US" w:eastAsia="zh-CN"/>
                <w14:ligatures w14:val="standardContextual"/>
              </w:rPr>
              <w:t>2</w:t>
            </w:r>
          </w:p>
        </w:tc>
        <w:tc>
          <w:tcPr>
            <w:tcW w:w="4085" w:type="dxa"/>
            <w:vAlign w:val="bottom"/>
          </w:tcPr>
          <w:p w14:paraId="1D7C9D6D">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000000"/>
                <w:sz w:val="21"/>
                <w:szCs w:val="16"/>
                <w:u w:val="none"/>
                <w14:ligatures w14:val="standardContextual"/>
              </w:rPr>
            </w:pPr>
            <w:r>
              <w:rPr>
                <w:rFonts w:hint="eastAsia" w:ascii="Times New Roman" w:hAnsi="Times New Roman" w:eastAsia="仿宋_GB2312" w:cs="Times New Roman"/>
                <w:color w:val="000000"/>
                <w:sz w:val="21"/>
                <w:szCs w:val="16"/>
                <w:u w:val="none"/>
                <w:lang w:val="en-US" w:eastAsia="zh-CN"/>
                <w14:ligatures w14:val="standardContextual"/>
              </w:rPr>
              <w:t>业主沟抗联伏击战遗址</w:t>
            </w:r>
          </w:p>
        </w:tc>
        <w:tc>
          <w:tcPr>
            <w:tcW w:w="1246" w:type="dxa"/>
            <w:vAlign w:val="bottom"/>
          </w:tcPr>
          <w:p w14:paraId="00A05C2B">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000000"/>
                <w:sz w:val="21"/>
                <w:szCs w:val="16"/>
                <w:u w:val="none"/>
                <w14:ligatures w14:val="standardContextual"/>
              </w:rPr>
            </w:pPr>
            <w:r>
              <w:rPr>
                <w:rFonts w:hint="eastAsia" w:ascii="Times New Roman" w:hAnsi="Times New Roman" w:eastAsia="仿宋_GB2312" w:cs="Times New Roman"/>
                <w:color w:val="000000"/>
                <w:sz w:val="21"/>
                <w:szCs w:val="16"/>
                <w:u w:val="none"/>
                <w:lang w:val="en-US" w:eastAsia="zh-CN"/>
                <w14:ligatures w14:val="standardContextual"/>
              </w:rPr>
              <w:t>业主沟村</w:t>
            </w:r>
          </w:p>
        </w:tc>
        <w:tc>
          <w:tcPr>
            <w:tcW w:w="877" w:type="dxa"/>
            <w:vAlign w:val="bottom"/>
          </w:tcPr>
          <w:p w14:paraId="106CAC38">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000000"/>
                <w:sz w:val="21"/>
                <w:szCs w:val="16"/>
                <w:u w:val="none"/>
                <w14:ligatures w14:val="standardContextual"/>
              </w:rPr>
            </w:pPr>
            <w:r>
              <w:rPr>
                <w:rFonts w:hint="eastAsia" w:ascii="Times New Roman" w:hAnsi="Times New Roman" w:eastAsia="仿宋_GB2312" w:cs="Times New Roman"/>
                <w:color w:val="000000"/>
                <w:sz w:val="21"/>
                <w:szCs w:val="16"/>
                <w:u w:val="none"/>
                <w:lang w:val="en-US" w:eastAsia="zh-CN"/>
                <w14:ligatures w14:val="standardContextual"/>
              </w:rPr>
              <w:t>市级</w:t>
            </w:r>
          </w:p>
        </w:tc>
        <w:tc>
          <w:tcPr>
            <w:tcW w:w="1593" w:type="dxa"/>
            <w:vAlign w:val="center"/>
          </w:tcPr>
          <w:p w14:paraId="113DC16F">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u w:val="none"/>
                <w14:ligatures w14:val="standardContextual"/>
              </w:rPr>
            </w:pPr>
            <w:r>
              <w:rPr>
                <w:rFonts w:hint="default" w:ascii="Times New Roman" w:hAnsi="Times New Roman" w:cs="Times New Roman"/>
                <w:color w:val="auto"/>
                <w:sz w:val="21"/>
                <w:szCs w:val="21"/>
                <w:u w:val="none"/>
                <w14:ligatures w14:val="standardContextual"/>
              </w:rPr>
              <w:t>文物保护单位</w:t>
            </w:r>
          </w:p>
        </w:tc>
      </w:tr>
      <w:tr w14:paraId="00754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3" w:type="dxa"/>
            <w:vAlign w:val="center"/>
          </w:tcPr>
          <w:p w14:paraId="1D6D9DA4">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cs="Times New Roman"/>
                <w:color w:val="auto"/>
                <w:sz w:val="21"/>
                <w:szCs w:val="21"/>
                <w:u w:val="none"/>
                <w:lang w:val="en-US" w:eastAsia="zh-CN"/>
                <w14:ligatures w14:val="standardContextual"/>
              </w:rPr>
              <w:t>3</w:t>
            </w:r>
          </w:p>
        </w:tc>
        <w:tc>
          <w:tcPr>
            <w:tcW w:w="4085" w:type="dxa"/>
            <w:vAlign w:val="bottom"/>
          </w:tcPr>
          <w:p w14:paraId="09E9082B">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000000"/>
                <w:sz w:val="21"/>
                <w:szCs w:val="16"/>
                <w:u w:val="none"/>
                <w14:ligatures w14:val="standardContextual"/>
              </w:rPr>
            </w:pPr>
            <w:r>
              <w:rPr>
                <w:rFonts w:hint="eastAsia" w:ascii="Times New Roman" w:hAnsi="Times New Roman" w:eastAsia="仿宋_GB2312" w:cs="Times New Roman"/>
                <w:color w:val="000000"/>
                <w:sz w:val="21"/>
                <w:szCs w:val="16"/>
                <w:u w:val="none"/>
                <w:lang w:val="en-US" w:eastAsia="zh-CN"/>
                <w14:ligatures w14:val="standardContextual"/>
              </w:rPr>
              <w:t>东聚涌烧锅旧址</w:t>
            </w:r>
          </w:p>
        </w:tc>
        <w:tc>
          <w:tcPr>
            <w:tcW w:w="1246" w:type="dxa"/>
            <w:vAlign w:val="bottom"/>
          </w:tcPr>
          <w:p w14:paraId="0418E982">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000000"/>
                <w:sz w:val="21"/>
                <w:szCs w:val="16"/>
                <w:u w:val="none"/>
                <w14:ligatures w14:val="standardContextual"/>
              </w:rPr>
            </w:pPr>
            <w:r>
              <w:rPr>
                <w:rFonts w:hint="eastAsia" w:ascii="Times New Roman" w:hAnsi="Times New Roman" w:eastAsia="仿宋_GB2312" w:cs="Times New Roman"/>
                <w:color w:val="000000"/>
                <w:sz w:val="21"/>
                <w:szCs w:val="16"/>
                <w:u w:val="none"/>
                <w:lang w:val="en-US" w:eastAsia="zh-CN"/>
                <w14:ligatures w14:val="standardContextual"/>
              </w:rPr>
              <w:t>古城子村</w:t>
            </w:r>
          </w:p>
        </w:tc>
        <w:tc>
          <w:tcPr>
            <w:tcW w:w="877" w:type="dxa"/>
            <w:vAlign w:val="bottom"/>
          </w:tcPr>
          <w:p w14:paraId="7300256B">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000000"/>
                <w:sz w:val="21"/>
                <w:szCs w:val="16"/>
                <w:u w:val="none"/>
                <w14:ligatures w14:val="standardContextual"/>
              </w:rPr>
            </w:pPr>
            <w:r>
              <w:rPr>
                <w:rFonts w:hint="eastAsia" w:ascii="Times New Roman" w:hAnsi="Times New Roman" w:eastAsia="仿宋_GB2312" w:cs="Times New Roman"/>
                <w:color w:val="000000"/>
                <w:sz w:val="21"/>
                <w:szCs w:val="16"/>
                <w:u w:val="none"/>
                <w:lang w:val="en-US" w:eastAsia="zh-CN"/>
                <w14:ligatures w14:val="standardContextual"/>
              </w:rPr>
              <w:t>市级</w:t>
            </w:r>
          </w:p>
        </w:tc>
        <w:tc>
          <w:tcPr>
            <w:tcW w:w="1593" w:type="dxa"/>
            <w:vAlign w:val="center"/>
          </w:tcPr>
          <w:p w14:paraId="079466AF">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u w:val="none"/>
                <w14:ligatures w14:val="standardContextual"/>
              </w:rPr>
            </w:pPr>
            <w:r>
              <w:rPr>
                <w:rFonts w:hint="default" w:ascii="Times New Roman" w:hAnsi="Times New Roman" w:cs="Times New Roman"/>
                <w:color w:val="auto"/>
                <w:sz w:val="21"/>
                <w:szCs w:val="21"/>
                <w:u w:val="none"/>
                <w14:ligatures w14:val="standardContextual"/>
              </w:rPr>
              <w:t>文物保护单位</w:t>
            </w:r>
          </w:p>
        </w:tc>
      </w:tr>
      <w:tr w14:paraId="2918F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3" w:type="dxa"/>
            <w:vAlign w:val="center"/>
          </w:tcPr>
          <w:p w14:paraId="4416B2A5">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cs="Times New Roman"/>
                <w:color w:val="auto"/>
                <w:sz w:val="21"/>
                <w:szCs w:val="21"/>
                <w:u w:val="none"/>
                <w:lang w:val="en-US" w:eastAsia="zh-CN"/>
                <w14:ligatures w14:val="standardContextual"/>
              </w:rPr>
              <w:t>4</w:t>
            </w:r>
          </w:p>
        </w:tc>
        <w:tc>
          <w:tcPr>
            <w:tcW w:w="4085" w:type="dxa"/>
            <w:vAlign w:val="bottom"/>
          </w:tcPr>
          <w:p w14:paraId="2CFC2D79">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000000"/>
                <w:sz w:val="21"/>
                <w:szCs w:val="16"/>
                <w:u w:val="none"/>
                <w14:ligatures w14:val="standardContextual"/>
              </w:rPr>
            </w:pPr>
            <w:r>
              <w:rPr>
                <w:rFonts w:hint="eastAsia" w:ascii="Times New Roman" w:hAnsi="Times New Roman" w:eastAsia="仿宋_GB2312" w:cs="Times New Roman"/>
                <w:color w:val="000000"/>
                <w:sz w:val="21"/>
                <w:szCs w:val="16"/>
                <w:u w:val="none"/>
                <w:lang w:val="en-US" w:eastAsia="zh-CN"/>
                <w14:ligatures w14:val="standardContextual"/>
              </w:rPr>
              <w:t>古城子洼泥甸子姜家大院抗联供给站遗址</w:t>
            </w:r>
          </w:p>
        </w:tc>
        <w:tc>
          <w:tcPr>
            <w:tcW w:w="1246" w:type="dxa"/>
            <w:vAlign w:val="bottom"/>
          </w:tcPr>
          <w:p w14:paraId="53AE208E">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000000"/>
                <w:sz w:val="21"/>
                <w:szCs w:val="16"/>
                <w:u w:val="none"/>
                <w14:ligatures w14:val="standardContextual"/>
              </w:rPr>
            </w:pPr>
            <w:r>
              <w:rPr>
                <w:rFonts w:hint="eastAsia" w:ascii="Times New Roman" w:hAnsi="Times New Roman" w:eastAsia="仿宋_GB2312" w:cs="Times New Roman"/>
                <w:color w:val="000000"/>
                <w:sz w:val="21"/>
                <w:szCs w:val="16"/>
                <w:u w:val="none"/>
                <w:lang w:val="en-US" w:eastAsia="zh-CN"/>
                <w14:ligatures w14:val="standardContextual"/>
              </w:rPr>
              <w:t>洼泥甸村</w:t>
            </w:r>
          </w:p>
        </w:tc>
        <w:tc>
          <w:tcPr>
            <w:tcW w:w="877" w:type="dxa"/>
            <w:vAlign w:val="bottom"/>
          </w:tcPr>
          <w:p w14:paraId="3A2F6EA9">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000000"/>
                <w:sz w:val="21"/>
                <w:szCs w:val="16"/>
                <w:u w:val="none"/>
                <w14:ligatures w14:val="standardContextual"/>
              </w:rPr>
            </w:pPr>
            <w:r>
              <w:rPr>
                <w:rFonts w:hint="eastAsia" w:ascii="Times New Roman" w:hAnsi="Times New Roman" w:eastAsia="仿宋_GB2312" w:cs="Times New Roman"/>
                <w:color w:val="000000"/>
                <w:sz w:val="21"/>
                <w:szCs w:val="16"/>
                <w:u w:val="none"/>
                <w:lang w:val="en-US" w:eastAsia="zh-CN"/>
                <w14:ligatures w14:val="standardContextual"/>
              </w:rPr>
              <w:t>市级</w:t>
            </w:r>
          </w:p>
        </w:tc>
        <w:tc>
          <w:tcPr>
            <w:tcW w:w="1593" w:type="dxa"/>
            <w:vAlign w:val="center"/>
          </w:tcPr>
          <w:p w14:paraId="0CD99713">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u w:val="none"/>
                <w14:ligatures w14:val="standardContextual"/>
              </w:rPr>
            </w:pPr>
            <w:r>
              <w:rPr>
                <w:rFonts w:hint="default" w:ascii="Times New Roman" w:hAnsi="Times New Roman" w:cs="Times New Roman"/>
                <w:color w:val="auto"/>
                <w:sz w:val="21"/>
                <w:szCs w:val="21"/>
                <w:u w:val="none"/>
                <w14:ligatures w14:val="standardContextual"/>
              </w:rPr>
              <w:t>文物保护单位</w:t>
            </w:r>
          </w:p>
        </w:tc>
      </w:tr>
      <w:tr w14:paraId="62BA4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3" w:type="dxa"/>
            <w:vAlign w:val="center"/>
          </w:tcPr>
          <w:p w14:paraId="2E1CE6FD">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u w:val="none"/>
                <w:lang w:val="en-US" w:eastAsia="zh-CN"/>
                <w14:ligatures w14:val="standardContextual"/>
              </w:rPr>
            </w:pPr>
            <w:r>
              <w:rPr>
                <w:rFonts w:hint="default" w:ascii="Times New Roman" w:hAnsi="Times New Roman" w:cs="Times New Roman"/>
                <w:color w:val="auto"/>
                <w:sz w:val="21"/>
                <w:szCs w:val="21"/>
                <w:u w:val="none"/>
                <w:lang w:val="en-US" w:eastAsia="zh-CN"/>
                <w14:ligatures w14:val="standardContextual"/>
              </w:rPr>
              <w:t>5</w:t>
            </w:r>
          </w:p>
        </w:tc>
        <w:tc>
          <w:tcPr>
            <w:tcW w:w="4085" w:type="dxa"/>
            <w:shd w:val="clear" w:color="auto" w:fill="auto"/>
            <w:vAlign w:val="bottom"/>
          </w:tcPr>
          <w:p w14:paraId="1B8D747A">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000000"/>
                <w:sz w:val="21"/>
                <w:szCs w:val="16"/>
                <w:u w:val="none"/>
                <w:lang w:val="en-US" w:eastAsia="zh-CN"/>
                <w14:ligatures w14:val="standardContextual"/>
              </w:rPr>
            </w:pPr>
            <w:r>
              <w:rPr>
                <w:rFonts w:hint="eastAsia" w:ascii="Times New Roman" w:hAnsi="Times New Roman" w:eastAsia="仿宋_GB2312" w:cs="Times New Roman"/>
                <w:color w:val="000000"/>
                <w:sz w:val="21"/>
                <w:szCs w:val="16"/>
                <w:u w:val="none"/>
                <w:lang w:val="en-US" w:eastAsia="zh-CN"/>
                <w14:ligatures w14:val="standardContextual"/>
              </w:rPr>
              <w:t>大荒沟墓群</w:t>
            </w:r>
          </w:p>
        </w:tc>
        <w:tc>
          <w:tcPr>
            <w:tcW w:w="1246" w:type="dxa"/>
            <w:shd w:val="clear" w:color="auto" w:fill="auto"/>
            <w:vAlign w:val="bottom"/>
          </w:tcPr>
          <w:p w14:paraId="773133FB">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000000"/>
                <w:sz w:val="21"/>
                <w:szCs w:val="16"/>
                <w:u w:val="none"/>
                <w:lang w:val="en-US" w:eastAsia="zh-CN"/>
                <w14:ligatures w14:val="standardContextual"/>
              </w:rPr>
            </w:pPr>
            <w:r>
              <w:rPr>
                <w:rFonts w:hint="eastAsia" w:ascii="Times New Roman" w:hAnsi="Times New Roman" w:eastAsia="仿宋_GB2312" w:cs="Times New Roman"/>
                <w:color w:val="000000"/>
                <w:sz w:val="21"/>
                <w:szCs w:val="16"/>
                <w:u w:val="none"/>
                <w:lang w:val="en-US" w:eastAsia="zh-CN"/>
                <w14:ligatures w14:val="standardContextual"/>
              </w:rPr>
              <w:t>古城子村</w:t>
            </w:r>
          </w:p>
        </w:tc>
        <w:tc>
          <w:tcPr>
            <w:tcW w:w="877" w:type="dxa"/>
            <w:shd w:val="clear" w:color="auto" w:fill="auto"/>
            <w:vAlign w:val="bottom"/>
          </w:tcPr>
          <w:p w14:paraId="7FDAB7C4">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000000"/>
                <w:sz w:val="21"/>
                <w:szCs w:val="16"/>
                <w:u w:val="none"/>
                <w:lang w:val="en-US" w:eastAsia="zh-CN"/>
                <w14:ligatures w14:val="standardContextual"/>
              </w:rPr>
            </w:pPr>
            <w:r>
              <w:rPr>
                <w:rFonts w:hint="eastAsia" w:ascii="Times New Roman" w:hAnsi="Times New Roman" w:eastAsia="仿宋_GB2312" w:cs="Times New Roman"/>
                <w:color w:val="000000"/>
                <w:sz w:val="21"/>
                <w:szCs w:val="16"/>
                <w:u w:val="none"/>
                <w:lang w:val="en-US" w:eastAsia="zh-CN"/>
                <w14:ligatures w14:val="standardContextual"/>
              </w:rPr>
              <w:t>县级</w:t>
            </w:r>
          </w:p>
        </w:tc>
        <w:tc>
          <w:tcPr>
            <w:tcW w:w="1593" w:type="dxa"/>
            <w:shd w:val="clear" w:color="auto" w:fill="auto"/>
            <w:vAlign w:val="center"/>
          </w:tcPr>
          <w:p w14:paraId="603FC4A2">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u w:val="none"/>
                <w14:ligatures w14:val="standardContextual"/>
              </w:rPr>
            </w:pPr>
            <w:r>
              <w:rPr>
                <w:rFonts w:hint="default" w:ascii="Times New Roman" w:hAnsi="Times New Roman" w:eastAsia="仿宋_GB2312" w:cs="Times New Roman"/>
                <w:color w:val="auto"/>
                <w:kern w:val="2"/>
                <w:sz w:val="21"/>
                <w:szCs w:val="21"/>
                <w:u w:val="none"/>
                <w:lang w:val="en-US" w:eastAsia="zh-CN" w:bidi="ar-SA"/>
                <w14:ligatures w14:val="standardContextual"/>
              </w:rPr>
              <w:t>文物保护单位</w:t>
            </w:r>
          </w:p>
        </w:tc>
      </w:tr>
      <w:tr w14:paraId="09189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3" w:type="dxa"/>
            <w:vAlign w:val="center"/>
          </w:tcPr>
          <w:p w14:paraId="66F59822">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u w:val="none"/>
                <w:lang w:val="en-US" w:eastAsia="zh-CN"/>
                <w14:ligatures w14:val="standardContextual"/>
              </w:rPr>
            </w:pPr>
            <w:r>
              <w:rPr>
                <w:rFonts w:hint="eastAsia" w:ascii="Times New Roman" w:hAnsi="Times New Roman" w:cs="Times New Roman"/>
                <w:color w:val="auto"/>
                <w:sz w:val="21"/>
                <w:szCs w:val="21"/>
                <w:u w:val="none"/>
                <w:lang w:val="en-US" w:eastAsia="zh-CN"/>
                <w14:ligatures w14:val="standardContextual"/>
              </w:rPr>
              <w:t>6</w:t>
            </w:r>
          </w:p>
        </w:tc>
        <w:tc>
          <w:tcPr>
            <w:tcW w:w="4085" w:type="dxa"/>
            <w:shd w:val="clear" w:color="auto" w:fill="auto"/>
            <w:vAlign w:val="bottom"/>
          </w:tcPr>
          <w:p w14:paraId="42936677">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000000"/>
                <w:sz w:val="21"/>
                <w:szCs w:val="16"/>
                <w:u w:val="none"/>
                <w14:ligatures w14:val="standardContextual"/>
              </w:rPr>
            </w:pPr>
            <w:r>
              <w:rPr>
                <w:rFonts w:hint="eastAsia" w:ascii="Times New Roman" w:hAnsi="Times New Roman" w:eastAsia="仿宋_GB2312" w:cs="Times New Roman"/>
                <w:color w:val="000000"/>
                <w:sz w:val="21"/>
                <w:szCs w:val="16"/>
                <w:u w:val="none"/>
                <w:lang w:val="en-US" w:eastAsia="zh-CN"/>
                <w14:ligatures w14:val="standardContextual"/>
              </w:rPr>
              <w:t>二道沟柳条边遗址</w:t>
            </w:r>
          </w:p>
        </w:tc>
        <w:tc>
          <w:tcPr>
            <w:tcW w:w="1246" w:type="dxa"/>
            <w:shd w:val="clear" w:color="auto" w:fill="auto"/>
            <w:vAlign w:val="bottom"/>
          </w:tcPr>
          <w:p w14:paraId="1769B169">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000000"/>
                <w:sz w:val="21"/>
                <w:szCs w:val="16"/>
                <w:u w:val="none"/>
                <w14:ligatures w14:val="standardContextual"/>
              </w:rPr>
            </w:pPr>
            <w:r>
              <w:rPr>
                <w:rFonts w:hint="eastAsia" w:ascii="Times New Roman" w:hAnsi="Times New Roman" w:eastAsia="仿宋_GB2312" w:cs="Times New Roman"/>
                <w:color w:val="000000"/>
                <w:sz w:val="21"/>
                <w:szCs w:val="16"/>
                <w:u w:val="none"/>
                <w:lang w:val="en-US" w:eastAsia="zh-CN"/>
                <w14:ligatures w14:val="standardContextual"/>
              </w:rPr>
              <w:t>二道沟村</w:t>
            </w:r>
          </w:p>
        </w:tc>
        <w:tc>
          <w:tcPr>
            <w:tcW w:w="877" w:type="dxa"/>
            <w:shd w:val="clear" w:color="auto" w:fill="auto"/>
            <w:vAlign w:val="bottom"/>
          </w:tcPr>
          <w:p w14:paraId="3787125D">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000000"/>
                <w:sz w:val="21"/>
                <w:szCs w:val="16"/>
                <w:u w:val="none"/>
                <w14:ligatures w14:val="standardContextual"/>
              </w:rPr>
            </w:pPr>
            <w:r>
              <w:rPr>
                <w:rFonts w:hint="eastAsia" w:ascii="Times New Roman" w:hAnsi="Times New Roman" w:eastAsia="仿宋_GB2312" w:cs="Times New Roman"/>
                <w:color w:val="000000"/>
                <w:sz w:val="21"/>
                <w:szCs w:val="16"/>
                <w:u w:val="none"/>
                <w:lang w:val="en-US" w:eastAsia="zh-CN"/>
                <w14:ligatures w14:val="standardContextual"/>
              </w:rPr>
              <w:t>县级</w:t>
            </w:r>
          </w:p>
        </w:tc>
        <w:tc>
          <w:tcPr>
            <w:tcW w:w="1593" w:type="dxa"/>
            <w:shd w:val="clear" w:color="auto" w:fill="auto"/>
            <w:vAlign w:val="center"/>
          </w:tcPr>
          <w:p w14:paraId="286E7FB8">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u w:val="none"/>
                <w14:ligatures w14:val="standardContextual"/>
              </w:rPr>
            </w:pPr>
            <w:r>
              <w:rPr>
                <w:rFonts w:hint="default" w:ascii="Times New Roman" w:hAnsi="Times New Roman" w:cs="Times New Roman"/>
                <w:color w:val="auto"/>
                <w:sz w:val="21"/>
                <w:szCs w:val="21"/>
                <w:u w:val="none"/>
                <w14:ligatures w14:val="standardContextual"/>
              </w:rPr>
              <w:t>文物保护单位</w:t>
            </w:r>
          </w:p>
        </w:tc>
      </w:tr>
    </w:tbl>
    <w:p w14:paraId="02BE9192">
      <w:pPr>
        <w:pStyle w:val="4"/>
        <w:bidi w:val="0"/>
        <w:ind w:left="0" w:leftChars="0" w:firstLine="420" w:firstLineChars="0"/>
        <w:rPr>
          <w:rFonts w:hint="eastAsia"/>
          <w:color w:val="auto"/>
          <w:u w:val="none"/>
          <w:lang w:val="en-US" w:eastAsia="zh-CN"/>
        </w:rPr>
      </w:pPr>
      <w:bookmarkStart w:id="83" w:name="_Toc381691"/>
      <w:r>
        <w:rPr>
          <w:rFonts w:hint="eastAsia"/>
          <w:color w:val="auto"/>
          <w:u w:val="none"/>
          <w:lang w:val="en-US" w:eastAsia="zh-CN"/>
        </w:rPr>
        <w:t>推进历史文化资源保护利用</w:t>
      </w:r>
    </w:p>
    <w:p w14:paraId="63E32E55">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积极推动历史文化名村、传统村落申报。规划积极挖掘古城镇传统村落，加大传统村落申报和保护力度，坚持以人为本，把传统村落继承好、保护好、开发好。严格按照各主管部门制定的保护规划进行保护，减少人为活动对文物本体及周边环境影响。依据历史、生态、功能等要素划定重点控制区域，加强对建筑高度、体量、色彩、风格等要素管控。</w:t>
      </w:r>
    </w:p>
    <w:p w14:paraId="1D7557BD">
      <w:pPr>
        <w:pStyle w:val="4"/>
        <w:bidi w:val="0"/>
        <w:ind w:left="0" w:leftChars="0" w:firstLine="420" w:firstLineChars="0"/>
        <w:rPr>
          <w:rFonts w:hint="eastAsia"/>
          <w:color w:val="auto"/>
          <w:u w:val="none"/>
          <w:lang w:val="en-US" w:eastAsia="zh-CN"/>
        </w:rPr>
      </w:pPr>
      <w:r>
        <w:rPr>
          <w:rFonts w:hint="eastAsia"/>
          <w:color w:val="auto"/>
          <w:u w:val="none"/>
          <w:lang w:val="en-US" w:eastAsia="zh-CN"/>
        </w:rPr>
        <w:t>实施历史文化保护线管控</w:t>
      </w:r>
    </w:p>
    <w:bookmarkEnd w:id="83"/>
    <w:p w14:paraId="39B3A482">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划定历史文化保护线。将文物保护单位保护范围界线纳入历史保护线，落实文物保护单位范围</w:t>
      </w:r>
      <w:r>
        <w:rPr>
          <w:u w:val="none"/>
        </w:rPr>
        <w:t>。对文物保护单位遵循“不改变文物原状”的原则，划定保护范围与建设控制地带，强化对文物保护单位的保护管理。对文物主管部门核定可能存在历史文化遗存的土地，实行“先考古、后出让”制度。对历史建筑遵循“保持原有外形和风貌”的原则，进行加固修缮保护。对于纳入历史文化遗产保护名录、但暂不具备历史文化保护线划定基础的，加强部门协同，及时落实动态补划。</w:t>
      </w:r>
    </w:p>
    <w:p w14:paraId="3BBAE791">
      <w:pPr>
        <w:pStyle w:val="4"/>
        <w:bidi w:val="0"/>
        <w:ind w:left="0" w:leftChars="0" w:firstLine="420" w:firstLineChars="0"/>
        <w:rPr>
          <w:rFonts w:hint="eastAsia"/>
          <w:color w:val="auto"/>
          <w:u w:val="none"/>
          <w:lang w:val="en-US" w:eastAsia="zh-CN"/>
        </w:rPr>
      </w:pPr>
      <w:bookmarkStart w:id="84" w:name="_Toc381697"/>
      <w:bookmarkStart w:id="85" w:name="_Toc381700"/>
      <w:r>
        <w:rPr>
          <w:rFonts w:hint="eastAsia"/>
          <w:color w:val="auto"/>
          <w:u w:val="none"/>
          <w:lang w:val="en-US" w:eastAsia="zh-CN"/>
        </w:rPr>
        <w:t>妥善保护利用文物古迹</w:t>
      </w:r>
      <w:bookmarkEnd w:id="84"/>
    </w:p>
    <w:p w14:paraId="0C528570">
      <w:pPr>
        <w:keepNext w:val="0"/>
        <w:keepLines w:val="0"/>
        <w:pageBreakBefore w:val="0"/>
        <w:widowControl w:val="0"/>
        <w:kinsoku/>
        <w:overflowPunct/>
        <w:topLinePunct w:val="0"/>
        <w:autoSpaceDE/>
        <w:autoSpaceDN/>
        <w:bidi w:val="0"/>
        <w:spacing w:line="600" w:lineRule="exact"/>
        <w:textAlignment w:val="auto"/>
        <w:rPr>
          <w:u w:val="none"/>
        </w:rPr>
      </w:pPr>
      <w:r>
        <w:rPr>
          <w:u w:val="none"/>
        </w:rPr>
        <w:t>严格保护各级文物保护单位的原址、原物、原状，明确保护要求和管理责任，严禁任何对文物本体造成破坏的行为，加强文物周边环境整治，提高历史环境品质，划定保护范围、建设控制地带和风貌协调区。保护范围内不得随意改变原有现状建筑；建设控制地带严格控制建设，加强维修可保留建筑，逐步拆除不需保留建筑，凡有新建建筑，应在外观、造型、体量、高度、色彩上和保护对象协调；风貌协调区内各种修建活动不得改变建筑周围原有的空间景观特征，外形与色彩应与历史环境相统一。</w:t>
      </w:r>
    </w:p>
    <w:bookmarkEnd w:id="85"/>
    <w:p w14:paraId="54D5D268">
      <w:pPr>
        <w:pStyle w:val="4"/>
        <w:bidi w:val="0"/>
        <w:ind w:left="0" w:leftChars="0" w:firstLine="420" w:firstLineChars="0"/>
        <w:rPr>
          <w:rFonts w:hint="eastAsia"/>
          <w:color w:val="auto"/>
          <w:u w:val="none"/>
          <w:lang w:val="en-US" w:eastAsia="zh-CN"/>
        </w:rPr>
      </w:pPr>
      <w:r>
        <w:rPr>
          <w:rFonts w:hint="eastAsia"/>
          <w:color w:val="auto"/>
          <w:u w:val="none"/>
          <w:lang w:val="en-US" w:eastAsia="zh-CN"/>
        </w:rPr>
        <w:t>不可移动文物保护利用</w:t>
      </w:r>
    </w:p>
    <w:p w14:paraId="29F5CCE1">
      <w:pPr>
        <w:keepNext w:val="0"/>
        <w:keepLines w:val="0"/>
        <w:pageBreakBefore w:val="0"/>
        <w:widowControl w:val="0"/>
        <w:kinsoku/>
        <w:overflowPunct/>
        <w:topLinePunct w:val="0"/>
        <w:autoSpaceDE/>
        <w:autoSpaceDN/>
        <w:bidi w:val="0"/>
        <w:spacing w:line="600" w:lineRule="exact"/>
        <w:textAlignment w:val="auto"/>
        <w:rPr>
          <w:u w:val="none"/>
        </w:rPr>
      </w:pPr>
      <w:r>
        <w:rPr>
          <w:u w:val="none"/>
        </w:rPr>
        <w:t>坚持创造性转化、创新性发展，深入挖掘、广泛传播文物蕴含的文化精髓和时代价值，创新文物合理利用方式，推动文物保护利用工作全面融入经济社会发展。引导</w:t>
      </w:r>
      <w:r>
        <w:rPr>
          <w:rFonts w:hint="eastAsia"/>
          <w:u w:val="none"/>
        </w:rPr>
        <w:t>不可移动文物</w:t>
      </w:r>
      <w:r>
        <w:rPr>
          <w:u w:val="none"/>
        </w:rPr>
        <w:t>充分发挥公共教育、文化服务等作用，让</w:t>
      </w:r>
      <w:r>
        <w:rPr>
          <w:rFonts w:hint="eastAsia"/>
          <w:u w:val="none"/>
        </w:rPr>
        <w:t>古城</w:t>
      </w:r>
      <w:r>
        <w:rPr>
          <w:u w:val="none"/>
        </w:rPr>
        <w:t>的文化遗产活起来。加大文物建筑开放利用力度，因地制宜改造为公共文化设施或场所。妥善处理保护与开发的关系，推动文物保护单位成为特色旅游目的地和文明旅游的典范，满足人民群众精神文化生活新期待，推动文物保护的同时带动产业发展。</w:t>
      </w:r>
    </w:p>
    <w:p w14:paraId="55C19932">
      <w:pPr>
        <w:pStyle w:val="4"/>
        <w:bidi w:val="0"/>
        <w:ind w:left="0" w:leftChars="0" w:firstLine="420" w:firstLineChars="0"/>
        <w:rPr>
          <w:rFonts w:hint="eastAsia"/>
          <w:color w:val="auto"/>
          <w:u w:val="none"/>
          <w:lang w:val="en-US" w:eastAsia="zh-CN"/>
        </w:rPr>
      </w:pPr>
      <w:bookmarkStart w:id="86" w:name="_Toc381699"/>
      <w:r>
        <w:rPr>
          <w:rFonts w:hint="eastAsia"/>
          <w:color w:val="auto"/>
          <w:u w:val="none"/>
          <w:lang w:val="en-US" w:eastAsia="zh-CN"/>
        </w:rPr>
        <w:t>非物质文化遗产的保护传承</w:t>
      </w:r>
      <w:bookmarkEnd w:id="86"/>
    </w:p>
    <w:p w14:paraId="0066D01F">
      <w:pPr>
        <w:keepNext w:val="0"/>
        <w:keepLines w:val="0"/>
        <w:pageBreakBefore w:val="0"/>
        <w:widowControl w:val="0"/>
        <w:kinsoku/>
        <w:overflowPunct/>
        <w:topLinePunct w:val="0"/>
        <w:autoSpaceDE/>
        <w:autoSpaceDN/>
        <w:bidi w:val="0"/>
        <w:spacing w:line="600" w:lineRule="exact"/>
        <w:textAlignment w:val="auto"/>
        <w:rPr>
          <w:u w:val="none"/>
        </w:rPr>
      </w:pPr>
      <w:r>
        <w:rPr>
          <w:u w:val="none"/>
        </w:rPr>
        <w:t>以物质文化遗产为依托落实保护传承的空间，鼓励支持非物质文化遗产传习活动，推动非物质文化遗产有效传承。依托传承人、传承基地、学校、</w:t>
      </w:r>
      <w:r>
        <w:rPr>
          <w:rFonts w:hint="eastAsia"/>
          <w:u w:val="none"/>
        </w:rPr>
        <w:t>镇中心区</w:t>
      </w:r>
      <w:r>
        <w:rPr>
          <w:u w:val="none"/>
        </w:rPr>
        <w:t>广泛开展丰富多彩的非遗传承活动。</w:t>
      </w:r>
    </w:p>
    <w:bookmarkEnd w:id="61"/>
    <w:p w14:paraId="62A797D1">
      <w:pPr>
        <w:pStyle w:val="2"/>
        <w:spacing w:before="360" w:after="360"/>
        <w:rPr>
          <w:rFonts w:hint="eastAsia" w:ascii="方正小标宋简体" w:hAnsi="方正小标宋简体" w:eastAsia="方正小标宋简体" w:cs="方正小标宋简体"/>
          <w:color w:val="auto"/>
          <w:u w:val="none"/>
          <w:lang w:val="en-US" w:eastAsia="zh-CN"/>
        </w:rPr>
      </w:pPr>
      <w:bookmarkStart w:id="87" w:name="_Toc152937202"/>
      <w:bookmarkStart w:id="88" w:name="_Toc28864"/>
      <w:bookmarkStart w:id="89" w:name="_Toc17983"/>
      <w:r>
        <w:rPr>
          <w:rFonts w:hint="eastAsia" w:ascii="方正小标宋简体" w:hAnsi="方正小标宋简体" w:eastAsia="方正小标宋简体" w:cs="方正小标宋简体"/>
          <w:color w:val="auto"/>
          <w:u w:val="none"/>
          <w:lang w:val="en-US" w:eastAsia="zh-CN"/>
        </w:rPr>
        <w:t>镇村统筹发展</w:t>
      </w:r>
      <w:bookmarkEnd w:id="87"/>
      <w:bookmarkEnd w:id="88"/>
      <w:bookmarkEnd w:id="89"/>
    </w:p>
    <w:p w14:paraId="5278086A">
      <w:pPr>
        <w:pStyle w:val="3"/>
        <w:bidi w:val="0"/>
        <w:ind w:left="0" w:leftChars="0" w:firstLine="420" w:firstLineChars="0"/>
        <w:rPr>
          <w:rFonts w:hint="eastAsia" w:ascii="黑体" w:hAnsi="黑体" w:eastAsia="黑体" w:cs="黑体"/>
          <w:u w:val="none"/>
          <w:lang w:val="en-US" w:eastAsia="zh-CN"/>
        </w:rPr>
      </w:pPr>
      <w:bookmarkStart w:id="90" w:name="_Toc12341"/>
      <w:bookmarkStart w:id="91" w:name="_Toc13057"/>
      <w:bookmarkStart w:id="92" w:name="_Toc152937203"/>
      <w:r>
        <w:rPr>
          <w:rFonts w:hint="eastAsia" w:ascii="黑体" w:hAnsi="黑体" w:eastAsia="黑体" w:cs="黑体"/>
          <w:u w:val="none"/>
          <w:lang w:val="en-US" w:eastAsia="zh-CN"/>
        </w:rPr>
        <w:t>镇村体系规划</w:t>
      </w:r>
      <w:bookmarkEnd w:id="90"/>
      <w:bookmarkEnd w:id="91"/>
      <w:bookmarkEnd w:id="92"/>
    </w:p>
    <w:p w14:paraId="61E79C07">
      <w:pPr>
        <w:pStyle w:val="4"/>
        <w:bidi w:val="0"/>
        <w:ind w:left="0" w:leftChars="0" w:firstLine="420" w:firstLineChars="0"/>
        <w:rPr>
          <w:rFonts w:hint="eastAsia"/>
          <w:color w:val="auto"/>
          <w:u w:val="none"/>
          <w:lang w:val="en-US" w:eastAsia="zh-CN"/>
        </w:rPr>
      </w:pPr>
      <w:r>
        <w:rPr>
          <w:rFonts w:hint="eastAsia"/>
          <w:color w:val="auto"/>
          <w:u w:val="none"/>
          <w:lang w:val="en-US" w:eastAsia="zh-CN"/>
        </w:rPr>
        <w:t>人口发展指引</w:t>
      </w:r>
    </w:p>
    <w:p w14:paraId="0D59AA5D">
      <w:pPr>
        <w:keepNext w:val="0"/>
        <w:keepLines w:val="0"/>
        <w:pageBreakBefore w:val="0"/>
        <w:widowControl w:val="0"/>
        <w:kinsoku/>
        <w:overflowPunct/>
        <w:topLinePunct w:val="0"/>
        <w:autoSpaceDE/>
        <w:autoSpaceDN/>
        <w:bidi w:val="0"/>
        <w:spacing w:line="600" w:lineRule="exact"/>
        <w:textAlignment w:val="auto"/>
        <w:rPr>
          <w:u w:val="none"/>
        </w:rPr>
      </w:pPr>
      <w:r>
        <w:rPr>
          <w:u w:val="none"/>
        </w:rPr>
        <w:t>顺应城镇化高质量发展和城镇化发展阶段特征，积极应对人口减少与老龄化现象。</w:t>
      </w:r>
      <w:r>
        <w:rPr>
          <w:rFonts w:hint="eastAsia"/>
          <w:u w:val="none"/>
        </w:rPr>
        <w:t>规划至2025年，古城镇全域常住人口规模约26000人，城镇化水平约27.31%，镇中心区人口达到7100人。到2035年，古城镇域常住人口规模约28000人，城镇化水平约40%，镇中心区人口达到10000人。镇中心区是未来古城镇新型城镇化建设重点地区，将持续优化人口结构，提升城镇化质量。</w:t>
      </w:r>
    </w:p>
    <w:p w14:paraId="43E961E4">
      <w:pPr>
        <w:pStyle w:val="4"/>
        <w:bidi w:val="0"/>
        <w:ind w:left="0" w:leftChars="0" w:firstLine="420" w:firstLineChars="0"/>
        <w:rPr>
          <w:rFonts w:hint="eastAsia"/>
          <w:color w:val="auto"/>
          <w:u w:val="none"/>
          <w:lang w:val="en-US" w:eastAsia="zh-CN"/>
        </w:rPr>
      </w:pPr>
      <w:r>
        <w:rPr>
          <w:rFonts w:hint="eastAsia"/>
          <w:color w:val="auto"/>
          <w:u w:val="none"/>
          <w:lang w:val="en-US" w:eastAsia="zh-CN"/>
        </w:rPr>
        <w:t>规模等级结构与职能分工</w:t>
      </w:r>
    </w:p>
    <w:p w14:paraId="6B5D32D4">
      <w:pPr>
        <w:keepNext w:val="0"/>
        <w:keepLines w:val="0"/>
        <w:pageBreakBefore w:val="0"/>
        <w:widowControl w:val="0"/>
        <w:kinsoku/>
        <w:overflowPunct/>
        <w:topLinePunct w:val="0"/>
        <w:autoSpaceDE/>
        <w:autoSpaceDN/>
        <w:bidi w:val="0"/>
        <w:spacing w:line="600" w:lineRule="exact"/>
        <w:textAlignment w:val="auto"/>
        <w:rPr>
          <w:u w:val="none"/>
        </w:rPr>
      </w:pPr>
      <w:bookmarkStart w:id="93" w:name="_Hlk131410109"/>
      <w:r>
        <w:rPr>
          <w:rFonts w:hint="eastAsia"/>
          <w:u w:val="none"/>
        </w:rPr>
        <w:t>基于古城镇城镇化发展阶段特征，因地制宜推进形成区域一体、城乡融合的网络型城镇空间布局。规划</w:t>
      </w:r>
      <w:r>
        <w:rPr>
          <w:u w:val="none"/>
        </w:rPr>
        <w:t>形成</w:t>
      </w:r>
      <w:r>
        <w:rPr>
          <w:rFonts w:hint="eastAsia"/>
          <w:u w:val="none"/>
        </w:rPr>
        <w:t>“</w:t>
      </w:r>
      <w:r>
        <w:rPr>
          <w:u w:val="none"/>
        </w:rPr>
        <w:t>镇</w:t>
      </w:r>
      <w:r>
        <w:rPr>
          <w:rFonts w:hint="eastAsia"/>
          <w:u w:val="none"/>
        </w:rPr>
        <w:t>中心区</w:t>
      </w:r>
      <w:r>
        <w:rPr>
          <w:rFonts w:hint="eastAsia" w:eastAsia="仿宋_GB2312"/>
          <w:u w:val="none"/>
          <w:lang w:eastAsia="zh-CN"/>
        </w:rPr>
        <w:t>－</w:t>
      </w:r>
      <w:r>
        <w:rPr>
          <w:rFonts w:hint="eastAsia"/>
          <w:u w:val="none"/>
        </w:rPr>
        <w:t>中心村</w:t>
      </w:r>
      <w:r>
        <w:rPr>
          <w:rFonts w:hint="eastAsia" w:eastAsia="仿宋_GB2312"/>
          <w:u w:val="none"/>
          <w:lang w:eastAsia="zh-CN"/>
        </w:rPr>
        <w:t>－</w:t>
      </w:r>
      <w:r>
        <w:rPr>
          <w:rFonts w:hint="eastAsia"/>
          <w:u w:val="none"/>
        </w:rPr>
        <w:t>一般村”三</w:t>
      </w:r>
      <w:r>
        <w:rPr>
          <w:u w:val="none"/>
        </w:rPr>
        <w:t>级</w:t>
      </w:r>
      <w:r>
        <w:rPr>
          <w:rFonts w:hint="eastAsia"/>
          <w:u w:val="none"/>
        </w:rPr>
        <w:t>镇村</w:t>
      </w:r>
      <w:r>
        <w:rPr>
          <w:u w:val="none"/>
        </w:rPr>
        <w:t>体系</w:t>
      </w:r>
      <w:r>
        <w:rPr>
          <w:rFonts w:hint="eastAsia"/>
          <w:u w:val="none"/>
        </w:rPr>
        <w:t>，形成“</w:t>
      </w:r>
      <w:r>
        <w:rPr>
          <w:u w:val="none"/>
        </w:rPr>
        <w:t>1+</w:t>
      </w:r>
      <w:r>
        <w:rPr>
          <w:rFonts w:hint="eastAsia"/>
          <w:u w:val="none"/>
        </w:rPr>
        <w:t>4</w:t>
      </w:r>
      <w:r>
        <w:rPr>
          <w:u w:val="none"/>
        </w:rPr>
        <w:t>+</w:t>
      </w:r>
      <w:r>
        <w:rPr>
          <w:rFonts w:hint="eastAsia"/>
          <w:u w:val="none"/>
        </w:rPr>
        <w:t>8</w:t>
      </w:r>
      <w:r>
        <w:rPr>
          <w:u w:val="none"/>
        </w:rPr>
        <w:t>”城镇体系结构，即1个</w:t>
      </w:r>
      <w:r>
        <w:rPr>
          <w:rFonts w:hint="eastAsia"/>
          <w:u w:val="none"/>
        </w:rPr>
        <w:t>镇中心区</w:t>
      </w:r>
      <w:r>
        <w:rPr>
          <w:u w:val="none"/>
        </w:rPr>
        <w:t>、</w:t>
      </w:r>
      <w:r>
        <w:rPr>
          <w:rFonts w:hint="eastAsia"/>
          <w:u w:val="none"/>
        </w:rPr>
        <w:t>4</w:t>
      </w:r>
      <w:r>
        <w:rPr>
          <w:u w:val="none"/>
        </w:rPr>
        <w:t>个</w:t>
      </w:r>
      <w:r>
        <w:rPr>
          <w:rFonts w:hint="eastAsia"/>
          <w:u w:val="none"/>
        </w:rPr>
        <w:t>中心村</w:t>
      </w:r>
      <w:r>
        <w:rPr>
          <w:u w:val="none"/>
        </w:rPr>
        <w:t>、</w:t>
      </w:r>
      <w:r>
        <w:rPr>
          <w:rFonts w:hint="eastAsia"/>
          <w:u w:val="none"/>
        </w:rPr>
        <w:t>8</w:t>
      </w:r>
      <w:r>
        <w:rPr>
          <w:u w:val="none"/>
        </w:rPr>
        <w:t>个一般</w:t>
      </w:r>
      <w:r>
        <w:rPr>
          <w:rFonts w:hint="eastAsia"/>
          <w:u w:val="none"/>
        </w:rPr>
        <w:t>村，</w:t>
      </w:r>
      <w:r>
        <w:rPr>
          <w:u w:val="none"/>
        </w:rPr>
        <w:t>形成以</w:t>
      </w:r>
      <w:r>
        <w:rPr>
          <w:rFonts w:hint="eastAsia"/>
          <w:u w:val="none"/>
        </w:rPr>
        <w:t>镇中心区、中心村</w:t>
      </w:r>
      <w:r>
        <w:rPr>
          <w:u w:val="none"/>
        </w:rPr>
        <w:t>为依托，带动</w:t>
      </w:r>
      <w:r>
        <w:rPr>
          <w:rFonts w:hint="eastAsia"/>
          <w:u w:val="none"/>
        </w:rPr>
        <w:t>一般村</w:t>
      </w:r>
      <w:r>
        <w:rPr>
          <w:u w:val="none"/>
        </w:rPr>
        <w:t>的发展格局。</w:t>
      </w:r>
    </w:p>
    <w:p w14:paraId="7173E866">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镇中心区</w:t>
      </w:r>
      <w:r>
        <w:rPr>
          <w:u w:val="none"/>
        </w:rPr>
        <w:t>：</w:t>
      </w:r>
      <w:bookmarkStart w:id="94" w:name="_Hlk131007059"/>
      <w:r>
        <w:rPr>
          <w:rFonts w:hint="eastAsia"/>
          <w:u w:val="none"/>
        </w:rPr>
        <w:t>古城镇政府驻地是城乡综合服务中心和产业聚集发展区，布置各类公共服务设施和基础设施，重点发展第三产业</w:t>
      </w:r>
      <w:r>
        <w:rPr>
          <w:u w:val="none"/>
        </w:rPr>
        <w:t>。</w:t>
      </w:r>
      <w:bookmarkEnd w:id="94"/>
    </w:p>
    <w:p w14:paraId="06A774CA">
      <w:pPr>
        <w:keepNext w:val="0"/>
        <w:keepLines w:val="0"/>
        <w:pageBreakBefore w:val="0"/>
        <w:widowControl w:val="0"/>
        <w:kinsoku/>
        <w:overflowPunct/>
        <w:topLinePunct w:val="0"/>
        <w:autoSpaceDE/>
        <w:autoSpaceDN/>
        <w:bidi w:val="0"/>
        <w:spacing w:line="600" w:lineRule="exact"/>
        <w:textAlignment w:val="auto"/>
        <w:rPr>
          <w:color w:val="2E75B6" w:themeColor="accent5" w:themeShade="BF"/>
          <w:u w:val="none"/>
        </w:rPr>
      </w:pPr>
      <w:r>
        <w:rPr>
          <w:rFonts w:hint="eastAsia"/>
          <w:u w:val="none"/>
        </w:rPr>
        <w:t>中心村</w:t>
      </w:r>
      <w:r>
        <w:rPr>
          <w:u w:val="none"/>
        </w:rPr>
        <w:t>：</w:t>
      </w:r>
      <w:r>
        <w:rPr>
          <w:rFonts w:hint="eastAsia"/>
          <w:u w:val="none"/>
        </w:rPr>
        <w:t>拐磨子村、古城子村、洼泥甸村、业主沟村是古城镇副中心，促进人口集聚，预留产业发展空间，承担各片区农村的生产和生活综合服务功能</w:t>
      </w:r>
      <w:r>
        <w:rPr>
          <w:u w:val="none"/>
        </w:rPr>
        <w:t>。</w:t>
      </w:r>
    </w:p>
    <w:p w14:paraId="613813DE">
      <w:pPr>
        <w:keepNext w:val="0"/>
        <w:keepLines w:val="0"/>
        <w:pageBreakBefore w:val="0"/>
        <w:widowControl w:val="0"/>
        <w:kinsoku/>
        <w:overflowPunct/>
        <w:topLinePunct w:val="0"/>
        <w:autoSpaceDE/>
        <w:autoSpaceDN/>
        <w:bidi w:val="0"/>
        <w:spacing w:line="600" w:lineRule="exact"/>
        <w:textAlignment w:val="auto"/>
        <w:rPr>
          <w:rFonts w:hint="eastAsia"/>
          <w:u w:val="none"/>
        </w:rPr>
      </w:pPr>
      <w:r>
        <w:rPr>
          <w:rFonts w:hint="eastAsia"/>
          <w:u w:val="none"/>
        </w:rPr>
        <w:t>一般村</w:t>
      </w:r>
      <w:bookmarkEnd w:id="93"/>
      <w:r>
        <w:rPr>
          <w:rFonts w:hint="eastAsia"/>
          <w:u w:val="none"/>
        </w:rPr>
        <w:t>：除中心村外，岔路子村、新江村、江南村、双岭子村、二道沟村、八道沟村、同江村、碱厂沟村等定位为一般村，是农村生活、日常公共服务中心和专业化农业生产基地。</w:t>
      </w:r>
    </w:p>
    <w:p w14:paraId="4F1A4E16">
      <w:pPr>
        <w:pStyle w:val="6"/>
        <w:bidi w:val="0"/>
        <w:rPr>
          <w:rFonts w:hint="eastAsia"/>
          <w:lang w:eastAsia="zh-CN"/>
        </w:rPr>
      </w:pPr>
      <w:r>
        <w:rPr>
          <w:rFonts w:hint="eastAsia"/>
          <w:lang w:eastAsia="zh-CN"/>
        </w:rPr>
        <w:drawing>
          <wp:inline distT="0" distB="0" distL="114300" distR="114300">
            <wp:extent cx="5441315" cy="3850005"/>
            <wp:effectExtent l="0" t="0" r="6985" b="17145"/>
            <wp:docPr id="12" name="图片 12" descr="210522106古城镇10城镇(村)体系规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10522106古城镇10城镇(村)体系规划图"/>
                    <pic:cNvPicPr>
                      <a:picLocks noChangeAspect="1"/>
                    </pic:cNvPicPr>
                  </pic:nvPicPr>
                  <pic:blipFill>
                    <a:blip r:embed="rId23"/>
                    <a:stretch>
                      <a:fillRect/>
                    </a:stretch>
                  </pic:blipFill>
                  <pic:spPr>
                    <a:xfrm>
                      <a:off x="0" y="0"/>
                      <a:ext cx="5441315" cy="3850005"/>
                    </a:xfrm>
                    <a:prstGeom prst="rect">
                      <a:avLst/>
                    </a:prstGeom>
                  </pic:spPr>
                </pic:pic>
              </a:graphicData>
            </a:graphic>
          </wp:inline>
        </w:drawing>
      </w:r>
    </w:p>
    <w:p w14:paraId="3F5F051D">
      <w:pPr>
        <w:pStyle w:val="4"/>
        <w:bidi w:val="0"/>
        <w:ind w:left="0" w:leftChars="0" w:firstLine="420" w:firstLineChars="0"/>
        <w:rPr>
          <w:rFonts w:hint="eastAsia"/>
          <w:color w:val="auto"/>
          <w:u w:val="none"/>
          <w:lang w:val="en-US" w:eastAsia="zh-CN"/>
        </w:rPr>
      </w:pPr>
      <w:r>
        <w:rPr>
          <w:rFonts w:hint="eastAsia"/>
          <w:color w:val="auto"/>
          <w:u w:val="none"/>
          <w:lang w:val="en-US" w:eastAsia="zh-CN"/>
        </w:rPr>
        <w:t>合理控制村庄建设用地规模</w:t>
      </w:r>
    </w:p>
    <w:p w14:paraId="3B53FEBB">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在镇域内统筹分区分类编制村庄规划，合理划定村庄建设边界，控制村庄建设用地总量，重点保障农民建房、村庄内部基础设施和农村公益事业、农村二三产业发展用地，积极复垦、盘活存量集体建设用地，探索农村宅基地所有权、资格权、使用权分置实现形式，健全废弃集体公益性建设用地有偿处置政策，稳妥推进农村集体经营性建设用地入市，推动宜居宜业和美乡村建设</w:t>
      </w:r>
      <w:r>
        <w:rPr>
          <w:u w:val="none"/>
        </w:rPr>
        <w:t>。</w:t>
      </w:r>
    </w:p>
    <w:p w14:paraId="20601391">
      <w:pPr>
        <w:pStyle w:val="3"/>
        <w:bidi w:val="0"/>
        <w:ind w:left="0" w:leftChars="0" w:firstLine="420" w:firstLineChars="0"/>
        <w:rPr>
          <w:rFonts w:hint="eastAsia" w:ascii="黑体" w:hAnsi="黑体" w:eastAsia="黑体" w:cs="黑体"/>
          <w:u w:val="none"/>
          <w:lang w:val="en-US" w:eastAsia="zh-CN"/>
        </w:rPr>
      </w:pPr>
      <w:bookmarkStart w:id="95" w:name="_Toc27766"/>
      <w:bookmarkStart w:id="96" w:name="_Toc10129"/>
      <w:r>
        <w:rPr>
          <w:rFonts w:hint="eastAsia" w:ascii="黑体" w:hAnsi="黑体" w:eastAsia="黑体" w:cs="黑体"/>
          <w:u w:val="none"/>
          <w:lang w:val="en-US" w:eastAsia="zh-CN"/>
        </w:rPr>
        <w:t>村庄分类分型发展</w:t>
      </w:r>
      <w:bookmarkEnd w:id="95"/>
      <w:bookmarkEnd w:id="96"/>
    </w:p>
    <w:p w14:paraId="20DB6E08">
      <w:pPr>
        <w:pStyle w:val="4"/>
        <w:bidi w:val="0"/>
        <w:ind w:left="0" w:leftChars="0" w:firstLine="420" w:firstLineChars="0"/>
        <w:rPr>
          <w:rFonts w:hint="eastAsia"/>
          <w:color w:val="auto"/>
          <w:u w:val="none"/>
          <w:lang w:val="en-US" w:eastAsia="zh-CN"/>
        </w:rPr>
      </w:pPr>
      <w:bookmarkStart w:id="97" w:name="_Toc152937204"/>
      <w:r>
        <w:rPr>
          <w:rFonts w:hint="eastAsia"/>
          <w:color w:val="auto"/>
          <w:u w:val="none"/>
          <w:lang w:val="en-US" w:eastAsia="zh-CN"/>
        </w:rPr>
        <w:t>村庄</w:t>
      </w:r>
      <w:bookmarkEnd w:id="97"/>
      <w:r>
        <w:rPr>
          <w:rFonts w:hint="eastAsia"/>
          <w:color w:val="auto"/>
          <w:u w:val="none"/>
          <w:lang w:val="en-US" w:eastAsia="zh-CN"/>
        </w:rPr>
        <w:t>分类</w:t>
      </w:r>
    </w:p>
    <w:p w14:paraId="1D18DFE8">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改善乡村人居环境，保护提升乡村风貌格局，顺应村庄发展规律和演变趋势，根据不同村庄的发展现状、区位条件、资源禀赋等，加强村庄发展的分类引导，分类推进乡村发展。按照《辽宁省村庄规划编制导则》要求，将古城镇12个行政村划分为集聚建设类、整治提升类、城郊融合类等三种类型，分类施策、统筹推进乡村建设。</w:t>
      </w:r>
    </w:p>
    <w:p w14:paraId="5E528732">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集聚建设类村庄。规划确定江南村、业主沟村为集聚建设类村庄。坚持保护优先、节约优先，配建补齐各类基础设施，加快人居环境整治，建设美丽宜居村庄。通过打造专业村庄，强化对周边村庄的辐射带动和示范作用，引导周边零散居民点向该类型村庄集聚。</w:t>
      </w:r>
    </w:p>
    <w:p w14:paraId="1F1960AF">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整治提升类村庄。规划确定岔路子村、新江村、双岭子村、二道沟村、八道沟村、同江村、碱厂沟村为整治提升类村庄。重点补齐村庄设施短板、强化村庄人居环境整治、保障村民合理建房需求、塑造乡村特色风貌，积极盘活存量用地。</w:t>
      </w:r>
    </w:p>
    <w:p w14:paraId="5C5A9866">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特色保护类村庄。规划确定洼泥甸村为特色保护类村庄，重点挖掘村庄历史文化与特色要素，统筹好保护、利用与发展的关系，充分衔接落实各类历史保护线，合理利用村庄特色资源，适度安排新增建设用地指标，用于发展乡村旅游和特色产业。</w:t>
      </w:r>
    </w:p>
    <w:p w14:paraId="2B9ED30C">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城郊融合类村庄。规划确定古城子村、拐磨子村为城郊融合类村庄。推动城乡产业融合发展、基础设施互联互通、公共服务设施共建共享，打造宜居、宜业、宜游的现代化村庄。鼓励工业企业与农业形成优势互补，共同打造从田间到餐桌的完整产业链。建设现代化的学校、医院、文化广场等公共服务设施，满足村民的基本需求。</w:t>
      </w:r>
    </w:p>
    <w:p w14:paraId="536262BD">
      <w:pPr>
        <w:keepNext w:val="0"/>
        <w:keepLines w:val="0"/>
        <w:pageBreakBefore w:val="0"/>
        <w:widowControl w:val="0"/>
        <w:kinsoku/>
        <w:overflowPunct/>
        <w:topLinePunct w:val="0"/>
        <w:autoSpaceDE/>
        <w:autoSpaceDN/>
        <w:bidi w:val="0"/>
        <w:spacing w:line="600" w:lineRule="exact"/>
        <w:textAlignment w:val="auto"/>
        <w:rPr>
          <w:rFonts w:hint="eastAsia"/>
          <w:u w:val="none"/>
        </w:rPr>
      </w:pPr>
      <w:r>
        <w:rPr>
          <w:rFonts w:hint="eastAsia"/>
          <w:u w:val="none"/>
        </w:rPr>
        <w:t>拆迁撤并类村庄。按照规划布局和合村并镇的要求，经全体村民同意表决，已经向上级部门提出申请，将富尔江村并入古城子村。</w:t>
      </w:r>
    </w:p>
    <w:p w14:paraId="46979403">
      <w:pPr>
        <w:keepNext w:val="0"/>
        <w:keepLines w:val="0"/>
        <w:pageBreakBefore w:val="0"/>
        <w:widowControl w:val="0"/>
        <w:kinsoku/>
        <w:overflowPunct/>
        <w:topLinePunct w:val="0"/>
        <w:autoSpaceDE/>
        <w:autoSpaceDN/>
        <w:bidi w:val="0"/>
        <w:spacing w:line="600" w:lineRule="exact"/>
        <w:textAlignment w:val="auto"/>
        <w:rPr>
          <w:rFonts w:hint="eastAsia"/>
          <w:u w:val="none"/>
        </w:rPr>
      </w:pPr>
    </w:p>
    <w:p w14:paraId="0CA9ECE3">
      <w:pPr>
        <w:keepNext w:val="0"/>
        <w:keepLines w:val="0"/>
        <w:pageBreakBefore w:val="0"/>
        <w:widowControl w:val="0"/>
        <w:kinsoku/>
        <w:wordWrap/>
        <w:overflowPunct/>
        <w:topLinePunct w:val="0"/>
        <w:autoSpaceDE/>
        <w:autoSpaceDN/>
        <w:bidi w:val="0"/>
        <w:adjustRightInd w:val="0"/>
        <w:snapToGrid w:val="0"/>
        <w:spacing w:after="219" w:afterLines="50" w:line="600" w:lineRule="exact"/>
        <w:ind w:firstLine="0" w:firstLineChars="0"/>
        <w:jc w:val="center"/>
        <w:textAlignment w:val="auto"/>
        <w:outlineLvl w:val="9"/>
        <w:rPr>
          <w:rFonts w:hint="eastAsia" w:ascii="黑体" w:hAnsi="黑体" w:eastAsia="黑体" w:cs="黑体"/>
          <w:b w:val="0"/>
          <w:bCs w:val="0"/>
          <w:color w:val="000000"/>
          <w:u w:val="none"/>
        </w:rPr>
      </w:pPr>
      <w:bookmarkStart w:id="98" w:name="_Toc10741"/>
      <w:bookmarkStart w:id="99" w:name="_Toc27219"/>
      <w:r>
        <w:rPr>
          <w:rFonts w:hint="eastAsia" w:ascii="黑体" w:hAnsi="黑体" w:eastAsia="黑体" w:cs="黑体"/>
          <w:b w:val="0"/>
          <w:bCs w:val="0"/>
          <w:color w:val="000000"/>
          <w:u w:val="none"/>
        </w:rPr>
        <w:t>村庄分类统计表</w:t>
      </w:r>
      <w:bookmarkEnd w:id="98"/>
      <w:bookmarkEnd w:id="99"/>
    </w:p>
    <w:tbl>
      <w:tblPr>
        <w:tblStyle w:val="22"/>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0"/>
        <w:gridCol w:w="682"/>
        <w:gridCol w:w="5823"/>
        <w:gridCol w:w="689"/>
      </w:tblGrid>
      <w:tr w14:paraId="4A809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10" w:type="dxa"/>
            <w:noWrap/>
            <w:vAlign w:val="center"/>
          </w:tcPr>
          <w:p w14:paraId="7BE6BAAD">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z w:val="21"/>
                <w:szCs w:val="21"/>
                <w:u w:val="none"/>
                <w14:ligatures w14:val="standardContextual"/>
              </w:rPr>
            </w:pPr>
            <w:r>
              <w:rPr>
                <w:rFonts w:hint="default" w:ascii="Times New Roman" w:hAnsi="Times New Roman" w:cs="Times New Roman"/>
                <w:b/>
                <w:bCs/>
                <w:color w:val="auto"/>
                <w:sz w:val="21"/>
                <w:szCs w:val="21"/>
                <w:u w:val="none"/>
                <w14:ligatures w14:val="standardContextual"/>
              </w:rPr>
              <w:t>行政村类型</w:t>
            </w:r>
          </w:p>
        </w:tc>
        <w:tc>
          <w:tcPr>
            <w:tcW w:w="682" w:type="dxa"/>
            <w:vAlign w:val="center"/>
          </w:tcPr>
          <w:p w14:paraId="16CCBF80">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z w:val="21"/>
                <w:szCs w:val="21"/>
                <w:u w:val="none"/>
                <w14:ligatures w14:val="standardContextual"/>
              </w:rPr>
            </w:pPr>
            <w:r>
              <w:rPr>
                <w:rFonts w:hint="default" w:ascii="Times New Roman" w:hAnsi="Times New Roman" w:cs="Times New Roman"/>
                <w:b/>
                <w:bCs/>
                <w:color w:val="auto"/>
                <w:sz w:val="21"/>
                <w:szCs w:val="21"/>
                <w:u w:val="none"/>
                <w14:ligatures w14:val="standardContextual"/>
              </w:rPr>
              <w:t>数量</w:t>
            </w:r>
          </w:p>
        </w:tc>
        <w:tc>
          <w:tcPr>
            <w:tcW w:w="5823" w:type="dxa"/>
            <w:vAlign w:val="center"/>
          </w:tcPr>
          <w:p w14:paraId="77F0053A">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z w:val="21"/>
                <w:szCs w:val="21"/>
                <w:u w:val="none"/>
                <w14:ligatures w14:val="standardContextual"/>
              </w:rPr>
            </w:pPr>
            <w:r>
              <w:rPr>
                <w:rFonts w:hint="default" w:ascii="Times New Roman" w:hAnsi="Times New Roman" w:cs="Times New Roman"/>
                <w:b/>
                <w:bCs/>
                <w:color w:val="auto"/>
                <w:sz w:val="21"/>
                <w:szCs w:val="21"/>
                <w:u w:val="none"/>
                <w14:ligatures w14:val="standardContextual"/>
              </w:rPr>
              <w:t>行政村名称</w:t>
            </w:r>
          </w:p>
        </w:tc>
        <w:tc>
          <w:tcPr>
            <w:tcW w:w="689" w:type="dxa"/>
            <w:noWrap/>
            <w:vAlign w:val="center"/>
          </w:tcPr>
          <w:p w14:paraId="76578799">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z w:val="21"/>
                <w:szCs w:val="21"/>
                <w:u w:val="none"/>
                <w14:ligatures w14:val="standardContextual"/>
              </w:rPr>
            </w:pPr>
            <w:r>
              <w:rPr>
                <w:rFonts w:hint="default" w:ascii="Times New Roman" w:hAnsi="Times New Roman" w:cs="Times New Roman"/>
                <w:b/>
                <w:bCs/>
                <w:color w:val="auto"/>
                <w:sz w:val="21"/>
                <w:szCs w:val="21"/>
                <w:u w:val="none"/>
                <w14:ligatures w14:val="standardContextual"/>
              </w:rPr>
              <w:t>备注</w:t>
            </w:r>
          </w:p>
        </w:tc>
      </w:tr>
      <w:tr w14:paraId="6AD2E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10" w:type="dxa"/>
            <w:noWrap/>
            <w:vAlign w:val="center"/>
          </w:tcPr>
          <w:p w14:paraId="2537F8E3">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u w:val="none"/>
                <w14:ligatures w14:val="standardContextual"/>
              </w:rPr>
            </w:pPr>
            <w:r>
              <w:rPr>
                <w:rFonts w:hint="default" w:ascii="Times New Roman" w:hAnsi="Times New Roman" w:cs="Times New Roman"/>
                <w:color w:val="auto"/>
                <w:sz w:val="21"/>
                <w:szCs w:val="21"/>
                <w:u w:val="none"/>
                <w14:ligatures w14:val="standardContextual"/>
              </w:rPr>
              <w:t>集聚建设类</w:t>
            </w:r>
          </w:p>
        </w:tc>
        <w:tc>
          <w:tcPr>
            <w:tcW w:w="682" w:type="dxa"/>
            <w:vAlign w:val="center"/>
          </w:tcPr>
          <w:p w14:paraId="1F4E85E9">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1"/>
                <w:u w:val="none"/>
                <w:lang w:eastAsia="zh-CN"/>
                <w14:ligatures w14:val="standardContextual"/>
              </w:rPr>
            </w:pPr>
            <w:r>
              <w:rPr>
                <w:rFonts w:hint="eastAsia" w:ascii="Times New Roman" w:hAnsi="Times New Roman" w:cs="Times New Roman"/>
                <w:color w:val="auto"/>
                <w:sz w:val="21"/>
                <w:szCs w:val="21"/>
                <w:u w:val="none"/>
                <w:lang w:val="en-US" w:eastAsia="zh-CN"/>
                <w14:ligatures w14:val="standardContextual"/>
              </w:rPr>
              <w:t>2</w:t>
            </w:r>
          </w:p>
        </w:tc>
        <w:tc>
          <w:tcPr>
            <w:tcW w:w="5823" w:type="dxa"/>
            <w:vAlign w:val="center"/>
          </w:tcPr>
          <w:p w14:paraId="19C0C57C">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u w:val="none"/>
                <w14:ligatures w14:val="standardContextual"/>
              </w:rPr>
            </w:pPr>
            <w:r>
              <w:rPr>
                <w:rFonts w:hint="default" w:ascii="Times New Roman" w:hAnsi="Times New Roman" w:cs="Times New Roman"/>
                <w:color w:val="auto"/>
                <w:sz w:val="21"/>
                <w:szCs w:val="21"/>
                <w:u w:val="none"/>
                <w14:ligatures w14:val="standardContextual"/>
              </w:rPr>
              <w:t>江南村、业主沟村</w:t>
            </w:r>
          </w:p>
        </w:tc>
        <w:tc>
          <w:tcPr>
            <w:tcW w:w="689" w:type="dxa"/>
            <w:noWrap/>
            <w:vAlign w:val="center"/>
          </w:tcPr>
          <w:p w14:paraId="002AF819">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u w:val="none"/>
                <w14:ligatures w14:val="standardContextual"/>
              </w:rPr>
            </w:pPr>
          </w:p>
        </w:tc>
      </w:tr>
      <w:tr w14:paraId="0E14B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10" w:type="dxa"/>
            <w:noWrap/>
            <w:vAlign w:val="center"/>
          </w:tcPr>
          <w:p w14:paraId="2BB1D12F">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u w:val="none"/>
                <w14:ligatures w14:val="standardContextual"/>
              </w:rPr>
            </w:pPr>
            <w:r>
              <w:rPr>
                <w:rFonts w:hint="default" w:ascii="Times New Roman" w:hAnsi="Times New Roman" w:cs="Times New Roman"/>
                <w:color w:val="auto"/>
                <w:sz w:val="21"/>
                <w:szCs w:val="21"/>
                <w:u w:val="none"/>
                <w14:ligatures w14:val="standardContextual"/>
              </w:rPr>
              <w:t>整治提升类</w:t>
            </w:r>
          </w:p>
        </w:tc>
        <w:tc>
          <w:tcPr>
            <w:tcW w:w="682" w:type="dxa"/>
            <w:vAlign w:val="center"/>
          </w:tcPr>
          <w:p w14:paraId="2FD5D3C2">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1"/>
                <w:u w:val="none"/>
                <w:lang w:eastAsia="zh-CN"/>
                <w14:ligatures w14:val="standardContextual"/>
              </w:rPr>
            </w:pPr>
            <w:r>
              <w:rPr>
                <w:rFonts w:hint="eastAsia" w:ascii="Times New Roman" w:hAnsi="Times New Roman" w:cs="Times New Roman"/>
                <w:color w:val="auto"/>
                <w:sz w:val="21"/>
                <w:szCs w:val="21"/>
                <w:u w:val="none"/>
                <w:lang w:val="en-US" w:eastAsia="zh-CN"/>
                <w14:ligatures w14:val="standardContextual"/>
              </w:rPr>
              <w:t>7</w:t>
            </w:r>
          </w:p>
        </w:tc>
        <w:tc>
          <w:tcPr>
            <w:tcW w:w="5823" w:type="dxa"/>
            <w:vAlign w:val="center"/>
          </w:tcPr>
          <w:p w14:paraId="72C21E04">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u w:val="none"/>
                <w14:ligatures w14:val="standardContextual"/>
              </w:rPr>
            </w:pPr>
            <w:r>
              <w:rPr>
                <w:rFonts w:hint="default" w:ascii="Times New Roman" w:hAnsi="Times New Roman" w:cs="Times New Roman"/>
                <w:color w:val="auto"/>
                <w:sz w:val="21"/>
                <w:szCs w:val="21"/>
                <w:u w:val="none"/>
                <w14:ligatures w14:val="standardContextual"/>
              </w:rPr>
              <w:t>岔路子村、新江村、双岭子村、二道沟村、</w:t>
            </w:r>
          </w:p>
          <w:p w14:paraId="48A6FEC8">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u w:val="none"/>
                <w14:ligatures w14:val="standardContextual"/>
              </w:rPr>
            </w:pPr>
            <w:r>
              <w:rPr>
                <w:rFonts w:hint="default" w:ascii="Times New Roman" w:hAnsi="Times New Roman" w:cs="Times New Roman"/>
                <w:color w:val="auto"/>
                <w:sz w:val="21"/>
                <w:szCs w:val="21"/>
                <w:u w:val="none"/>
                <w14:ligatures w14:val="standardContextual"/>
              </w:rPr>
              <w:t>八道沟村、同江村、碱厂沟村</w:t>
            </w:r>
          </w:p>
        </w:tc>
        <w:tc>
          <w:tcPr>
            <w:tcW w:w="689" w:type="dxa"/>
            <w:noWrap/>
            <w:vAlign w:val="center"/>
          </w:tcPr>
          <w:p w14:paraId="2E2351BD">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u w:val="none"/>
                <w14:ligatures w14:val="standardContextual"/>
              </w:rPr>
            </w:pPr>
          </w:p>
        </w:tc>
      </w:tr>
      <w:tr w14:paraId="63F52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10" w:type="dxa"/>
            <w:noWrap/>
            <w:vAlign w:val="center"/>
          </w:tcPr>
          <w:p w14:paraId="7EA9B33A">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u w:val="none"/>
                <w14:ligatures w14:val="standardContextual"/>
              </w:rPr>
            </w:pPr>
            <w:r>
              <w:rPr>
                <w:rFonts w:hint="default" w:ascii="Times New Roman" w:hAnsi="Times New Roman" w:cs="Times New Roman"/>
                <w:color w:val="auto"/>
                <w:sz w:val="21"/>
                <w:szCs w:val="21"/>
                <w:u w:val="none"/>
                <w14:ligatures w14:val="standardContextual"/>
              </w:rPr>
              <w:t>城郊融合类</w:t>
            </w:r>
          </w:p>
        </w:tc>
        <w:tc>
          <w:tcPr>
            <w:tcW w:w="682" w:type="dxa"/>
            <w:vAlign w:val="center"/>
          </w:tcPr>
          <w:p w14:paraId="324B2D38">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1"/>
                <w:u w:val="none"/>
                <w:lang w:eastAsia="zh-CN"/>
                <w14:ligatures w14:val="standardContextual"/>
              </w:rPr>
            </w:pPr>
            <w:r>
              <w:rPr>
                <w:rFonts w:hint="eastAsia" w:ascii="Times New Roman" w:hAnsi="Times New Roman" w:cs="Times New Roman"/>
                <w:color w:val="auto"/>
                <w:sz w:val="21"/>
                <w:szCs w:val="21"/>
                <w:u w:val="none"/>
                <w:lang w:val="en-US" w:eastAsia="zh-CN"/>
                <w14:ligatures w14:val="standardContextual"/>
              </w:rPr>
              <w:t>2</w:t>
            </w:r>
          </w:p>
        </w:tc>
        <w:tc>
          <w:tcPr>
            <w:tcW w:w="5823" w:type="dxa"/>
            <w:vAlign w:val="center"/>
          </w:tcPr>
          <w:p w14:paraId="3AA60EF1">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u w:val="none"/>
                <w14:ligatures w14:val="standardContextual"/>
              </w:rPr>
            </w:pPr>
            <w:r>
              <w:rPr>
                <w:rFonts w:hint="default" w:ascii="Times New Roman" w:hAnsi="Times New Roman" w:cs="Times New Roman"/>
                <w:color w:val="auto"/>
                <w:sz w:val="21"/>
                <w:szCs w:val="21"/>
                <w:u w:val="none"/>
                <w14:ligatures w14:val="standardContextual"/>
              </w:rPr>
              <w:t>古城子村、拐磨子村</w:t>
            </w:r>
          </w:p>
        </w:tc>
        <w:tc>
          <w:tcPr>
            <w:tcW w:w="689" w:type="dxa"/>
            <w:noWrap/>
            <w:vAlign w:val="center"/>
          </w:tcPr>
          <w:p w14:paraId="3A8901A9">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u w:val="none"/>
                <w14:ligatures w14:val="standardContextual"/>
              </w:rPr>
            </w:pPr>
          </w:p>
        </w:tc>
      </w:tr>
      <w:tr w14:paraId="64B76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10" w:type="dxa"/>
            <w:noWrap/>
            <w:vAlign w:val="center"/>
          </w:tcPr>
          <w:p w14:paraId="36B8B50F">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eastAsia" w:ascii="Times New Roman" w:hAnsi="Times New Roman" w:cs="Times New Roman"/>
                <w:color w:val="auto"/>
                <w:sz w:val="21"/>
                <w:szCs w:val="21"/>
                <w:u w:val="none"/>
                <w:lang w:val="en-US" w:eastAsia="zh-CN"/>
                <w14:ligatures w14:val="standardContextual"/>
              </w:rPr>
              <w:t>特色保护类</w:t>
            </w:r>
          </w:p>
        </w:tc>
        <w:tc>
          <w:tcPr>
            <w:tcW w:w="682" w:type="dxa"/>
            <w:vAlign w:val="center"/>
          </w:tcPr>
          <w:p w14:paraId="6CF79AB1">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u w:val="none"/>
                <w:lang w:val="en-US" w:eastAsia="zh-CN"/>
                <w14:ligatures w14:val="standardContextual"/>
              </w:rPr>
            </w:pPr>
            <w:r>
              <w:rPr>
                <w:rFonts w:hint="eastAsia" w:ascii="Times New Roman" w:hAnsi="Times New Roman" w:cs="Times New Roman"/>
                <w:color w:val="auto"/>
                <w:sz w:val="21"/>
                <w:szCs w:val="21"/>
                <w:u w:val="none"/>
                <w:lang w:val="en-US" w:eastAsia="zh-CN"/>
                <w14:ligatures w14:val="standardContextual"/>
              </w:rPr>
              <w:t>1</w:t>
            </w:r>
          </w:p>
        </w:tc>
        <w:tc>
          <w:tcPr>
            <w:tcW w:w="5823" w:type="dxa"/>
            <w:vAlign w:val="center"/>
          </w:tcPr>
          <w:p w14:paraId="210D0D37">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u w:val="none"/>
                <w14:ligatures w14:val="standardContextual"/>
              </w:rPr>
            </w:pPr>
            <w:r>
              <w:rPr>
                <w:rFonts w:hint="default" w:ascii="Times New Roman" w:hAnsi="Times New Roman" w:cs="Times New Roman"/>
                <w:color w:val="auto"/>
                <w:sz w:val="21"/>
                <w:szCs w:val="21"/>
                <w:u w:val="none"/>
                <w14:ligatures w14:val="standardContextual"/>
              </w:rPr>
              <w:t>洼泥甸村</w:t>
            </w:r>
          </w:p>
        </w:tc>
        <w:tc>
          <w:tcPr>
            <w:tcW w:w="689" w:type="dxa"/>
            <w:noWrap/>
            <w:vAlign w:val="center"/>
          </w:tcPr>
          <w:p w14:paraId="6561AC2A">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u w:val="none"/>
                <w14:ligatures w14:val="standardContextual"/>
              </w:rPr>
            </w:pPr>
          </w:p>
        </w:tc>
      </w:tr>
    </w:tbl>
    <w:p w14:paraId="509E7692">
      <w:pPr>
        <w:keepNext w:val="0"/>
        <w:keepLines w:val="0"/>
        <w:pageBreakBefore w:val="0"/>
        <w:widowControl w:val="0"/>
        <w:kinsoku/>
        <w:overflowPunct/>
        <w:topLinePunct w:val="0"/>
        <w:autoSpaceDE/>
        <w:autoSpaceDN/>
        <w:bidi w:val="0"/>
        <w:spacing w:line="600" w:lineRule="exact"/>
        <w:textAlignment w:val="auto"/>
        <w:rPr>
          <w:rFonts w:hint="eastAsia"/>
          <w:u w:val="none"/>
        </w:rPr>
      </w:pPr>
    </w:p>
    <w:p w14:paraId="0713330D">
      <w:pPr>
        <w:pStyle w:val="4"/>
        <w:bidi w:val="0"/>
        <w:ind w:left="0" w:leftChars="0" w:firstLine="420" w:firstLineChars="0"/>
        <w:rPr>
          <w:rFonts w:hint="eastAsia"/>
          <w:color w:val="auto"/>
          <w:u w:val="none"/>
          <w:lang w:val="en-US" w:eastAsia="zh-CN"/>
        </w:rPr>
      </w:pPr>
      <w:r>
        <w:rPr>
          <w:rFonts w:hint="eastAsia"/>
          <w:color w:val="auto"/>
          <w:u w:val="none"/>
          <w:lang w:val="en-US" w:eastAsia="zh-CN"/>
        </w:rPr>
        <w:t>居民点分型</w:t>
      </w:r>
    </w:p>
    <w:p w14:paraId="069A3C56">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居民点分型在尊重村民意愿的基础上，结合村庄建设用地规模、人口规模、产业发展、空心化程度等因素，将各行政村内的居民点分为“增量型、等量型、减量型”三种类型，作为村庄规划用地管控及指标投放的依据。</w:t>
      </w:r>
    </w:p>
    <w:p w14:paraId="66097513">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增量型原则上是指有新增建设用地指标的中心村或其他自然村。该型自然村是村内一二三产业融合与人口集中安置的重要承载空间；是行政村内新增建设用地指标的主要投放空间；是行政村内增减挂钩流量指标调入区。</w:t>
      </w:r>
    </w:p>
    <w:p w14:paraId="13DD3ED5">
      <w:pPr>
        <w:keepNext w:val="0"/>
        <w:keepLines w:val="0"/>
        <w:pageBreakBefore w:val="0"/>
        <w:widowControl w:val="0"/>
        <w:kinsoku/>
        <w:overflowPunct/>
        <w:topLinePunct w:val="0"/>
        <w:autoSpaceDE/>
        <w:autoSpaceDN/>
        <w:bidi w:val="0"/>
        <w:spacing w:line="600" w:lineRule="exact"/>
        <w:textAlignment w:val="auto"/>
        <w:rPr>
          <w:rFonts w:hint="eastAsia"/>
          <w:u w:val="none"/>
        </w:rPr>
      </w:pPr>
      <w:r>
        <w:rPr>
          <w:rFonts w:hint="eastAsia"/>
          <w:u w:val="none"/>
        </w:rPr>
        <w:t>等量型原则上是指在自然村内部进行建设用地等量增减的村庄。该型自然村通过整理零散用地、盘活闲置低效用地、实施增减挂钩等方式，实现村庄用地布局优化和有机更新。</w:t>
      </w:r>
    </w:p>
    <w:p w14:paraId="29C03E8F">
      <w:pPr>
        <w:keepNext w:val="0"/>
        <w:keepLines w:val="0"/>
        <w:pageBreakBefore w:val="0"/>
        <w:widowControl w:val="0"/>
        <w:kinsoku/>
        <w:overflowPunct/>
        <w:topLinePunct w:val="0"/>
        <w:autoSpaceDE/>
        <w:autoSpaceDN/>
        <w:bidi w:val="0"/>
        <w:spacing w:line="600" w:lineRule="exact"/>
        <w:textAlignment w:val="auto"/>
        <w:rPr>
          <w:rFonts w:hint="eastAsia"/>
          <w:u w:val="none"/>
        </w:rPr>
      </w:pPr>
      <w:r>
        <w:rPr>
          <w:rFonts w:hint="eastAsia"/>
          <w:u w:val="none"/>
        </w:rPr>
        <w:t>减量型原则上是指建设用地逐步减少以及撤并的自然村。该型自然村作为增减挂钩指标调出的主要区域。</w:t>
      </w:r>
    </w:p>
    <w:p w14:paraId="10631F84">
      <w:pPr>
        <w:keepNext w:val="0"/>
        <w:keepLines w:val="0"/>
        <w:pageBreakBefore w:val="0"/>
        <w:widowControl w:val="0"/>
        <w:kinsoku/>
        <w:overflowPunct/>
        <w:topLinePunct w:val="0"/>
        <w:autoSpaceDE/>
        <w:autoSpaceDN/>
        <w:bidi w:val="0"/>
        <w:spacing w:line="600" w:lineRule="exact"/>
        <w:textAlignment w:val="auto"/>
        <w:rPr>
          <w:rFonts w:hint="eastAsia"/>
          <w:u w:val="none"/>
        </w:rPr>
      </w:pPr>
    </w:p>
    <w:p w14:paraId="6DB53C2E">
      <w:pPr>
        <w:pStyle w:val="6"/>
        <w:bidi w:val="0"/>
        <w:rPr>
          <w:rFonts w:hint="eastAsia"/>
        </w:rPr>
      </w:pPr>
      <w:r>
        <w:rPr>
          <w:rFonts w:hint="eastAsia"/>
        </w:rPr>
        <w:drawing>
          <wp:inline distT="0" distB="0" distL="114300" distR="114300">
            <wp:extent cx="5441315" cy="3850005"/>
            <wp:effectExtent l="0" t="0" r="6985" b="17145"/>
            <wp:docPr id="13" name="图片 13" descr="210522106古城镇11村庄布点规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210522106古城镇11村庄布点规划图"/>
                    <pic:cNvPicPr>
                      <a:picLocks noChangeAspect="1"/>
                    </pic:cNvPicPr>
                  </pic:nvPicPr>
                  <pic:blipFill>
                    <a:blip r:embed="rId24"/>
                    <a:stretch>
                      <a:fillRect/>
                    </a:stretch>
                  </pic:blipFill>
                  <pic:spPr>
                    <a:xfrm>
                      <a:off x="0" y="0"/>
                      <a:ext cx="5441315" cy="3850005"/>
                    </a:xfrm>
                    <a:prstGeom prst="rect">
                      <a:avLst/>
                    </a:prstGeom>
                  </pic:spPr>
                </pic:pic>
              </a:graphicData>
            </a:graphic>
          </wp:inline>
        </w:drawing>
      </w:r>
    </w:p>
    <w:p w14:paraId="2D84DB40">
      <w:pPr>
        <w:rPr>
          <w:rFonts w:hint="eastAsia"/>
        </w:rPr>
      </w:pPr>
    </w:p>
    <w:p w14:paraId="1EE1E135">
      <w:pPr>
        <w:rPr>
          <w:rFonts w:hint="eastAsia"/>
        </w:rPr>
      </w:pPr>
    </w:p>
    <w:p w14:paraId="12071EA4">
      <w:pPr>
        <w:keepNext w:val="0"/>
        <w:keepLines w:val="0"/>
        <w:pageBreakBefore w:val="0"/>
        <w:widowControl w:val="0"/>
        <w:kinsoku/>
        <w:wordWrap/>
        <w:overflowPunct/>
        <w:topLinePunct w:val="0"/>
        <w:autoSpaceDE/>
        <w:autoSpaceDN/>
        <w:bidi w:val="0"/>
        <w:adjustRightInd w:val="0"/>
        <w:snapToGrid w:val="0"/>
        <w:spacing w:after="219" w:afterLines="50" w:line="600" w:lineRule="exact"/>
        <w:ind w:firstLine="0" w:firstLineChars="0"/>
        <w:jc w:val="center"/>
        <w:textAlignment w:val="auto"/>
        <w:outlineLvl w:val="9"/>
        <w:rPr>
          <w:rFonts w:hint="eastAsia" w:ascii="黑体" w:hAnsi="黑体" w:eastAsia="黑体" w:cs="黑体"/>
          <w:b w:val="0"/>
          <w:bCs w:val="0"/>
          <w:color w:val="000000"/>
          <w:u w:val="none"/>
        </w:rPr>
      </w:pPr>
      <w:bookmarkStart w:id="100" w:name="_Toc10137"/>
      <w:bookmarkStart w:id="101" w:name="_Toc18149"/>
      <w:bookmarkStart w:id="102" w:name="_Toc28414"/>
      <w:bookmarkStart w:id="103" w:name="_Toc14270"/>
      <w:r>
        <w:rPr>
          <w:rFonts w:hint="eastAsia" w:ascii="黑体" w:hAnsi="黑体" w:eastAsia="黑体" w:cs="黑体"/>
          <w:b w:val="0"/>
          <w:bCs w:val="0"/>
          <w:color w:val="000000"/>
          <w:u w:val="none"/>
        </w:rPr>
        <w:t>村庄分</w:t>
      </w:r>
      <w:r>
        <w:rPr>
          <w:rFonts w:hint="eastAsia" w:ascii="黑体" w:hAnsi="黑体" w:eastAsia="黑体" w:cs="黑体"/>
          <w:b w:val="0"/>
          <w:bCs w:val="0"/>
          <w:color w:val="000000"/>
          <w:u w:val="none"/>
          <w:lang w:val="en-US" w:eastAsia="zh-CN"/>
        </w:rPr>
        <w:t>型</w:t>
      </w:r>
      <w:r>
        <w:rPr>
          <w:rFonts w:hint="eastAsia" w:ascii="黑体" w:hAnsi="黑体" w:eastAsia="黑体" w:cs="黑体"/>
          <w:b w:val="0"/>
          <w:bCs w:val="0"/>
          <w:color w:val="000000"/>
          <w:u w:val="none"/>
        </w:rPr>
        <w:t>表</w:t>
      </w:r>
      <w:bookmarkEnd w:id="100"/>
      <w:bookmarkEnd w:id="101"/>
      <w:bookmarkEnd w:id="102"/>
      <w:bookmarkEnd w:id="103"/>
    </w:p>
    <w:tbl>
      <w:tblPr>
        <w:tblStyle w:val="9"/>
        <w:tblW w:w="483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00"/>
        <w:gridCol w:w="1875"/>
        <w:gridCol w:w="2338"/>
        <w:gridCol w:w="2513"/>
        <w:gridCol w:w="978"/>
      </w:tblGrid>
      <w:tr w14:paraId="702D7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blHeader/>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64ED6">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sz w:val="21"/>
                <w:szCs w:val="24"/>
                <w:u w:val="none"/>
              </w:rPr>
            </w:pPr>
            <w:r>
              <w:rPr>
                <w:rFonts w:hint="default" w:ascii="Times New Roman" w:hAnsi="Times New Roman" w:eastAsia="仿宋_GB2312" w:cs="Times New Roman"/>
                <w:b/>
                <w:bCs/>
                <w:color w:val="auto"/>
                <w:sz w:val="21"/>
                <w:szCs w:val="24"/>
                <w:u w:val="none"/>
                <w:lang w:val="en-US" w:eastAsia="zh-CN"/>
              </w:rPr>
              <w:t>序号</w:t>
            </w:r>
          </w:p>
        </w:tc>
        <w:tc>
          <w:tcPr>
            <w:tcW w:w="11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F56AF">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sz w:val="21"/>
                <w:szCs w:val="24"/>
                <w:u w:val="none"/>
              </w:rPr>
            </w:pPr>
            <w:r>
              <w:rPr>
                <w:rFonts w:hint="default" w:ascii="Times New Roman" w:hAnsi="Times New Roman" w:eastAsia="仿宋_GB2312" w:cs="Times New Roman"/>
                <w:b/>
                <w:bCs/>
                <w:color w:val="auto"/>
                <w:sz w:val="21"/>
                <w:szCs w:val="24"/>
                <w:u w:val="none"/>
                <w:lang w:val="en-US" w:eastAsia="zh-CN"/>
              </w:rPr>
              <w:t>村庄名称</w:t>
            </w: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B9B87">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sz w:val="21"/>
                <w:szCs w:val="24"/>
                <w:u w:val="none"/>
              </w:rPr>
            </w:pPr>
            <w:r>
              <w:rPr>
                <w:rFonts w:hint="default" w:ascii="Times New Roman" w:hAnsi="Times New Roman" w:eastAsia="仿宋_GB2312" w:cs="Times New Roman"/>
                <w:b/>
                <w:bCs/>
                <w:color w:val="auto"/>
                <w:sz w:val="21"/>
                <w:szCs w:val="24"/>
                <w:u w:val="none"/>
                <w:lang w:val="en-US" w:eastAsia="zh-CN"/>
              </w:rPr>
              <w:t>自然村名称</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78848">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sz w:val="21"/>
                <w:szCs w:val="24"/>
                <w:u w:val="none"/>
              </w:rPr>
            </w:pPr>
            <w:r>
              <w:rPr>
                <w:rFonts w:hint="default" w:ascii="Times New Roman" w:hAnsi="Times New Roman" w:eastAsia="仿宋_GB2312" w:cs="Times New Roman"/>
                <w:b/>
                <w:bCs/>
                <w:color w:val="auto"/>
                <w:sz w:val="21"/>
                <w:szCs w:val="24"/>
                <w:u w:val="none"/>
                <w:lang w:val="en-US" w:eastAsia="zh-CN"/>
              </w:rPr>
              <w:t>分型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465E4">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sz w:val="21"/>
                <w:szCs w:val="24"/>
                <w:u w:val="none"/>
              </w:rPr>
            </w:pPr>
            <w:r>
              <w:rPr>
                <w:rFonts w:hint="default" w:ascii="Times New Roman" w:hAnsi="Times New Roman" w:eastAsia="仿宋_GB2312" w:cs="Times New Roman"/>
                <w:b/>
                <w:bCs/>
                <w:color w:val="auto"/>
                <w:sz w:val="21"/>
                <w:szCs w:val="24"/>
                <w:u w:val="none"/>
                <w:lang w:val="en-US" w:eastAsia="zh-CN"/>
              </w:rPr>
              <w:t>备注</w:t>
            </w:r>
          </w:p>
        </w:tc>
      </w:tr>
      <w:tr w14:paraId="1A2EA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60470">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14:paraId="7E4513F4">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rPr>
            </w:pPr>
            <w:r>
              <w:rPr>
                <w:rFonts w:hint="default" w:ascii="Times New Roman" w:hAnsi="Times New Roman" w:eastAsia="仿宋_GB2312" w:cs="Times New Roman"/>
                <w:color w:val="auto"/>
                <w:sz w:val="21"/>
                <w:szCs w:val="24"/>
                <w:u w:val="none"/>
              </w:rPr>
              <w:t>业主沟村</w:t>
            </w: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F88A61">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王家街</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0F208">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eastAsia" w:ascii="Times New Roman" w:hAnsi="Times New Roman" w:cs="Times New Roman"/>
                <w:color w:val="000000"/>
                <w:sz w:val="21"/>
                <w:szCs w:val="16"/>
                <w:u w:val="none"/>
                <w:lang w:val="en-US" w:eastAsia="zh-CN"/>
              </w:rPr>
              <w:t>增</w:t>
            </w:r>
            <w:r>
              <w:rPr>
                <w:rFonts w:hint="default" w:ascii="Times New Roman" w:hAnsi="Times New Roman" w:eastAsia="仿宋_GB2312" w:cs="Times New Roman"/>
                <w:color w:val="000000"/>
                <w:sz w:val="21"/>
                <w:szCs w:val="16"/>
                <w:u w:val="none"/>
              </w:rPr>
              <w:t>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7F4C8">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543C1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F8A43">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486860DB">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9AA649">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趟子岭</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91B44">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FEFC2">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4BA29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7F834">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582391C5">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BFDB33">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川瓢子沟</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338B9">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E21DA">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41990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492DD">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587890D0">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BAE3DE">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邵家街</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B5DE8">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C989F">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5845C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6ABEB">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14E60FF5">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880447">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小洞子</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4C5C8">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26163">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2E888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4357A">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0F58F9A6">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B18D1B">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对砬子</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4C15B">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7A757">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40258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74004">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62EB2D82">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AC88D4">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坑火洛村</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28CC8">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83264">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2B9D5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06898">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0200A795">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31495B">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南岔</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669F2">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7FCF4">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79491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EB4A8">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3B28C398">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2E3E15">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马蹄沟</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BAD3A">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4BF0B">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0227A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D4BCE">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57BC1CF5">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057391">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长岗子</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EB1EC">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79FC6">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24571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99688">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56A24861">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5F008B">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趟石砬子</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4A489">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9E6A1">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3D5F2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51300">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5F726FAB">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F1841C">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业主沟村</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1978E">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26F53">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72DEF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0710C">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47E2B3FD">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7479CD">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杨家街</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BC5D1">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1FF32">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73F1A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D19AE">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22238525">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AAAEC6">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井家街</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45786">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FBC7B">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118BD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A0E08">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5E387D07">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2AA405">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江东村</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BDC66">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D2BCF">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0041B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190DA">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468BE6C5">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830222">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都家街</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EC44F">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42127">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30B50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2E80C">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5464FD67">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6C18B8">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小北沟村</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DA575">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E6E65">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1C670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57598">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19572351">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51BEC0">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刘家街</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BEEC7">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56E4A">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7D291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DA9D3">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7609617A">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0F2046">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老砬子村</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C649D">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5D769">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49533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C8FE7">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1D6C7EC5">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5A8631">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上街</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CC77E">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E5612">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18EB1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93D95">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3B1C9DCC">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FAB072">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庆岭金沟</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CB951">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D773D">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16922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A5D56">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2953FD25">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CD9E7D">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江北</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4555B">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245CB">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6D8C6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5598E">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4741E6D4">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14D756">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老砬子</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8F255">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69143">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4C45A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86AB1">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105382DC">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7FF68B">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迪太底</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0E9C7">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000000"/>
                <w:sz w:val="21"/>
                <w:szCs w:val="16"/>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2A195">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05A7E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2325A">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4818E172">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0BA4D4">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老砬子沟</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3E584">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EB54A">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65848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70" w:type="pct"/>
            <w:tcBorders>
              <w:top w:val="nil"/>
              <w:left w:val="single" w:color="000000" w:sz="4" w:space="0"/>
              <w:bottom w:val="single" w:color="000000" w:sz="4" w:space="0"/>
              <w:right w:val="single" w:color="auto" w:sz="4" w:space="0"/>
            </w:tcBorders>
            <w:shd w:val="clear" w:color="auto" w:fill="auto"/>
            <w:noWrap/>
            <w:vAlign w:val="center"/>
          </w:tcPr>
          <w:p w14:paraId="4B9489CB">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restart"/>
            <w:tcBorders>
              <w:top w:val="single" w:color="auto" w:sz="4" w:space="0"/>
              <w:left w:val="single" w:color="auto" w:sz="4" w:space="0"/>
              <w:right w:val="single" w:color="auto" w:sz="4" w:space="0"/>
            </w:tcBorders>
            <w:shd w:val="clear" w:color="auto" w:fill="auto"/>
            <w:noWrap/>
            <w:vAlign w:val="center"/>
          </w:tcPr>
          <w:p w14:paraId="2A8920D1">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rPr>
              <w:t>新江村</w:t>
            </w:r>
          </w:p>
        </w:tc>
        <w:tc>
          <w:tcPr>
            <w:tcW w:w="1374" w:type="pct"/>
            <w:tcBorders>
              <w:top w:val="single" w:color="auto" w:sz="4" w:space="0"/>
              <w:left w:val="single" w:color="auto" w:sz="4" w:space="0"/>
              <w:bottom w:val="single" w:color="000000" w:sz="4" w:space="0"/>
              <w:right w:val="single" w:color="000000" w:sz="4" w:space="0"/>
            </w:tcBorders>
            <w:shd w:val="clear" w:color="auto" w:fill="auto"/>
            <w:noWrap/>
            <w:vAlign w:val="bottom"/>
          </w:tcPr>
          <w:p w14:paraId="234D254F">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新江村</w:t>
            </w:r>
          </w:p>
        </w:tc>
        <w:tc>
          <w:tcPr>
            <w:tcW w:w="1477" w:type="pct"/>
            <w:tcBorders>
              <w:top w:val="nil"/>
              <w:left w:val="single" w:color="000000" w:sz="4" w:space="0"/>
              <w:bottom w:val="single" w:color="000000" w:sz="4" w:space="0"/>
              <w:right w:val="single" w:color="000000" w:sz="4" w:space="0"/>
            </w:tcBorders>
            <w:shd w:val="clear" w:color="auto" w:fill="auto"/>
            <w:noWrap/>
            <w:vAlign w:val="center"/>
          </w:tcPr>
          <w:p w14:paraId="31FD630B">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nil"/>
              <w:left w:val="single" w:color="000000" w:sz="4" w:space="0"/>
              <w:bottom w:val="single" w:color="000000" w:sz="4" w:space="0"/>
              <w:right w:val="single" w:color="000000" w:sz="4" w:space="0"/>
            </w:tcBorders>
            <w:shd w:val="clear" w:color="auto" w:fill="auto"/>
            <w:noWrap/>
            <w:vAlign w:val="center"/>
          </w:tcPr>
          <w:p w14:paraId="1DD13A23">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3568D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1BE6CB0A">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left w:val="single" w:color="auto" w:sz="4" w:space="0"/>
              <w:right w:val="single" w:color="auto" w:sz="4" w:space="0"/>
            </w:tcBorders>
            <w:shd w:val="clear" w:color="auto" w:fill="auto"/>
            <w:noWrap/>
            <w:vAlign w:val="center"/>
          </w:tcPr>
          <w:p w14:paraId="0228EA60">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auto" w:sz="4" w:space="0"/>
              <w:bottom w:val="single" w:color="000000" w:sz="4" w:space="0"/>
              <w:right w:val="single" w:color="000000" w:sz="4" w:space="0"/>
            </w:tcBorders>
            <w:shd w:val="clear" w:color="auto" w:fill="auto"/>
            <w:noWrap/>
            <w:vAlign w:val="bottom"/>
          </w:tcPr>
          <w:p w14:paraId="23E7B49F">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小干沟子</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A622B">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5BE8F">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308E0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58A55B01">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left w:val="single" w:color="auto" w:sz="4" w:space="0"/>
              <w:right w:val="single" w:color="auto" w:sz="4" w:space="0"/>
            </w:tcBorders>
            <w:shd w:val="clear" w:color="auto" w:fill="auto"/>
            <w:noWrap/>
            <w:vAlign w:val="center"/>
          </w:tcPr>
          <w:p w14:paraId="0D093A98">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auto" w:sz="4" w:space="0"/>
              <w:bottom w:val="single" w:color="000000" w:sz="4" w:space="0"/>
              <w:right w:val="single" w:color="000000" w:sz="4" w:space="0"/>
            </w:tcBorders>
            <w:shd w:val="clear" w:color="auto" w:fill="auto"/>
            <w:noWrap/>
            <w:vAlign w:val="bottom"/>
          </w:tcPr>
          <w:p w14:paraId="4D6C1D96">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泉源沟</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08379">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02E72">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0FAB6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5CB1FA6C">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left w:val="single" w:color="auto" w:sz="4" w:space="0"/>
              <w:right w:val="single" w:color="auto" w:sz="4" w:space="0"/>
            </w:tcBorders>
            <w:shd w:val="clear" w:color="auto" w:fill="auto"/>
            <w:noWrap/>
            <w:vAlign w:val="center"/>
          </w:tcPr>
          <w:p w14:paraId="73861DBE">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auto" w:sz="4" w:space="0"/>
              <w:bottom w:val="single" w:color="000000" w:sz="4" w:space="0"/>
              <w:right w:val="single" w:color="000000" w:sz="4" w:space="0"/>
            </w:tcBorders>
            <w:shd w:val="clear" w:color="auto" w:fill="auto"/>
            <w:noWrap/>
            <w:vAlign w:val="bottom"/>
          </w:tcPr>
          <w:p w14:paraId="28F2958E">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井沿</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92FA9">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2CCCC">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1C20A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9209C">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left w:val="single" w:color="auto" w:sz="4" w:space="0"/>
              <w:right w:val="single" w:color="auto" w:sz="4" w:space="0"/>
            </w:tcBorders>
            <w:shd w:val="clear" w:color="auto" w:fill="auto"/>
            <w:noWrap/>
            <w:vAlign w:val="center"/>
          </w:tcPr>
          <w:p w14:paraId="73138127">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lang w:val="en-US" w:eastAsia="zh-CN"/>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104532">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地印子</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82376">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43722">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42B49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FA5A3">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left w:val="single" w:color="auto" w:sz="4" w:space="0"/>
              <w:right w:val="single" w:color="auto" w:sz="4" w:space="0"/>
            </w:tcBorders>
            <w:shd w:val="clear" w:color="auto" w:fill="auto"/>
            <w:noWrap/>
            <w:vAlign w:val="center"/>
          </w:tcPr>
          <w:p w14:paraId="3A938445">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6E5BE6">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腰段</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4AFDF">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B931B">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12EED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534BC">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left w:val="single" w:color="auto" w:sz="4" w:space="0"/>
              <w:right w:val="single" w:color="auto" w:sz="4" w:space="0"/>
            </w:tcBorders>
            <w:shd w:val="clear" w:color="auto" w:fill="auto"/>
            <w:noWrap/>
            <w:vAlign w:val="center"/>
          </w:tcPr>
          <w:p w14:paraId="2F841132">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E67204">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庙沟门</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97D23">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993A8">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071B2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4B527">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left w:val="single" w:color="auto" w:sz="4" w:space="0"/>
              <w:right w:val="single" w:color="auto" w:sz="4" w:space="0"/>
            </w:tcBorders>
            <w:shd w:val="clear" w:color="auto" w:fill="auto"/>
            <w:noWrap/>
            <w:vAlign w:val="center"/>
          </w:tcPr>
          <w:p w14:paraId="16D158E9">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9A4864">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响呱地沟</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201F3">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87202">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6CC4A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84A45">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left w:val="single" w:color="auto" w:sz="4" w:space="0"/>
              <w:right w:val="single" w:color="auto" w:sz="4" w:space="0"/>
            </w:tcBorders>
            <w:shd w:val="clear" w:color="auto" w:fill="auto"/>
            <w:noWrap/>
            <w:vAlign w:val="center"/>
          </w:tcPr>
          <w:p w14:paraId="046AA666">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946016">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孤砬子沟</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C4F70">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4CC25">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518A5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ED25D">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left w:val="single" w:color="auto" w:sz="4" w:space="0"/>
              <w:right w:val="single" w:color="auto" w:sz="4" w:space="0"/>
            </w:tcBorders>
            <w:shd w:val="clear" w:color="auto" w:fill="auto"/>
            <w:noWrap/>
            <w:vAlign w:val="center"/>
          </w:tcPr>
          <w:p w14:paraId="70A726E8">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5B47EE">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樊家屯村</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3E25D">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EB770">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745CA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9AE67">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left w:val="single" w:color="auto" w:sz="4" w:space="0"/>
              <w:right w:val="single" w:color="auto" w:sz="4" w:space="0"/>
            </w:tcBorders>
            <w:shd w:val="clear" w:color="auto" w:fill="auto"/>
            <w:noWrap/>
            <w:vAlign w:val="center"/>
          </w:tcPr>
          <w:p w14:paraId="2C420E02">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A465E8">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干沟子</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50045">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FCB76">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1D2EA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A7B4F">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left w:val="single" w:color="auto" w:sz="4" w:space="0"/>
              <w:right w:val="single" w:color="auto" w:sz="4" w:space="0"/>
            </w:tcBorders>
            <w:shd w:val="clear" w:color="auto" w:fill="auto"/>
            <w:noWrap/>
            <w:vAlign w:val="center"/>
          </w:tcPr>
          <w:p w14:paraId="18DB2D76">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8C9349">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西沟</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6D29E">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B01B7">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7D422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40A93">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left w:val="single" w:color="auto" w:sz="4" w:space="0"/>
              <w:right w:val="single" w:color="auto" w:sz="4" w:space="0"/>
            </w:tcBorders>
            <w:shd w:val="clear" w:color="auto" w:fill="auto"/>
            <w:noWrap/>
            <w:vAlign w:val="center"/>
          </w:tcPr>
          <w:p w14:paraId="2A12D180">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D5FF89">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杨木匣沟</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2049E">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D2896">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59D05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ED383">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left w:val="single" w:color="auto" w:sz="4" w:space="0"/>
              <w:bottom w:val="single" w:color="auto" w:sz="4" w:space="0"/>
              <w:right w:val="single" w:color="auto" w:sz="4" w:space="0"/>
            </w:tcBorders>
            <w:shd w:val="clear" w:color="auto" w:fill="auto"/>
            <w:noWrap/>
            <w:vAlign w:val="center"/>
          </w:tcPr>
          <w:p w14:paraId="0859C2C7">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auto" w:sz="4" w:space="0"/>
              <w:right w:val="single" w:color="000000" w:sz="4" w:space="0"/>
            </w:tcBorders>
            <w:shd w:val="clear" w:color="auto" w:fill="auto"/>
            <w:noWrap/>
            <w:vAlign w:val="bottom"/>
          </w:tcPr>
          <w:p w14:paraId="76636E65">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东沟</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50FE3">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EF651">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31F26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49798">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756E2">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rPr>
            </w:pPr>
            <w:r>
              <w:rPr>
                <w:rFonts w:hint="default" w:ascii="Times New Roman" w:hAnsi="Times New Roman" w:eastAsia="仿宋_GB2312" w:cs="Times New Roman"/>
                <w:color w:val="auto"/>
                <w:sz w:val="21"/>
                <w:szCs w:val="24"/>
                <w:u w:val="none"/>
              </w:rPr>
              <w:t>拐磨子村</w:t>
            </w: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500710">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黑卧子</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BF96E">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ECA33">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493F7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07119">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lang w:val="en-US" w:eastAsia="zh-CN"/>
              </w:rPr>
            </w:pPr>
          </w:p>
        </w:tc>
        <w:tc>
          <w:tcPr>
            <w:tcW w:w="1102" w:type="pct"/>
            <w:vMerge w:val="continue"/>
            <w:tcBorders>
              <w:left w:val="single" w:color="000000" w:sz="4" w:space="0"/>
              <w:right w:val="single" w:color="000000" w:sz="4" w:space="0"/>
            </w:tcBorders>
            <w:shd w:val="clear" w:color="auto" w:fill="auto"/>
            <w:noWrap/>
            <w:vAlign w:val="center"/>
          </w:tcPr>
          <w:p w14:paraId="644814B8">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BE3BB5">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拐磨子村</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B2225">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8E63E">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5255F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C3715">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lang w:val="en-US" w:eastAsia="zh-CN"/>
              </w:rPr>
            </w:pPr>
          </w:p>
        </w:tc>
        <w:tc>
          <w:tcPr>
            <w:tcW w:w="1102" w:type="pct"/>
            <w:vMerge w:val="continue"/>
            <w:tcBorders>
              <w:left w:val="single" w:color="000000" w:sz="4" w:space="0"/>
              <w:right w:val="single" w:color="000000" w:sz="4" w:space="0"/>
            </w:tcBorders>
            <w:shd w:val="clear" w:color="auto" w:fill="auto"/>
            <w:noWrap/>
            <w:vAlign w:val="center"/>
          </w:tcPr>
          <w:p w14:paraId="6253DC59">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C33D24">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廉家沟</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49E03">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79270">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2F1D9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682BA">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lang w:val="en-US" w:eastAsia="zh-CN"/>
              </w:rPr>
            </w:pPr>
          </w:p>
        </w:tc>
        <w:tc>
          <w:tcPr>
            <w:tcW w:w="1102" w:type="pct"/>
            <w:vMerge w:val="continue"/>
            <w:tcBorders>
              <w:left w:val="single" w:color="000000" w:sz="4" w:space="0"/>
              <w:right w:val="single" w:color="000000" w:sz="4" w:space="0"/>
            </w:tcBorders>
            <w:shd w:val="clear" w:color="auto" w:fill="auto"/>
            <w:noWrap/>
            <w:vAlign w:val="center"/>
          </w:tcPr>
          <w:p w14:paraId="113FF805">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C2D216">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太平沟</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A9FD5">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6AA2C">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6171F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50295">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lang w:val="en-US" w:eastAsia="zh-CN"/>
              </w:rPr>
            </w:pPr>
          </w:p>
        </w:tc>
        <w:tc>
          <w:tcPr>
            <w:tcW w:w="1102" w:type="pct"/>
            <w:vMerge w:val="continue"/>
            <w:tcBorders>
              <w:left w:val="single" w:color="000000" w:sz="4" w:space="0"/>
              <w:right w:val="single" w:color="000000" w:sz="4" w:space="0"/>
            </w:tcBorders>
            <w:shd w:val="clear" w:color="auto" w:fill="auto"/>
            <w:noWrap/>
            <w:vAlign w:val="center"/>
          </w:tcPr>
          <w:p w14:paraId="72CE5FFD">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CA9C93">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望沟</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40CE0">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9EC17">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6AB02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D424D">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lang w:val="en-US" w:eastAsia="zh-CN"/>
              </w:rPr>
            </w:pPr>
          </w:p>
        </w:tc>
        <w:tc>
          <w:tcPr>
            <w:tcW w:w="1102" w:type="pct"/>
            <w:vMerge w:val="continue"/>
            <w:tcBorders>
              <w:left w:val="single" w:color="000000" w:sz="4" w:space="0"/>
              <w:right w:val="single" w:color="000000" w:sz="4" w:space="0"/>
            </w:tcBorders>
            <w:shd w:val="clear" w:color="auto" w:fill="auto"/>
            <w:noWrap/>
            <w:vAlign w:val="center"/>
          </w:tcPr>
          <w:p w14:paraId="57F60632">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87BBC7">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古罐沟</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CB452">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C3755">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0943F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B5AB0">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lang w:val="en-US" w:eastAsia="zh-CN"/>
              </w:rPr>
            </w:pPr>
          </w:p>
        </w:tc>
        <w:tc>
          <w:tcPr>
            <w:tcW w:w="1102" w:type="pct"/>
            <w:vMerge w:val="continue"/>
            <w:tcBorders>
              <w:left w:val="single" w:color="000000" w:sz="4" w:space="0"/>
              <w:right w:val="single" w:color="000000" w:sz="4" w:space="0"/>
            </w:tcBorders>
            <w:shd w:val="clear" w:color="auto" w:fill="auto"/>
            <w:noWrap/>
            <w:vAlign w:val="center"/>
          </w:tcPr>
          <w:p w14:paraId="73935973">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6E988B">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新开岭村</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3022D">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89F54">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52321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D381B">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lang w:val="en-US" w:eastAsia="zh-CN"/>
              </w:rPr>
            </w:pPr>
          </w:p>
        </w:tc>
        <w:tc>
          <w:tcPr>
            <w:tcW w:w="1102" w:type="pct"/>
            <w:vMerge w:val="continue"/>
            <w:tcBorders>
              <w:left w:val="single" w:color="000000" w:sz="4" w:space="0"/>
              <w:right w:val="single" w:color="000000" w:sz="4" w:space="0"/>
            </w:tcBorders>
            <w:shd w:val="clear" w:color="auto" w:fill="auto"/>
            <w:noWrap/>
            <w:vAlign w:val="center"/>
          </w:tcPr>
          <w:p w14:paraId="34ADF38D">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7EBEEB">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黑卧子沟</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850F8">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8120A">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7D2C6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EE3DA">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lang w:val="en-US" w:eastAsia="zh-CN"/>
              </w:rPr>
            </w:pPr>
          </w:p>
        </w:tc>
        <w:tc>
          <w:tcPr>
            <w:tcW w:w="1102" w:type="pct"/>
            <w:vMerge w:val="continue"/>
            <w:tcBorders>
              <w:left w:val="single" w:color="000000" w:sz="4" w:space="0"/>
              <w:right w:val="single" w:color="000000" w:sz="4" w:space="0"/>
            </w:tcBorders>
            <w:shd w:val="clear" w:color="auto" w:fill="auto"/>
            <w:noWrap/>
            <w:vAlign w:val="center"/>
          </w:tcPr>
          <w:p w14:paraId="314AA0A9">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FD0C92">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乌拉草甸子沟</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B18F2">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8A9C9">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0BC0F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3156C">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lang w:val="en-US" w:eastAsia="zh-CN"/>
              </w:rPr>
            </w:pPr>
          </w:p>
        </w:tc>
        <w:tc>
          <w:tcPr>
            <w:tcW w:w="1102" w:type="pct"/>
            <w:vMerge w:val="continue"/>
            <w:tcBorders>
              <w:left w:val="single" w:color="000000" w:sz="4" w:space="0"/>
              <w:right w:val="single" w:color="000000" w:sz="4" w:space="0"/>
            </w:tcBorders>
            <w:shd w:val="clear" w:color="auto" w:fill="auto"/>
            <w:noWrap/>
            <w:vAlign w:val="center"/>
          </w:tcPr>
          <w:p w14:paraId="4699999F">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676829">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赵家沟</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385E0">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A7A56">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21A04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F0917">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lang w:val="en-US" w:eastAsia="zh-CN"/>
              </w:rPr>
            </w:pPr>
          </w:p>
        </w:tc>
        <w:tc>
          <w:tcPr>
            <w:tcW w:w="1102" w:type="pct"/>
            <w:vMerge w:val="continue"/>
            <w:tcBorders>
              <w:left w:val="single" w:color="000000" w:sz="4" w:space="0"/>
              <w:right w:val="single" w:color="000000" w:sz="4" w:space="0"/>
            </w:tcBorders>
            <w:shd w:val="clear" w:color="auto" w:fill="auto"/>
            <w:noWrap/>
            <w:vAlign w:val="center"/>
          </w:tcPr>
          <w:p w14:paraId="7473F785">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077524">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新开岭</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F355A">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0A0F7">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050A9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CEC20">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lang w:val="en-US" w:eastAsia="zh-CN"/>
              </w:rPr>
            </w:pPr>
          </w:p>
        </w:tc>
        <w:tc>
          <w:tcPr>
            <w:tcW w:w="1102" w:type="pct"/>
            <w:vMerge w:val="continue"/>
            <w:tcBorders>
              <w:left w:val="single" w:color="000000" w:sz="4" w:space="0"/>
              <w:right w:val="single" w:color="000000" w:sz="4" w:space="0"/>
            </w:tcBorders>
            <w:shd w:val="clear" w:color="auto" w:fill="auto"/>
            <w:noWrap/>
            <w:vAlign w:val="center"/>
          </w:tcPr>
          <w:p w14:paraId="337454D3">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3D7E58">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东沟</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89D64">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5A3BA">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62D4D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CC6C7">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lang w:val="en-US" w:eastAsia="zh-CN"/>
              </w:rPr>
            </w:pPr>
          </w:p>
        </w:tc>
        <w:tc>
          <w:tcPr>
            <w:tcW w:w="110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602EA">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rPr>
            </w:pPr>
            <w:r>
              <w:rPr>
                <w:rFonts w:hint="default" w:ascii="Times New Roman" w:hAnsi="Times New Roman" w:eastAsia="仿宋_GB2312" w:cs="Times New Roman"/>
                <w:color w:val="auto"/>
                <w:sz w:val="21"/>
                <w:szCs w:val="24"/>
                <w:u w:val="none"/>
              </w:rPr>
              <w:t>岔路子村</w:t>
            </w: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240856">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石洞沟</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256AC">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eastAsia" w:ascii="Times New Roman" w:hAnsi="Times New Roman" w:cs="Times New Roman"/>
                <w:color w:val="000000"/>
                <w:sz w:val="21"/>
                <w:szCs w:val="16"/>
                <w:u w:val="none"/>
                <w:lang w:val="en-US" w:eastAsia="zh-CN"/>
              </w:rPr>
              <w:t>增</w:t>
            </w:r>
            <w:r>
              <w:rPr>
                <w:rFonts w:hint="default" w:ascii="Times New Roman" w:hAnsi="Times New Roman" w:eastAsia="仿宋_GB2312" w:cs="Times New Roman"/>
                <w:color w:val="000000"/>
                <w:sz w:val="21"/>
                <w:szCs w:val="16"/>
                <w:u w:val="none"/>
              </w:rPr>
              <w:t>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466FC">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7A97E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6E980">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lang w:val="en-US" w:eastAsia="zh-CN"/>
              </w:rPr>
            </w:pPr>
          </w:p>
        </w:tc>
        <w:tc>
          <w:tcPr>
            <w:tcW w:w="1102" w:type="pct"/>
            <w:vMerge w:val="continue"/>
            <w:tcBorders>
              <w:left w:val="single" w:color="000000" w:sz="4" w:space="0"/>
              <w:right w:val="single" w:color="000000" w:sz="4" w:space="0"/>
            </w:tcBorders>
            <w:shd w:val="clear" w:color="auto" w:fill="auto"/>
            <w:noWrap/>
            <w:vAlign w:val="center"/>
          </w:tcPr>
          <w:p w14:paraId="04C554C8">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450BE5">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岔路子村</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3F267">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E55D2">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31CB3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0BB8A">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lang w:val="en-US" w:eastAsia="zh-CN"/>
              </w:rPr>
            </w:pPr>
          </w:p>
        </w:tc>
        <w:tc>
          <w:tcPr>
            <w:tcW w:w="1102" w:type="pct"/>
            <w:vMerge w:val="continue"/>
            <w:tcBorders>
              <w:left w:val="single" w:color="000000" w:sz="4" w:space="0"/>
              <w:right w:val="single" w:color="000000" w:sz="4" w:space="0"/>
            </w:tcBorders>
            <w:shd w:val="clear" w:color="auto" w:fill="auto"/>
            <w:noWrap/>
            <w:vAlign w:val="center"/>
          </w:tcPr>
          <w:p w14:paraId="4B1A0A9F">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1BC840">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台上</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60849">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A3142">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27223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D3466">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lang w:val="en-US" w:eastAsia="zh-CN"/>
              </w:rPr>
            </w:pPr>
          </w:p>
        </w:tc>
        <w:tc>
          <w:tcPr>
            <w:tcW w:w="1102" w:type="pct"/>
            <w:vMerge w:val="continue"/>
            <w:tcBorders>
              <w:left w:val="single" w:color="000000" w:sz="4" w:space="0"/>
              <w:right w:val="single" w:color="000000" w:sz="4" w:space="0"/>
            </w:tcBorders>
            <w:shd w:val="clear" w:color="auto" w:fill="auto"/>
            <w:noWrap/>
            <w:vAlign w:val="center"/>
          </w:tcPr>
          <w:p w14:paraId="282398CE">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D05F21">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小苇塘沟</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0D38E">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06B63">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5FCC8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7780D">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lang w:val="en-US" w:eastAsia="zh-CN"/>
              </w:rPr>
            </w:pPr>
          </w:p>
        </w:tc>
        <w:tc>
          <w:tcPr>
            <w:tcW w:w="1102" w:type="pct"/>
            <w:vMerge w:val="continue"/>
            <w:tcBorders>
              <w:left w:val="single" w:color="000000" w:sz="4" w:space="0"/>
              <w:right w:val="single" w:color="000000" w:sz="4" w:space="0"/>
            </w:tcBorders>
            <w:shd w:val="clear" w:color="auto" w:fill="auto"/>
            <w:noWrap/>
            <w:vAlign w:val="center"/>
          </w:tcPr>
          <w:p w14:paraId="43B5D4BC">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CE3CEA">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南沟</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57CAB">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7CA44">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0BAB8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3B74B">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lang w:val="en-US" w:eastAsia="zh-CN"/>
              </w:rPr>
            </w:pPr>
          </w:p>
        </w:tc>
        <w:tc>
          <w:tcPr>
            <w:tcW w:w="1102" w:type="pct"/>
            <w:vMerge w:val="continue"/>
            <w:tcBorders>
              <w:left w:val="single" w:color="000000" w:sz="4" w:space="0"/>
              <w:right w:val="single" w:color="000000" w:sz="4" w:space="0"/>
            </w:tcBorders>
            <w:shd w:val="clear" w:color="auto" w:fill="auto"/>
            <w:noWrap/>
            <w:vAlign w:val="center"/>
          </w:tcPr>
          <w:p w14:paraId="77340BDC">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8B2F78">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窟窿杨树沟</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84959">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B82B0">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531CE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B9B4B">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lang w:val="en-US" w:eastAsia="zh-CN"/>
              </w:rPr>
            </w:pPr>
          </w:p>
        </w:tc>
        <w:tc>
          <w:tcPr>
            <w:tcW w:w="1102" w:type="pct"/>
            <w:vMerge w:val="continue"/>
            <w:tcBorders>
              <w:left w:val="single" w:color="000000" w:sz="4" w:space="0"/>
              <w:right w:val="single" w:color="000000" w:sz="4" w:space="0"/>
            </w:tcBorders>
            <w:shd w:val="clear" w:color="auto" w:fill="auto"/>
            <w:noWrap/>
            <w:vAlign w:val="center"/>
          </w:tcPr>
          <w:p w14:paraId="76A8635B">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8866F2">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大苇塘沟</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82B3C">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AACCD">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24D35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E4763">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lang w:val="en-US" w:eastAsia="zh-CN"/>
              </w:rPr>
            </w:pPr>
          </w:p>
        </w:tc>
        <w:tc>
          <w:tcPr>
            <w:tcW w:w="1102" w:type="pct"/>
            <w:vMerge w:val="continue"/>
            <w:tcBorders>
              <w:left w:val="single" w:color="000000" w:sz="4" w:space="0"/>
              <w:bottom w:val="single" w:color="auto" w:sz="4" w:space="0"/>
              <w:right w:val="single" w:color="000000" w:sz="4" w:space="0"/>
            </w:tcBorders>
            <w:shd w:val="clear" w:color="auto" w:fill="auto"/>
            <w:noWrap/>
            <w:vAlign w:val="center"/>
          </w:tcPr>
          <w:p w14:paraId="2540730B">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auto" w:sz="4" w:space="0"/>
              <w:right w:val="single" w:color="000000" w:sz="4" w:space="0"/>
            </w:tcBorders>
            <w:shd w:val="clear" w:color="auto" w:fill="auto"/>
            <w:noWrap/>
            <w:vAlign w:val="bottom"/>
          </w:tcPr>
          <w:p w14:paraId="63376EF3">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西沟</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308DE">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2744F">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1CD2D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08700F6B">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C500370">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rPr>
            </w:pPr>
            <w:r>
              <w:rPr>
                <w:rFonts w:hint="default" w:ascii="Times New Roman" w:hAnsi="Times New Roman" w:eastAsia="仿宋_GB2312" w:cs="Times New Roman"/>
                <w:color w:val="auto"/>
                <w:sz w:val="21"/>
                <w:szCs w:val="24"/>
                <w:u w:val="none"/>
              </w:rPr>
              <w:t>同江村</w:t>
            </w:r>
          </w:p>
        </w:tc>
        <w:tc>
          <w:tcPr>
            <w:tcW w:w="1374" w:type="pct"/>
            <w:tcBorders>
              <w:top w:val="single" w:color="auto" w:sz="4" w:space="0"/>
              <w:left w:val="single" w:color="auto" w:sz="4" w:space="0"/>
              <w:bottom w:val="single" w:color="auto" w:sz="4" w:space="0"/>
              <w:right w:val="single" w:color="auto" w:sz="4" w:space="0"/>
            </w:tcBorders>
            <w:shd w:val="clear" w:color="auto" w:fill="auto"/>
            <w:noWrap/>
            <w:vAlign w:val="bottom"/>
          </w:tcPr>
          <w:p w14:paraId="7AFFC6B8">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红升村</w:t>
            </w:r>
          </w:p>
        </w:tc>
        <w:tc>
          <w:tcPr>
            <w:tcW w:w="1477"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39F6EA48">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000000"/>
                <w:sz w:val="21"/>
                <w:szCs w:val="16"/>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BB765">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450AC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65C6FF01">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8E61B55">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auto" w:sz="4" w:space="0"/>
              <w:left w:val="single" w:color="auto" w:sz="4" w:space="0"/>
              <w:bottom w:val="single" w:color="auto" w:sz="4" w:space="0"/>
              <w:right w:val="single" w:color="auto" w:sz="4" w:space="0"/>
            </w:tcBorders>
            <w:shd w:val="clear" w:color="auto" w:fill="auto"/>
            <w:noWrap/>
            <w:vAlign w:val="bottom"/>
          </w:tcPr>
          <w:p w14:paraId="55F19365">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孙家街</w:t>
            </w:r>
          </w:p>
        </w:tc>
        <w:tc>
          <w:tcPr>
            <w:tcW w:w="1477"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68E631A5">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000000"/>
                <w:sz w:val="21"/>
                <w:szCs w:val="16"/>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E2BF7">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4E3DD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707A372C">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E5E9F65">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auto" w:sz="4" w:space="0"/>
              <w:left w:val="single" w:color="auto" w:sz="4" w:space="0"/>
              <w:bottom w:val="single" w:color="auto" w:sz="4" w:space="0"/>
              <w:right w:val="single" w:color="auto" w:sz="4" w:space="0"/>
            </w:tcBorders>
            <w:shd w:val="clear" w:color="auto" w:fill="auto"/>
            <w:noWrap/>
            <w:vAlign w:val="bottom"/>
          </w:tcPr>
          <w:p w14:paraId="59082C0F">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北崴子村</w:t>
            </w:r>
          </w:p>
        </w:tc>
        <w:tc>
          <w:tcPr>
            <w:tcW w:w="1477"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3A3DE59E">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000000"/>
                <w:sz w:val="21"/>
                <w:szCs w:val="16"/>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A15F8">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47C02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88B26">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restart"/>
            <w:tcBorders>
              <w:top w:val="single" w:color="auto" w:sz="4" w:space="0"/>
              <w:left w:val="single" w:color="000000" w:sz="4" w:space="0"/>
              <w:right w:val="single" w:color="000000" w:sz="4" w:space="0"/>
            </w:tcBorders>
            <w:shd w:val="clear" w:color="auto" w:fill="auto"/>
            <w:noWrap/>
            <w:vAlign w:val="center"/>
          </w:tcPr>
          <w:p w14:paraId="67139A39">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rPr>
            </w:pPr>
            <w:r>
              <w:rPr>
                <w:rFonts w:hint="default" w:ascii="Times New Roman" w:hAnsi="Times New Roman" w:eastAsia="仿宋_GB2312" w:cs="Times New Roman"/>
                <w:color w:val="auto"/>
                <w:sz w:val="21"/>
                <w:szCs w:val="24"/>
                <w:u w:val="none"/>
              </w:rPr>
              <w:t>二道沟村</w:t>
            </w: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E3E268">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小二道沟</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8B3CD">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eastAsia" w:ascii="Times New Roman" w:hAnsi="Times New Roman" w:cs="Times New Roman"/>
                <w:color w:val="auto"/>
                <w:sz w:val="21"/>
                <w:szCs w:val="24"/>
                <w:u w:val="none"/>
                <w:lang w:val="en-US" w:eastAsia="zh-CN"/>
              </w:rPr>
              <w:t>增</w:t>
            </w:r>
            <w:r>
              <w:rPr>
                <w:rFonts w:hint="eastAsia" w:ascii="Times New Roman" w:hAnsi="Times New Roman" w:eastAsia="仿宋_GB2312" w:cs="Times New Roman"/>
                <w:color w:val="auto"/>
                <w:sz w:val="21"/>
                <w:szCs w:val="24"/>
                <w:u w:val="none"/>
                <w:lang w:val="en-US" w:eastAsia="zh-CN"/>
              </w:rPr>
              <w:t>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C6037">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78B06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69F5C">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left w:val="single" w:color="000000" w:sz="4" w:space="0"/>
              <w:right w:val="single" w:color="000000" w:sz="4" w:space="0"/>
            </w:tcBorders>
            <w:shd w:val="clear" w:color="auto" w:fill="auto"/>
            <w:noWrap/>
            <w:vAlign w:val="center"/>
          </w:tcPr>
          <w:p w14:paraId="524C9DE9">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5CE9F5">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四道沟</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5C21F">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eastAsia" w:ascii="Times New Roman" w:hAnsi="Times New Roman" w:eastAsia="仿宋_GB2312" w:cs="Times New Roman"/>
                <w:color w:val="auto"/>
                <w:sz w:val="21"/>
                <w:szCs w:val="24"/>
                <w:u w:val="none"/>
                <w:lang w:val="en-US" w:eastAsia="zh-CN"/>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FE482">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25A67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37B40">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left w:val="single" w:color="000000" w:sz="4" w:space="0"/>
              <w:right w:val="single" w:color="000000" w:sz="4" w:space="0"/>
            </w:tcBorders>
            <w:shd w:val="clear" w:color="auto" w:fill="auto"/>
            <w:noWrap/>
            <w:vAlign w:val="center"/>
          </w:tcPr>
          <w:p w14:paraId="614C0382">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59B936">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东沟</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4D2EC">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eastAsia" w:ascii="Times New Roman" w:hAnsi="Times New Roman" w:eastAsia="仿宋_GB2312" w:cs="Times New Roman"/>
                <w:color w:val="auto"/>
                <w:sz w:val="21"/>
                <w:szCs w:val="24"/>
                <w:u w:val="none"/>
                <w:lang w:val="en-US" w:eastAsia="zh-CN"/>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82802">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0AE81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C6F09">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left w:val="single" w:color="000000" w:sz="4" w:space="0"/>
              <w:right w:val="single" w:color="000000" w:sz="4" w:space="0"/>
            </w:tcBorders>
            <w:shd w:val="clear" w:color="auto" w:fill="auto"/>
            <w:noWrap/>
            <w:vAlign w:val="center"/>
          </w:tcPr>
          <w:p w14:paraId="76E2029F">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625F68">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二道沟</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6F402">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eastAsia" w:ascii="Times New Roman" w:hAnsi="Times New Roman" w:eastAsia="仿宋_GB2312" w:cs="Times New Roman"/>
                <w:color w:val="auto"/>
                <w:sz w:val="21"/>
                <w:szCs w:val="24"/>
                <w:u w:val="none"/>
                <w:lang w:val="en-US" w:eastAsia="zh-CN"/>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69CC9">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1A125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45310">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left w:val="single" w:color="000000" w:sz="4" w:space="0"/>
              <w:right w:val="single" w:color="000000" w:sz="4" w:space="0"/>
            </w:tcBorders>
            <w:shd w:val="clear" w:color="auto" w:fill="auto"/>
            <w:noWrap/>
            <w:vAlign w:val="center"/>
          </w:tcPr>
          <w:p w14:paraId="4EF51540">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5FE046">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西岔</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32AF2">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eastAsia" w:ascii="Times New Roman" w:hAnsi="Times New Roman" w:eastAsia="仿宋_GB2312" w:cs="Times New Roman"/>
                <w:color w:val="auto"/>
                <w:sz w:val="21"/>
                <w:szCs w:val="24"/>
                <w:u w:val="none"/>
                <w:lang w:val="en-US" w:eastAsia="zh-CN"/>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6977D">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2AE30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FADFF">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left w:val="single" w:color="000000" w:sz="4" w:space="0"/>
              <w:right w:val="single" w:color="000000" w:sz="4" w:space="0"/>
            </w:tcBorders>
            <w:shd w:val="clear" w:color="auto" w:fill="auto"/>
            <w:noWrap/>
            <w:vAlign w:val="center"/>
          </w:tcPr>
          <w:p w14:paraId="6DF13AC4">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D04F34">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三道沟</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7F610">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eastAsia" w:ascii="Times New Roman" w:hAnsi="Times New Roman" w:eastAsia="仿宋_GB2312" w:cs="Times New Roman"/>
                <w:color w:val="auto"/>
                <w:sz w:val="21"/>
                <w:szCs w:val="24"/>
                <w:u w:val="none"/>
                <w:lang w:val="en-US" w:eastAsia="zh-CN"/>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66492">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5E771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62815">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left w:val="single" w:color="000000" w:sz="4" w:space="0"/>
              <w:right w:val="single" w:color="000000" w:sz="4" w:space="0"/>
            </w:tcBorders>
            <w:shd w:val="clear" w:color="auto" w:fill="auto"/>
            <w:noWrap/>
            <w:vAlign w:val="center"/>
          </w:tcPr>
          <w:p w14:paraId="2088EF9F">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DEAE43">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二道沟村</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2C4B5">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eastAsia" w:ascii="Times New Roman" w:hAnsi="Times New Roman" w:eastAsia="仿宋_GB2312" w:cs="Times New Roman"/>
                <w:color w:val="auto"/>
                <w:sz w:val="21"/>
                <w:szCs w:val="24"/>
                <w:u w:val="none"/>
                <w:lang w:val="en-US" w:eastAsia="zh-CN"/>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0A2DE">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74124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BBF64">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left w:val="single" w:color="000000" w:sz="4" w:space="0"/>
              <w:right w:val="single" w:color="000000" w:sz="4" w:space="0"/>
            </w:tcBorders>
            <w:shd w:val="clear" w:color="auto" w:fill="auto"/>
            <w:noWrap/>
            <w:vAlign w:val="center"/>
          </w:tcPr>
          <w:p w14:paraId="1142CB27">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462FBD">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头道沟</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99C67">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eastAsia" w:ascii="Times New Roman" w:hAnsi="Times New Roman" w:eastAsia="仿宋_GB2312" w:cs="Times New Roman"/>
                <w:color w:val="auto"/>
                <w:sz w:val="21"/>
                <w:szCs w:val="24"/>
                <w:u w:val="none"/>
                <w:lang w:val="en-US" w:eastAsia="zh-CN"/>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D1AD3">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24E29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A54BE">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left w:val="single" w:color="000000" w:sz="4" w:space="0"/>
              <w:bottom w:val="single" w:color="auto" w:sz="4" w:space="0"/>
              <w:right w:val="single" w:color="000000" w:sz="4" w:space="0"/>
            </w:tcBorders>
            <w:shd w:val="clear" w:color="auto" w:fill="auto"/>
            <w:noWrap/>
            <w:vAlign w:val="center"/>
          </w:tcPr>
          <w:p w14:paraId="73B34D9B">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895012">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老虎洞沟</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B4C85">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eastAsia" w:ascii="Times New Roman" w:hAnsi="Times New Roman" w:eastAsia="仿宋_GB2312" w:cs="Times New Roman"/>
                <w:color w:val="auto"/>
                <w:sz w:val="21"/>
                <w:szCs w:val="24"/>
                <w:u w:val="none"/>
                <w:lang w:val="en-US" w:eastAsia="zh-CN"/>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872C9">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75807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E1F32">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restart"/>
            <w:tcBorders>
              <w:top w:val="single" w:color="auto" w:sz="4" w:space="0"/>
              <w:left w:val="single" w:color="000000" w:sz="4" w:space="0"/>
              <w:bottom w:val="single" w:color="000000" w:sz="4" w:space="0"/>
              <w:right w:val="single" w:color="000000" w:sz="4" w:space="0"/>
            </w:tcBorders>
            <w:shd w:val="clear" w:color="auto" w:fill="auto"/>
            <w:noWrap/>
            <w:vAlign w:val="center"/>
          </w:tcPr>
          <w:p w14:paraId="5EDFF777">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rPr>
            </w:pPr>
            <w:r>
              <w:rPr>
                <w:rFonts w:hint="default" w:ascii="Times New Roman" w:hAnsi="Times New Roman" w:eastAsia="仿宋_GB2312" w:cs="Times New Roman"/>
                <w:color w:val="auto"/>
                <w:sz w:val="21"/>
                <w:szCs w:val="24"/>
                <w:u w:val="none"/>
              </w:rPr>
              <w:t>古城子村</w:t>
            </w:r>
          </w:p>
        </w:tc>
        <w:tc>
          <w:tcPr>
            <w:tcW w:w="1374" w:type="pct"/>
            <w:tcBorders>
              <w:top w:val="single" w:color="auto" w:sz="4" w:space="0"/>
              <w:left w:val="single" w:color="000000" w:sz="4" w:space="0"/>
              <w:bottom w:val="single" w:color="000000" w:sz="4" w:space="0"/>
              <w:right w:val="single" w:color="000000" w:sz="4" w:space="0"/>
            </w:tcBorders>
            <w:shd w:val="clear" w:color="auto" w:fill="auto"/>
            <w:noWrap/>
            <w:vAlign w:val="bottom"/>
          </w:tcPr>
          <w:p w14:paraId="766B6261">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东古城子村</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9F286">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eastAsia" w:ascii="Times New Roman" w:hAnsi="Times New Roman" w:cs="Times New Roman"/>
                <w:color w:val="000000"/>
                <w:sz w:val="21"/>
                <w:szCs w:val="16"/>
                <w:u w:val="none"/>
                <w:lang w:val="en-US" w:eastAsia="zh-CN"/>
              </w:rPr>
              <w:t>增</w:t>
            </w:r>
            <w:r>
              <w:rPr>
                <w:rFonts w:hint="default" w:ascii="Times New Roman" w:hAnsi="Times New Roman" w:eastAsia="仿宋_GB2312" w:cs="Times New Roman"/>
                <w:color w:val="000000"/>
                <w:sz w:val="21"/>
                <w:szCs w:val="16"/>
                <w:u w:val="none"/>
              </w:rPr>
              <w:t>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13A85">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35D0E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4F1C1">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left w:val="single" w:color="000000" w:sz="4" w:space="0"/>
              <w:right w:val="single" w:color="000000" w:sz="4" w:space="0"/>
            </w:tcBorders>
            <w:shd w:val="clear" w:color="auto" w:fill="auto"/>
            <w:noWrap/>
            <w:vAlign w:val="center"/>
          </w:tcPr>
          <w:p w14:paraId="5040D2C1">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247036">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牟家沟</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29A78">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61CC0">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6B391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16F33">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left w:val="single" w:color="000000" w:sz="4" w:space="0"/>
              <w:right w:val="single" w:color="000000" w:sz="4" w:space="0"/>
            </w:tcBorders>
            <w:shd w:val="clear" w:color="auto" w:fill="auto"/>
            <w:noWrap/>
            <w:vAlign w:val="center"/>
          </w:tcPr>
          <w:p w14:paraId="2D18C82B">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04A282">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西古城子村</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96127">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8678F">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20B31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7E060">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left w:val="single" w:color="000000" w:sz="4" w:space="0"/>
              <w:right w:val="single" w:color="000000" w:sz="4" w:space="0"/>
            </w:tcBorders>
            <w:shd w:val="clear" w:color="auto" w:fill="auto"/>
            <w:noWrap/>
            <w:vAlign w:val="center"/>
          </w:tcPr>
          <w:p w14:paraId="4AD70736">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B8AD74">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古年岭</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3EF5C">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BF9F8">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6EAFE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61CD7">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left w:val="single" w:color="000000" w:sz="4" w:space="0"/>
              <w:right w:val="single" w:color="000000" w:sz="4" w:space="0"/>
            </w:tcBorders>
            <w:shd w:val="clear" w:color="auto" w:fill="auto"/>
            <w:noWrap/>
            <w:vAlign w:val="center"/>
          </w:tcPr>
          <w:p w14:paraId="662DA20E">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AE3155">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葫芦头</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B499D">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93C42">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4467C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B25C0">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left w:val="single" w:color="000000" w:sz="4" w:space="0"/>
              <w:right w:val="single" w:color="000000" w:sz="4" w:space="0"/>
            </w:tcBorders>
            <w:shd w:val="clear" w:color="auto" w:fill="auto"/>
            <w:noWrap/>
            <w:vAlign w:val="center"/>
          </w:tcPr>
          <w:p w14:paraId="37131B80">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4DC7C3">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北头</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10F01">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8EBC0">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4F40F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FB171">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left w:val="single" w:color="000000" w:sz="4" w:space="0"/>
              <w:right w:val="single" w:color="000000" w:sz="4" w:space="0"/>
            </w:tcBorders>
            <w:shd w:val="clear" w:color="auto" w:fill="auto"/>
            <w:noWrap/>
            <w:vAlign w:val="center"/>
          </w:tcPr>
          <w:p w14:paraId="1658B28A">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840CB0">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大亮子沟</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4F1B9">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3B351">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48B01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190AD">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left w:val="single" w:color="000000" w:sz="4" w:space="0"/>
              <w:right w:val="single" w:color="000000" w:sz="4" w:space="0"/>
            </w:tcBorders>
            <w:shd w:val="clear" w:color="auto" w:fill="auto"/>
            <w:noWrap/>
            <w:vAlign w:val="center"/>
          </w:tcPr>
          <w:p w14:paraId="05C2485C">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303B18">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南头</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B64C9">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3FA52">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0BAC9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19A75">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left w:val="single" w:color="000000" w:sz="4" w:space="0"/>
              <w:right w:val="single" w:color="000000" w:sz="4" w:space="0"/>
            </w:tcBorders>
            <w:shd w:val="clear" w:color="auto" w:fill="auto"/>
            <w:noWrap/>
            <w:vAlign w:val="center"/>
          </w:tcPr>
          <w:p w14:paraId="4B4D4551">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6E5DFD">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东沟</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CB54B">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C56E1">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7C6FB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08DAA">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left w:val="single" w:color="000000" w:sz="4" w:space="0"/>
              <w:right w:val="single" w:color="000000" w:sz="4" w:space="0"/>
            </w:tcBorders>
            <w:shd w:val="clear" w:color="auto" w:fill="auto"/>
            <w:noWrap/>
            <w:vAlign w:val="center"/>
          </w:tcPr>
          <w:p w14:paraId="390C59F7">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F35708">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花房沟</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852F0">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A5E2C">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6349C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8DBE2">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left w:val="single" w:color="000000" w:sz="4" w:space="0"/>
              <w:right w:val="single" w:color="000000" w:sz="4" w:space="0"/>
            </w:tcBorders>
            <w:shd w:val="clear" w:color="auto" w:fill="auto"/>
            <w:noWrap/>
            <w:vAlign w:val="center"/>
          </w:tcPr>
          <w:p w14:paraId="32422BBA">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C9434F">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西沟</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8C5A6">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9C3D5">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32BED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C8C47">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left w:val="single" w:color="000000" w:sz="4" w:space="0"/>
              <w:right w:val="single" w:color="000000" w:sz="4" w:space="0"/>
            </w:tcBorders>
            <w:shd w:val="clear" w:color="auto" w:fill="auto"/>
            <w:noWrap/>
            <w:vAlign w:val="center"/>
          </w:tcPr>
          <w:p w14:paraId="46DDD728">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9D6276">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上甸子村</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22F3F">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FCA91">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78909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C09E1">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left w:val="single" w:color="000000" w:sz="4" w:space="0"/>
              <w:right w:val="single" w:color="000000" w:sz="4" w:space="0"/>
            </w:tcBorders>
            <w:shd w:val="clear" w:color="auto" w:fill="auto"/>
            <w:noWrap/>
            <w:vAlign w:val="center"/>
          </w:tcPr>
          <w:p w14:paraId="02F6BC55">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355997">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小荒沟村</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EB886">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28261">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68E40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7C59C">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left w:val="single" w:color="000000" w:sz="4" w:space="0"/>
              <w:right w:val="single" w:color="000000" w:sz="4" w:space="0"/>
            </w:tcBorders>
            <w:shd w:val="clear" w:color="auto" w:fill="auto"/>
            <w:noWrap/>
            <w:vAlign w:val="center"/>
          </w:tcPr>
          <w:p w14:paraId="783654D4">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8D8B4E">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赵家大院</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95B6C">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B8C98">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1EB96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1CF3F">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8146A">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rPr>
            </w:pPr>
            <w:r>
              <w:rPr>
                <w:rFonts w:hint="default" w:ascii="Times New Roman" w:hAnsi="Times New Roman" w:eastAsia="仿宋_GB2312" w:cs="Times New Roman"/>
                <w:color w:val="auto"/>
                <w:sz w:val="21"/>
                <w:szCs w:val="24"/>
                <w:u w:val="none"/>
              </w:rPr>
              <w:t>洼泥甸村</w:t>
            </w: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6B5781">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洼泥甸子村</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476F8">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eastAsia" w:ascii="Times New Roman" w:hAnsi="Times New Roman" w:cs="Times New Roman"/>
                <w:color w:val="000000"/>
                <w:sz w:val="21"/>
                <w:szCs w:val="16"/>
                <w:u w:val="none"/>
                <w:lang w:val="en-US" w:eastAsia="zh-CN"/>
              </w:rPr>
              <w:t>增</w:t>
            </w:r>
            <w:r>
              <w:rPr>
                <w:rFonts w:hint="default" w:ascii="Times New Roman" w:hAnsi="Times New Roman" w:eastAsia="仿宋_GB2312" w:cs="Times New Roman"/>
                <w:color w:val="000000"/>
                <w:sz w:val="21"/>
                <w:szCs w:val="16"/>
                <w:u w:val="none"/>
              </w:rPr>
              <w:t>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7C479">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07463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AB19B">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left w:val="single" w:color="000000" w:sz="4" w:space="0"/>
              <w:right w:val="single" w:color="000000" w:sz="4" w:space="0"/>
            </w:tcBorders>
            <w:shd w:val="clear" w:color="auto" w:fill="auto"/>
            <w:noWrap/>
            <w:vAlign w:val="center"/>
          </w:tcPr>
          <w:p w14:paraId="4E955034">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C995D6">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姜家大院</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38392">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000000"/>
                <w:sz w:val="21"/>
                <w:szCs w:val="16"/>
                <w:u w:val="none"/>
              </w:rPr>
            </w:pPr>
            <w:r>
              <w:rPr>
                <w:rFonts w:hint="default" w:ascii="Times New Roman" w:hAnsi="Times New Roman" w:eastAsia="仿宋_GB2312" w:cs="Times New Roman"/>
                <w:color w:val="000000"/>
                <w:sz w:val="21"/>
                <w:szCs w:val="16"/>
                <w:u w:val="none"/>
              </w:rPr>
              <w:t>增量型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A9CA1">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47458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913A9">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left w:val="single" w:color="000000" w:sz="4" w:space="0"/>
              <w:right w:val="single" w:color="000000" w:sz="4" w:space="0"/>
            </w:tcBorders>
            <w:shd w:val="clear" w:color="auto" w:fill="auto"/>
            <w:noWrap/>
            <w:vAlign w:val="center"/>
          </w:tcPr>
          <w:p w14:paraId="536EEBE0">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9C9BA0">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宋家大院</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4FE6F">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000000"/>
                <w:sz w:val="21"/>
                <w:szCs w:val="16"/>
                <w:u w:val="none"/>
              </w:rPr>
            </w:pPr>
            <w:r>
              <w:rPr>
                <w:rFonts w:hint="eastAsia" w:ascii="Times New Roman" w:hAnsi="Times New Roman" w:cs="Times New Roman"/>
                <w:color w:val="000000"/>
                <w:sz w:val="21"/>
                <w:szCs w:val="16"/>
                <w:u w:val="none"/>
                <w:lang w:val="en-US" w:eastAsia="zh-CN"/>
              </w:rPr>
              <w:t>增</w:t>
            </w:r>
            <w:r>
              <w:rPr>
                <w:rFonts w:hint="default" w:ascii="Times New Roman" w:hAnsi="Times New Roman" w:eastAsia="仿宋_GB2312" w:cs="Times New Roman"/>
                <w:color w:val="000000"/>
                <w:sz w:val="21"/>
                <w:szCs w:val="16"/>
                <w:u w:val="none"/>
              </w:rPr>
              <w:t>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051A3">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5CF0E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C36CF">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left w:val="single" w:color="000000" w:sz="4" w:space="0"/>
              <w:right w:val="single" w:color="000000" w:sz="4" w:space="0"/>
            </w:tcBorders>
            <w:shd w:val="clear" w:color="auto" w:fill="auto"/>
            <w:noWrap/>
            <w:vAlign w:val="center"/>
          </w:tcPr>
          <w:p w14:paraId="12A089B4">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B1B1AE">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岭根底</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E1625">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000000"/>
                <w:sz w:val="21"/>
                <w:szCs w:val="16"/>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31A7A">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6A86C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4A805485">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000000" w:sz="4" w:space="0"/>
              <w:left w:val="single" w:color="000000" w:sz="4" w:space="0"/>
              <w:bottom w:val="single" w:color="auto" w:sz="4" w:space="0"/>
              <w:right w:val="single" w:color="000000" w:sz="4" w:space="0"/>
            </w:tcBorders>
            <w:shd w:val="clear" w:color="auto" w:fill="auto"/>
            <w:noWrap/>
            <w:vAlign w:val="center"/>
          </w:tcPr>
          <w:p w14:paraId="41DD04EC">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auto" w:sz="4" w:space="0"/>
              <w:right w:val="single" w:color="000000" w:sz="4" w:space="0"/>
            </w:tcBorders>
            <w:shd w:val="clear" w:color="auto" w:fill="auto"/>
            <w:noWrap/>
            <w:vAlign w:val="bottom"/>
          </w:tcPr>
          <w:p w14:paraId="192FADEF">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大梨树沟</w:t>
            </w:r>
          </w:p>
        </w:tc>
        <w:tc>
          <w:tcPr>
            <w:tcW w:w="1477"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038B3787">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527BCC96">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110EC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5BB9C">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14:paraId="1949BBE2">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rPr>
            </w:pPr>
            <w:r>
              <w:rPr>
                <w:rFonts w:hint="default" w:ascii="Times New Roman" w:hAnsi="Times New Roman" w:eastAsia="仿宋_GB2312" w:cs="Times New Roman"/>
                <w:color w:val="auto"/>
                <w:sz w:val="21"/>
                <w:szCs w:val="24"/>
                <w:u w:val="none"/>
              </w:rPr>
              <w:t>碱厂沟村</w:t>
            </w: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A0E932">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碱厂沟村</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3FC86">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eastAsia" w:ascii="Times New Roman" w:hAnsi="Times New Roman" w:cs="Times New Roman"/>
                <w:color w:val="000000"/>
                <w:sz w:val="21"/>
                <w:szCs w:val="16"/>
                <w:u w:val="none"/>
                <w:lang w:val="en-US" w:eastAsia="zh-CN"/>
              </w:rPr>
              <w:t>增</w:t>
            </w:r>
            <w:r>
              <w:rPr>
                <w:rFonts w:hint="default" w:ascii="Times New Roman" w:hAnsi="Times New Roman" w:eastAsia="仿宋_GB2312" w:cs="Times New Roman"/>
                <w:color w:val="000000"/>
                <w:sz w:val="21"/>
                <w:szCs w:val="16"/>
                <w:u w:val="none"/>
              </w:rPr>
              <w:t>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AF772">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4C5B7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D3382">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65CC5AFD">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92F88B">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下花园</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41E8E">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21A91">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19542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58AA8">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69D8CF92">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1A3601">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胡芦头沟</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F0090">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FFCF8">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0116F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6D3B4">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0BBC3B46">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6812B7">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上花园</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6D80D">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174A8">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09A6C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A5DA8">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4B3B2B2F">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ECBA00">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泉源沟</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F4A22">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44FE6">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6327A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7AD70">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73075AA0">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FCF990">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垛道沟</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A0574">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5022F">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23F5C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699A0">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43EB901C">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FAD4BF">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白庙子</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BE08B">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0BE75">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69D84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C4405">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75FDBCE7">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91BD28">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砬子沟</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B406F">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21EF9">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74E33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DC6DD">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restart"/>
            <w:tcBorders>
              <w:left w:val="single" w:color="000000" w:sz="4" w:space="0"/>
              <w:right w:val="single" w:color="000000" w:sz="4" w:space="0"/>
            </w:tcBorders>
            <w:shd w:val="clear" w:color="auto" w:fill="auto"/>
            <w:noWrap/>
            <w:vAlign w:val="center"/>
          </w:tcPr>
          <w:p w14:paraId="07A6F105">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rPr>
            </w:pPr>
            <w:r>
              <w:rPr>
                <w:rFonts w:hint="default" w:ascii="Times New Roman" w:hAnsi="Times New Roman" w:eastAsia="仿宋_GB2312" w:cs="Times New Roman"/>
                <w:color w:val="auto"/>
                <w:sz w:val="21"/>
                <w:szCs w:val="24"/>
                <w:u w:val="none"/>
              </w:rPr>
              <w:t>双岭子村</w:t>
            </w: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D7235E">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正沟</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108F4">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eastAsia" w:ascii="Times New Roman" w:hAnsi="Times New Roman" w:eastAsia="仿宋_GB2312" w:cs="Times New Roman"/>
                <w:color w:val="auto"/>
                <w:sz w:val="21"/>
                <w:szCs w:val="24"/>
                <w:u w:val="none"/>
                <w:lang w:val="en-US" w:eastAsia="zh-CN"/>
              </w:rPr>
            </w:pPr>
            <w:r>
              <w:rPr>
                <w:rFonts w:hint="eastAsia" w:ascii="Times New Roman" w:hAnsi="Times New Roman" w:cs="Times New Roman"/>
                <w:color w:val="auto"/>
                <w:sz w:val="21"/>
                <w:szCs w:val="24"/>
                <w:u w:val="none"/>
                <w:lang w:val="en-US" w:eastAsia="zh-CN"/>
              </w:rPr>
              <w:t>增</w:t>
            </w:r>
            <w:r>
              <w:rPr>
                <w:rFonts w:hint="eastAsia" w:ascii="Times New Roman" w:hAnsi="Times New Roman" w:eastAsia="仿宋_GB2312" w:cs="Times New Roman"/>
                <w:color w:val="auto"/>
                <w:sz w:val="21"/>
                <w:szCs w:val="24"/>
                <w:u w:val="none"/>
                <w:lang w:val="en-US" w:eastAsia="zh-CN"/>
              </w:rPr>
              <w:t>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D35D9">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25F1F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2C402">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left w:val="single" w:color="000000" w:sz="4" w:space="0"/>
              <w:right w:val="single" w:color="000000" w:sz="4" w:space="0"/>
            </w:tcBorders>
            <w:shd w:val="clear" w:color="auto" w:fill="auto"/>
            <w:noWrap/>
            <w:vAlign w:val="center"/>
          </w:tcPr>
          <w:p w14:paraId="05A0C01B">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045A2A">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纪家街</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6AB0A">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eastAsia" w:ascii="Times New Roman" w:hAnsi="Times New Roman" w:eastAsia="仿宋_GB2312" w:cs="Times New Roman"/>
                <w:color w:val="auto"/>
                <w:sz w:val="21"/>
                <w:szCs w:val="24"/>
                <w:u w:val="none"/>
                <w:lang w:val="en-US" w:eastAsia="zh-CN"/>
              </w:rPr>
            </w:pPr>
            <w:r>
              <w:rPr>
                <w:rFonts w:hint="eastAsia" w:ascii="Times New Roman" w:hAnsi="Times New Roman" w:cs="Times New Roman"/>
                <w:color w:val="auto"/>
                <w:sz w:val="21"/>
                <w:szCs w:val="24"/>
                <w:u w:val="none"/>
                <w:lang w:val="en-US" w:eastAsia="zh-CN"/>
              </w:rPr>
              <w:t>增</w:t>
            </w:r>
            <w:r>
              <w:rPr>
                <w:rFonts w:hint="eastAsia" w:ascii="Times New Roman" w:hAnsi="Times New Roman" w:eastAsia="仿宋_GB2312" w:cs="Times New Roman"/>
                <w:color w:val="auto"/>
                <w:sz w:val="21"/>
                <w:szCs w:val="24"/>
                <w:u w:val="none"/>
                <w:lang w:val="en-US" w:eastAsia="zh-CN"/>
              </w:rPr>
              <w:t>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D1675">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74F5A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0F1EF">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left w:val="single" w:color="000000" w:sz="4" w:space="0"/>
              <w:right w:val="single" w:color="000000" w:sz="4" w:space="0"/>
            </w:tcBorders>
            <w:shd w:val="clear" w:color="auto" w:fill="auto"/>
            <w:noWrap/>
            <w:vAlign w:val="center"/>
          </w:tcPr>
          <w:p w14:paraId="21076DBF">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A6AC7B">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双岭子村</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8DA59">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eastAsia" w:ascii="Times New Roman" w:hAnsi="Times New Roman" w:eastAsia="仿宋_GB2312" w:cs="Times New Roman"/>
                <w:color w:val="auto"/>
                <w:sz w:val="21"/>
                <w:szCs w:val="24"/>
                <w:u w:val="none"/>
                <w:lang w:val="en-US" w:eastAsia="zh-CN"/>
              </w:rPr>
            </w:pPr>
            <w:r>
              <w:rPr>
                <w:rFonts w:hint="eastAsia" w:ascii="Times New Roman" w:hAnsi="Times New Roman" w:eastAsia="仿宋_GB2312" w:cs="Times New Roman"/>
                <w:color w:val="auto"/>
                <w:sz w:val="21"/>
                <w:szCs w:val="24"/>
                <w:u w:val="none"/>
                <w:lang w:val="en-US" w:eastAsia="zh-CN"/>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5ECBF">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305D4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3D7FA">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left w:val="single" w:color="000000" w:sz="4" w:space="0"/>
              <w:right w:val="single" w:color="000000" w:sz="4" w:space="0"/>
            </w:tcBorders>
            <w:shd w:val="clear" w:color="auto" w:fill="auto"/>
            <w:noWrap/>
            <w:vAlign w:val="center"/>
          </w:tcPr>
          <w:p w14:paraId="033CD962">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B812A8">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南沟</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9A562">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eastAsia" w:ascii="Times New Roman" w:hAnsi="Times New Roman" w:eastAsia="仿宋_GB2312" w:cs="Times New Roman"/>
                <w:color w:val="auto"/>
                <w:sz w:val="21"/>
                <w:szCs w:val="24"/>
                <w:u w:val="none"/>
                <w:lang w:val="en-US" w:eastAsia="zh-CN"/>
              </w:rPr>
            </w:pPr>
            <w:r>
              <w:rPr>
                <w:rFonts w:hint="eastAsia" w:ascii="Times New Roman" w:hAnsi="Times New Roman" w:eastAsia="仿宋_GB2312" w:cs="Times New Roman"/>
                <w:color w:val="auto"/>
                <w:sz w:val="21"/>
                <w:szCs w:val="24"/>
                <w:u w:val="none"/>
                <w:lang w:val="en-US" w:eastAsia="zh-CN"/>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539B2">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1E1B3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783D9">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left w:val="single" w:color="000000" w:sz="4" w:space="0"/>
              <w:bottom w:val="single" w:color="auto" w:sz="4" w:space="0"/>
              <w:right w:val="single" w:color="000000" w:sz="4" w:space="0"/>
            </w:tcBorders>
            <w:shd w:val="clear" w:color="auto" w:fill="auto"/>
            <w:noWrap/>
            <w:vAlign w:val="center"/>
          </w:tcPr>
          <w:p w14:paraId="45A92FC8">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85013B">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古年岭村</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8DF01">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eastAsia" w:ascii="Times New Roman" w:hAnsi="Times New Roman" w:eastAsia="仿宋_GB2312" w:cs="Times New Roman"/>
                <w:color w:val="auto"/>
                <w:sz w:val="21"/>
                <w:szCs w:val="24"/>
                <w:u w:val="none"/>
                <w:lang w:val="en-US" w:eastAsia="zh-CN"/>
              </w:rPr>
            </w:pPr>
            <w:r>
              <w:rPr>
                <w:rFonts w:hint="eastAsia" w:ascii="Times New Roman" w:hAnsi="Times New Roman" w:eastAsia="仿宋_GB2312" w:cs="Times New Roman"/>
                <w:color w:val="auto"/>
                <w:sz w:val="21"/>
                <w:szCs w:val="24"/>
                <w:u w:val="none"/>
                <w:lang w:val="en-US" w:eastAsia="zh-CN"/>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FBE22">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1E29D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ADCEB">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14:paraId="75F25298">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rPr>
            </w:pPr>
            <w:r>
              <w:rPr>
                <w:rFonts w:hint="default" w:ascii="Times New Roman" w:hAnsi="Times New Roman" w:eastAsia="仿宋_GB2312" w:cs="Times New Roman"/>
                <w:color w:val="auto"/>
                <w:sz w:val="21"/>
                <w:szCs w:val="24"/>
                <w:u w:val="none"/>
              </w:rPr>
              <w:t>八道沟村</w:t>
            </w: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52C8EA">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砬子沟</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7F2CD">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20290">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3CF8D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7E638">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73A977E5">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2A014F">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五道沟</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1BB0B">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B0D44">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3EDD6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12FEA">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5D9DD0E1">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3151C3">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六道沟</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8F445">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BA473">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3F932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5DDFA">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4180C3BC">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76D35D">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五道沟门</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F060C">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5E249">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27A03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8DA12">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2DDB57CE">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1BEE81">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李家粉房</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6E85F">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77B73">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6A512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74805">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59D65AEC">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BFB743">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梁家街</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3C6CD">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7D1BF">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2F6A2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6F188">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247E4776">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689AAC">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大砬子</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45B14">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DAF87">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35680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8F813">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6EBC23EF">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7C8089">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七道沟</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E38E7">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AC6E5">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45E90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3FBD2">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43AF6E43">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6DB36E">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八道沟</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07971">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EDDCA">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3631F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97C48">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534AE214">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4FE2F5">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衫松背</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40D9C">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6BE89">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086F8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D11B7">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3560AA51">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35662C">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八道沟村</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9E073">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964F6">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22933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304A9">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4A3E697D">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ADC7A1">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杨沟子</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4EACB">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6E601">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03DE8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239E4">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76CB9C0B">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3AB2BA">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八道沟</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5E26E">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F7801">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45E3A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D6A8A">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0B2DD42F">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CC877F">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九道沟</w:t>
            </w:r>
          </w:p>
        </w:tc>
        <w:tc>
          <w:tcPr>
            <w:tcW w:w="1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8E62B">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88B3F">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430B0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70" w:type="pct"/>
            <w:tcBorders>
              <w:top w:val="nil"/>
              <w:left w:val="single" w:color="000000" w:sz="4" w:space="0"/>
              <w:bottom w:val="single" w:color="000000" w:sz="4" w:space="0"/>
              <w:right w:val="single" w:color="auto" w:sz="4" w:space="0"/>
            </w:tcBorders>
            <w:shd w:val="clear" w:color="auto" w:fill="auto"/>
            <w:noWrap/>
            <w:vAlign w:val="center"/>
          </w:tcPr>
          <w:p w14:paraId="09583EDB">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78986B7">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rPr>
            </w:pPr>
            <w:r>
              <w:rPr>
                <w:rFonts w:hint="default" w:ascii="Times New Roman" w:hAnsi="Times New Roman" w:eastAsia="仿宋_GB2312" w:cs="Times New Roman"/>
                <w:color w:val="auto"/>
                <w:sz w:val="21"/>
                <w:szCs w:val="24"/>
                <w:u w:val="none"/>
              </w:rPr>
              <w:t>江南村</w:t>
            </w:r>
          </w:p>
        </w:tc>
        <w:tc>
          <w:tcPr>
            <w:tcW w:w="1374" w:type="pct"/>
            <w:tcBorders>
              <w:top w:val="single" w:color="auto" w:sz="4" w:space="0"/>
              <w:left w:val="single" w:color="auto" w:sz="4" w:space="0"/>
              <w:bottom w:val="single" w:color="auto" w:sz="4" w:space="0"/>
              <w:right w:val="single" w:color="auto" w:sz="4" w:space="0"/>
            </w:tcBorders>
            <w:shd w:val="clear" w:color="auto" w:fill="auto"/>
            <w:noWrap/>
            <w:vAlign w:val="bottom"/>
          </w:tcPr>
          <w:p w14:paraId="7C8C64F0">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大荒沟村</w:t>
            </w:r>
          </w:p>
        </w:tc>
        <w:tc>
          <w:tcPr>
            <w:tcW w:w="1477" w:type="pct"/>
            <w:tcBorders>
              <w:top w:val="nil"/>
              <w:left w:val="single" w:color="auto" w:sz="4" w:space="0"/>
              <w:bottom w:val="single" w:color="000000" w:sz="4" w:space="0"/>
              <w:right w:val="single" w:color="000000" w:sz="4" w:space="0"/>
            </w:tcBorders>
            <w:shd w:val="clear" w:color="auto" w:fill="auto"/>
            <w:noWrap/>
            <w:vAlign w:val="center"/>
          </w:tcPr>
          <w:p w14:paraId="7A65E9AB">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eastAsia" w:ascii="Times New Roman" w:hAnsi="Times New Roman" w:cs="Times New Roman"/>
                <w:color w:val="000000"/>
                <w:sz w:val="21"/>
                <w:szCs w:val="16"/>
                <w:u w:val="none"/>
                <w:lang w:val="en-US" w:eastAsia="zh-CN"/>
              </w:rPr>
              <w:t>增</w:t>
            </w:r>
            <w:r>
              <w:rPr>
                <w:rFonts w:hint="default" w:ascii="Times New Roman" w:hAnsi="Times New Roman" w:eastAsia="仿宋_GB2312" w:cs="Times New Roman"/>
                <w:color w:val="000000"/>
                <w:sz w:val="21"/>
                <w:szCs w:val="16"/>
                <w:u w:val="none"/>
              </w:rPr>
              <w:t>量型</w:t>
            </w:r>
          </w:p>
        </w:tc>
        <w:tc>
          <w:tcPr>
            <w:tcW w:w="575" w:type="pct"/>
            <w:tcBorders>
              <w:top w:val="nil"/>
              <w:left w:val="single" w:color="000000" w:sz="4" w:space="0"/>
              <w:bottom w:val="single" w:color="000000" w:sz="4" w:space="0"/>
              <w:right w:val="single" w:color="000000" w:sz="4" w:space="0"/>
            </w:tcBorders>
            <w:shd w:val="clear" w:color="auto" w:fill="auto"/>
            <w:noWrap/>
            <w:vAlign w:val="center"/>
          </w:tcPr>
          <w:p w14:paraId="65660514">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4B17A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15348B76">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06BAC57">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auto" w:sz="4" w:space="0"/>
              <w:left w:val="single" w:color="auto" w:sz="4" w:space="0"/>
              <w:bottom w:val="single" w:color="auto" w:sz="4" w:space="0"/>
              <w:right w:val="single" w:color="auto" w:sz="4" w:space="0"/>
            </w:tcBorders>
            <w:shd w:val="clear" w:color="auto" w:fill="auto"/>
            <w:noWrap/>
            <w:vAlign w:val="bottom"/>
          </w:tcPr>
          <w:p w14:paraId="367EA2C8">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偏岭沟</w:t>
            </w:r>
          </w:p>
        </w:tc>
        <w:tc>
          <w:tcPr>
            <w:tcW w:w="1477"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63E15BC8">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18C17">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1D8F8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71DC0F08">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889C009">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auto" w:sz="4" w:space="0"/>
              <w:left w:val="single" w:color="auto" w:sz="4" w:space="0"/>
              <w:bottom w:val="single" w:color="auto" w:sz="4" w:space="0"/>
              <w:right w:val="single" w:color="auto" w:sz="4" w:space="0"/>
            </w:tcBorders>
            <w:shd w:val="clear" w:color="auto" w:fill="auto"/>
            <w:noWrap/>
            <w:vAlign w:val="bottom"/>
          </w:tcPr>
          <w:p w14:paraId="1EBBE89F">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南岔</w:t>
            </w:r>
          </w:p>
        </w:tc>
        <w:tc>
          <w:tcPr>
            <w:tcW w:w="1477"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5554D63A">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CE157">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67435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69AD5B9C">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277CA78">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auto" w:sz="4" w:space="0"/>
              <w:left w:val="single" w:color="auto" w:sz="4" w:space="0"/>
              <w:bottom w:val="single" w:color="auto" w:sz="4" w:space="0"/>
              <w:right w:val="single" w:color="auto" w:sz="4" w:space="0"/>
            </w:tcBorders>
            <w:shd w:val="clear" w:color="auto" w:fill="auto"/>
            <w:noWrap/>
            <w:vAlign w:val="bottom"/>
          </w:tcPr>
          <w:p w14:paraId="61F3FEA2">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偏岭村</w:t>
            </w:r>
          </w:p>
        </w:tc>
        <w:tc>
          <w:tcPr>
            <w:tcW w:w="1477"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13271DC0">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4CE6E">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53001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19AD2FF2">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8EB27BB">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auto" w:sz="4" w:space="0"/>
              <w:left w:val="single" w:color="auto" w:sz="4" w:space="0"/>
              <w:bottom w:val="single" w:color="auto" w:sz="4" w:space="0"/>
              <w:right w:val="single" w:color="auto" w:sz="4" w:space="0"/>
            </w:tcBorders>
            <w:shd w:val="clear" w:color="auto" w:fill="auto"/>
            <w:noWrap/>
            <w:vAlign w:val="bottom"/>
          </w:tcPr>
          <w:p w14:paraId="4256D1AF">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三道沟</w:t>
            </w:r>
          </w:p>
        </w:tc>
        <w:tc>
          <w:tcPr>
            <w:tcW w:w="1477"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5ACFED65">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F5566">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1FF58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5CCBE7C0">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06BB5EB">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auto" w:sz="4" w:space="0"/>
              <w:left w:val="single" w:color="auto" w:sz="4" w:space="0"/>
              <w:bottom w:val="single" w:color="auto" w:sz="4" w:space="0"/>
              <w:right w:val="single" w:color="auto" w:sz="4" w:space="0"/>
            </w:tcBorders>
            <w:shd w:val="clear" w:color="auto" w:fill="auto"/>
            <w:noWrap/>
            <w:vAlign w:val="bottom"/>
          </w:tcPr>
          <w:p w14:paraId="6B5E89E2">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下崴子</w:t>
            </w:r>
          </w:p>
        </w:tc>
        <w:tc>
          <w:tcPr>
            <w:tcW w:w="1477"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1180847F">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DBBE7">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30ED5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2A8F8E0E">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79E4E1D">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auto" w:sz="4" w:space="0"/>
              <w:left w:val="single" w:color="auto" w:sz="4" w:space="0"/>
              <w:bottom w:val="single" w:color="auto" w:sz="4" w:space="0"/>
              <w:right w:val="single" w:color="auto" w:sz="4" w:space="0"/>
            </w:tcBorders>
            <w:shd w:val="clear" w:color="auto" w:fill="auto"/>
            <w:noWrap/>
            <w:vAlign w:val="bottom"/>
          </w:tcPr>
          <w:p w14:paraId="6905E2A7">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北山</w:t>
            </w:r>
          </w:p>
        </w:tc>
        <w:tc>
          <w:tcPr>
            <w:tcW w:w="1477"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57C6FD7E">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195A2">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271AE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05DFF6C7">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ED2B858">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auto" w:sz="4" w:space="0"/>
              <w:left w:val="single" w:color="auto" w:sz="4" w:space="0"/>
              <w:bottom w:val="single" w:color="auto" w:sz="4" w:space="0"/>
              <w:right w:val="single" w:color="auto" w:sz="4" w:space="0"/>
            </w:tcBorders>
            <w:shd w:val="clear" w:color="auto" w:fill="auto"/>
            <w:noWrap/>
            <w:vAlign w:val="bottom"/>
          </w:tcPr>
          <w:p w14:paraId="7915C71F">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大黑卧子沟</w:t>
            </w:r>
          </w:p>
        </w:tc>
        <w:tc>
          <w:tcPr>
            <w:tcW w:w="1477"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6E5860E3">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7740E">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62EE5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55CE059E">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813FBB3">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auto" w:sz="4" w:space="0"/>
              <w:left w:val="single" w:color="auto" w:sz="4" w:space="0"/>
              <w:bottom w:val="single" w:color="auto" w:sz="4" w:space="0"/>
              <w:right w:val="single" w:color="auto" w:sz="4" w:space="0"/>
            </w:tcBorders>
            <w:shd w:val="clear" w:color="auto" w:fill="auto"/>
            <w:noWrap/>
            <w:vAlign w:val="bottom"/>
          </w:tcPr>
          <w:p w14:paraId="2112952E">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荒沟口</w:t>
            </w:r>
          </w:p>
        </w:tc>
        <w:tc>
          <w:tcPr>
            <w:tcW w:w="1477"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193853FA">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1A83A">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r w14:paraId="0C7E8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70"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261E395E">
            <w:pPr>
              <w:keepNext w:val="0"/>
              <w:keepLines w:val="0"/>
              <w:widowControl/>
              <w:numPr>
                <w:ilvl w:val="0"/>
                <w:numId w:val="3"/>
              </w:numPr>
              <w:suppressLineNumbers w:val="0"/>
              <w:wordWrap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2"/>
                <w:szCs w:val="28"/>
                <w:u w:val="none"/>
              </w:rPr>
            </w:pPr>
          </w:p>
        </w:tc>
        <w:tc>
          <w:tcPr>
            <w:tcW w:w="1102"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7D6B2D9">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c>
          <w:tcPr>
            <w:tcW w:w="1374" w:type="pct"/>
            <w:tcBorders>
              <w:top w:val="single" w:color="auto" w:sz="4" w:space="0"/>
              <w:left w:val="single" w:color="auto" w:sz="4" w:space="0"/>
              <w:bottom w:val="single" w:color="auto" w:sz="4" w:space="0"/>
              <w:right w:val="single" w:color="auto" w:sz="4" w:space="0"/>
            </w:tcBorders>
            <w:shd w:val="clear" w:color="auto" w:fill="auto"/>
            <w:noWrap/>
            <w:vAlign w:val="bottom"/>
          </w:tcPr>
          <w:p w14:paraId="682025DE">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4"/>
                <w:u w:val="none"/>
                <w:lang w:val="en-US" w:eastAsia="zh-CN"/>
              </w:rPr>
            </w:pPr>
            <w:r>
              <w:rPr>
                <w:rFonts w:hint="default" w:ascii="Times New Roman" w:hAnsi="Times New Roman" w:eastAsia="仿宋_GB2312" w:cs="Times New Roman"/>
                <w:color w:val="auto"/>
                <w:sz w:val="21"/>
                <w:szCs w:val="24"/>
                <w:u w:val="none"/>
                <w:lang w:val="en-US" w:eastAsia="zh-CN"/>
              </w:rPr>
              <w:t>北山里</w:t>
            </w:r>
          </w:p>
        </w:tc>
        <w:tc>
          <w:tcPr>
            <w:tcW w:w="1477"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3494C2EC">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15"/>
                <w:szCs w:val="18"/>
                <w:u w:val="none"/>
              </w:rPr>
            </w:pPr>
            <w:r>
              <w:rPr>
                <w:rFonts w:hint="default" w:ascii="Times New Roman" w:hAnsi="Times New Roman" w:eastAsia="仿宋_GB2312" w:cs="Times New Roman"/>
                <w:color w:val="000000"/>
                <w:sz w:val="21"/>
                <w:szCs w:val="16"/>
                <w:u w:val="none"/>
              </w:rPr>
              <w:t>等量型</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7F0AC">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sz w:val="21"/>
                <w:szCs w:val="24"/>
                <w:u w:val="none"/>
              </w:rPr>
            </w:pPr>
          </w:p>
        </w:tc>
      </w:tr>
    </w:tbl>
    <w:p w14:paraId="273EA979">
      <w:pPr>
        <w:keepNext w:val="0"/>
        <w:keepLines w:val="0"/>
        <w:pageBreakBefore w:val="0"/>
        <w:widowControl w:val="0"/>
        <w:kinsoku/>
        <w:overflowPunct/>
        <w:topLinePunct w:val="0"/>
        <w:autoSpaceDE/>
        <w:autoSpaceDN/>
        <w:bidi w:val="0"/>
        <w:spacing w:line="600" w:lineRule="exact"/>
        <w:textAlignment w:val="auto"/>
        <w:rPr>
          <w:rFonts w:hint="eastAsia"/>
          <w:u w:val="none"/>
        </w:rPr>
      </w:pPr>
    </w:p>
    <w:p w14:paraId="27283829">
      <w:pPr>
        <w:keepNext w:val="0"/>
        <w:keepLines w:val="0"/>
        <w:pageBreakBefore w:val="0"/>
        <w:widowControl w:val="0"/>
        <w:kinsoku/>
        <w:overflowPunct/>
        <w:topLinePunct w:val="0"/>
        <w:autoSpaceDE/>
        <w:autoSpaceDN/>
        <w:bidi w:val="0"/>
        <w:spacing w:line="600" w:lineRule="exact"/>
        <w:textAlignment w:val="auto"/>
        <w:rPr>
          <w:rFonts w:hint="eastAsia"/>
          <w:u w:val="none"/>
        </w:rPr>
      </w:pPr>
    </w:p>
    <w:p w14:paraId="4F2CAADF">
      <w:pPr>
        <w:pStyle w:val="3"/>
        <w:bidi w:val="0"/>
        <w:ind w:left="0" w:leftChars="0" w:firstLine="420" w:firstLineChars="0"/>
        <w:rPr>
          <w:rFonts w:hint="eastAsia" w:ascii="黑体" w:hAnsi="黑体" w:eastAsia="黑体" w:cs="黑体"/>
          <w:u w:val="none"/>
          <w:lang w:val="en-US" w:eastAsia="zh-CN"/>
        </w:rPr>
      </w:pPr>
      <w:bookmarkStart w:id="104" w:name="_Toc31956"/>
      <w:bookmarkStart w:id="105" w:name="_Toc6136"/>
      <w:bookmarkStart w:id="106" w:name="_Toc152937205"/>
      <w:r>
        <w:rPr>
          <w:rFonts w:hint="eastAsia" w:ascii="黑体" w:hAnsi="黑体" w:eastAsia="黑体" w:cs="黑体"/>
          <w:u w:val="none"/>
          <w:lang w:val="en-US" w:eastAsia="zh-CN"/>
        </w:rPr>
        <w:t>“通则式”村庄规划管理规定</w:t>
      </w:r>
      <w:bookmarkEnd w:id="104"/>
      <w:bookmarkEnd w:id="105"/>
    </w:p>
    <w:p w14:paraId="7FA40C51">
      <w:pPr>
        <w:pStyle w:val="4"/>
        <w:bidi w:val="0"/>
        <w:ind w:left="0" w:leftChars="0" w:firstLine="420" w:firstLineChars="0"/>
        <w:rPr>
          <w:rFonts w:hint="eastAsia"/>
          <w:color w:val="auto"/>
          <w:u w:val="none"/>
          <w:lang w:val="en-US" w:eastAsia="zh-CN"/>
        </w:rPr>
      </w:pPr>
      <w:r>
        <w:rPr>
          <w:rFonts w:hint="eastAsia"/>
          <w:color w:val="auto"/>
          <w:u w:val="none"/>
          <w:lang w:val="en-US" w:eastAsia="zh-CN"/>
        </w:rPr>
        <w:t>管理要求</w:t>
      </w:r>
    </w:p>
    <w:p w14:paraId="5379816D">
      <w:pPr>
        <w:keepNext w:val="0"/>
        <w:keepLines w:val="0"/>
        <w:pageBreakBefore w:val="0"/>
        <w:widowControl w:val="0"/>
        <w:kinsoku/>
        <w:overflowPunct/>
        <w:topLinePunct w:val="0"/>
        <w:autoSpaceDE/>
        <w:autoSpaceDN/>
        <w:bidi w:val="0"/>
        <w:spacing w:line="600" w:lineRule="exact"/>
        <w:textAlignment w:val="auto"/>
        <w:rPr>
          <w:rFonts w:cs="仿宋_GB2312"/>
          <w:szCs w:val="32"/>
          <w:u w:val="none"/>
          <w:lang w:bidi="ar"/>
        </w:rPr>
      </w:pPr>
      <w:r>
        <w:rPr>
          <w:rFonts w:hint="eastAsia" w:cs="仿宋_GB2312"/>
          <w:szCs w:val="32"/>
          <w:u w:val="none"/>
          <w:lang w:bidi="ar"/>
        </w:rPr>
        <w:t>按照管理需求和编制深度，将村庄规划分为实用性村庄规划、“通则式”村庄规划和“通则式”村庄管控指引三种类型。有乡村产业发展需求需要进行适度开发建设，以及推进农村人居环境整治力度大的集聚建设类和特殊保护类村庄，以及部分城郊融合类与整治提升类村庄，编制实用性村庄规划，通过规划引领村庄发展和建设。实用性村庄规划编制应按照《辽宁省村庄规划编制导则（试行）》。近期不进行开发建设或产业发展、建设需求较少的城郊融合类与整治提升类村庄，在乡镇级国土空间规划中编制“通则式”村庄规划，规划古城镇除洼泥甸村以外各村均编制“通则式”村庄规划。“通则式”村庄规划编制以行政村为单元，明确村庄耕地保护、生态保护、建设管控、历史文化保护等基本内容。满足村庄</w:t>
      </w:r>
      <w:r>
        <w:rPr>
          <w:rFonts w:hint="eastAsia" w:cs="仿宋_GB2312"/>
          <w:szCs w:val="32"/>
          <w:u w:val="none"/>
          <w:lang w:eastAsia="zh-CN" w:bidi="ar"/>
        </w:rPr>
        <w:t>基本</w:t>
      </w:r>
      <w:r>
        <w:rPr>
          <w:rFonts w:hint="eastAsia" w:cs="仿宋_GB2312"/>
          <w:szCs w:val="32"/>
          <w:u w:val="none"/>
          <w:lang w:bidi="ar"/>
        </w:rPr>
        <w:t>建设管控需求和核发乡村建设规划许可的条件。各项目涉及在现状保留区范围内的，允许在原址用地范围内进行改扩建等建设行为，优先使用存量建设用地。涉及新增规划项目用地的，应在村庄建设边界内的规划新增区进行。</w:t>
      </w:r>
    </w:p>
    <w:p w14:paraId="77671221">
      <w:pPr>
        <w:pStyle w:val="4"/>
        <w:bidi w:val="0"/>
        <w:ind w:left="0" w:leftChars="0" w:firstLine="420" w:firstLineChars="0"/>
        <w:rPr>
          <w:rFonts w:hint="eastAsia"/>
          <w:color w:val="auto"/>
          <w:u w:val="none"/>
          <w:lang w:val="en-US" w:eastAsia="zh-CN"/>
        </w:rPr>
      </w:pPr>
      <w:r>
        <w:rPr>
          <w:rFonts w:hint="eastAsia"/>
          <w:color w:val="auto"/>
          <w:u w:val="none"/>
          <w:lang w:val="en-US" w:eastAsia="zh-CN"/>
        </w:rPr>
        <w:t>底线管控</w:t>
      </w:r>
    </w:p>
    <w:p w14:paraId="482F6C88">
      <w:pPr>
        <w:keepNext w:val="0"/>
        <w:keepLines w:val="0"/>
        <w:pageBreakBefore w:val="0"/>
        <w:widowControl w:val="0"/>
        <w:kinsoku/>
        <w:overflowPunct/>
        <w:topLinePunct w:val="0"/>
        <w:autoSpaceDE/>
        <w:autoSpaceDN/>
        <w:bidi w:val="0"/>
        <w:spacing w:line="600" w:lineRule="exact"/>
        <w:jc w:val="left"/>
        <w:textAlignment w:val="auto"/>
        <w:rPr>
          <w:rFonts w:cs="仿宋_GB2312"/>
          <w:szCs w:val="32"/>
          <w:u w:val="none"/>
          <w:lang w:bidi="ar"/>
        </w:rPr>
      </w:pPr>
      <w:r>
        <w:rPr>
          <w:rFonts w:hint="eastAsia" w:cs="仿宋_GB2312"/>
          <w:szCs w:val="32"/>
          <w:u w:val="none"/>
          <w:lang w:bidi="ar"/>
        </w:rPr>
        <w:t>耕地保护管控。坚持最严格的耕地保护制度，严格落实永久基本农田管控。坚决防止永久基本农田“非农化”。国家和省级以上重大建设项目和保障人民群众生命安全的建设项目选址确实无法避开永久基本农田的，须经省级以上自然资源主管部门组织论证。</w:t>
      </w:r>
    </w:p>
    <w:p w14:paraId="5E6370A6">
      <w:pPr>
        <w:keepNext w:val="0"/>
        <w:keepLines w:val="0"/>
        <w:pageBreakBefore w:val="0"/>
        <w:widowControl w:val="0"/>
        <w:kinsoku/>
        <w:overflowPunct/>
        <w:topLinePunct w:val="0"/>
        <w:autoSpaceDE/>
        <w:autoSpaceDN/>
        <w:bidi w:val="0"/>
        <w:spacing w:line="600" w:lineRule="exact"/>
        <w:jc w:val="left"/>
        <w:textAlignment w:val="auto"/>
        <w:rPr>
          <w:rFonts w:cs="仿宋_GB2312"/>
          <w:szCs w:val="32"/>
          <w:u w:val="none"/>
          <w:lang w:bidi="ar"/>
        </w:rPr>
      </w:pPr>
      <w:r>
        <w:rPr>
          <w:rFonts w:hint="eastAsia" w:cs="仿宋_GB2312"/>
          <w:szCs w:val="32"/>
          <w:u w:val="none"/>
          <w:lang w:bidi="ar"/>
        </w:rPr>
        <w:t>生态保护管控。严格落实生态保护红线管控，确保生态保护红线落地准确、边界清晰。生态保护红线原则上按禁止开发区域的要求进行管理。严禁不符合主体功能定位的各类开发活动，严禁任意改变用途，确保生态功能不降低、面积不减少、性质不改变。</w:t>
      </w:r>
    </w:p>
    <w:p w14:paraId="27E588F1">
      <w:pPr>
        <w:keepNext w:val="0"/>
        <w:keepLines w:val="0"/>
        <w:pageBreakBefore w:val="0"/>
        <w:widowControl w:val="0"/>
        <w:kinsoku/>
        <w:overflowPunct/>
        <w:topLinePunct w:val="0"/>
        <w:autoSpaceDE/>
        <w:autoSpaceDN/>
        <w:bidi w:val="0"/>
        <w:spacing w:line="600" w:lineRule="exact"/>
        <w:jc w:val="left"/>
        <w:textAlignment w:val="auto"/>
        <w:rPr>
          <w:rFonts w:cs="仿宋_GB2312"/>
          <w:szCs w:val="32"/>
          <w:u w:val="none"/>
          <w:lang w:bidi="ar"/>
        </w:rPr>
      </w:pPr>
      <w:r>
        <w:rPr>
          <w:rFonts w:hint="eastAsia" w:cs="仿宋_GB2312"/>
          <w:szCs w:val="32"/>
          <w:u w:val="none"/>
          <w:lang w:bidi="ar"/>
        </w:rPr>
        <w:t>村庄建设边界。在村庄建设边界内实行“村庄规划+乡村建设规划许可”的管控方式。严格实行建设用地总量与强度双控，强化村庄建设边界对开发建设行为的刚性约束作用。</w:t>
      </w:r>
    </w:p>
    <w:p w14:paraId="2BC349F6">
      <w:pPr>
        <w:keepNext w:val="0"/>
        <w:keepLines w:val="0"/>
        <w:pageBreakBefore w:val="0"/>
        <w:widowControl w:val="0"/>
        <w:kinsoku/>
        <w:overflowPunct/>
        <w:topLinePunct w:val="0"/>
        <w:autoSpaceDE/>
        <w:autoSpaceDN/>
        <w:bidi w:val="0"/>
        <w:spacing w:line="600" w:lineRule="exact"/>
        <w:jc w:val="left"/>
        <w:textAlignment w:val="auto"/>
        <w:rPr>
          <w:rFonts w:cs="仿宋_GB2312"/>
          <w:szCs w:val="32"/>
          <w:u w:val="none"/>
          <w:lang w:bidi="ar"/>
        </w:rPr>
      </w:pPr>
      <w:r>
        <w:rPr>
          <w:rFonts w:hint="eastAsia" w:cs="仿宋_GB2312"/>
          <w:szCs w:val="32"/>
          <w:u w:val="none"/>
          <w:lang w:bidi="ar"/>
        </w:rPr>
        <w:t>防灾减灾管控。农业生产和村庄建设应避让洪涝风险控制线和地质灾害高易发区，加强对风险极高区域的防灾减灾救灾设施建设，有效降低灾害影响，提高村庄安全防护能力和水平。加强崩塌和泥石流地质灾害隐患点分期防治，加强警示、监测和预报。实施工程治理，中远期防治工作以生物工程为主。</w:t>
      </w:r>
    </w:p>
    <w:p w14:paraId="7DF935FC">
      <w:pPr>
        <w:keepNext w:val="0"/>
        <w:keepLines w:val="0"/>
        <w:pageBreakBefore w:val="0"/>
        <w:widowControl w:val="0"/>
        <w:kinsoku/>
        <w:overflowPunct/>
        <w:topLinePunct w:val="0"/>
        <w:autoSpaceDE/>
        <w:autoSpaceDN/>
        <w:bidi w:val="0"/>
        <w:spacing w:line="600" w:lineRule="exact"/>
        <w:jc w:val="left"/>
        <w:textAlignment w:val="auto"/>
        <w:rPr>
          <w:rFonts w:cs="仿宋_GB2312"/>
          <w:szCs w:val="32"/>
          <w:u w:val="none"/>
          <w:lang w:bidi="ar"/>
        </w:rPr>
      </w:pPr>
      <w:r>
        <w:rPr>
          <w:rFonts w:cs="仿宋_GB2312"/>
          <w:szCs w:val="32"/>
          <w:u w:val="none"/>
          <w:lang w:bidi="ar"/>
        </w:rPr>
        <w:t>历史文化保护管控。按照真实性、完整性的保护要求，根据保护对象的级别和类型，分类保护历史文化遗产。对历史文化名村、传统村落，要重点保护其传统格局、历史风貌、人文环境及其所依存的地形地貌、河湖水系等自然景观环境；对文物保护单位，要不改变文物原状，重点保护其本体及其周边环境，大力实施原址保护，加强预防性保护、日常保养和保护修缮；对地下文物埋藏区和水下文物埋藏区，要“先考古、后出让”；对历史建筑要保持原有的外形和风貌。</w:t>
      </w:r>
    </w:p>
    <w:p w14:paraId="5C98F9A9">
      <w:pPr>
        <w:pStyle w:val="4"/>
        <w:bidi w:val="0"/>
        <w:ind w:left="0" w:leftChars="0" w:firstLine="420" w:firstLineChars="0"/>
        <w:rPr>
          <w:rFonts w:hint="eastAsia"/>
          <w:color w:val="auto"/>
          <w:u w:val="none"/>
          <w:lang w:val="en-US" w:eastAsia="zh-CN"/>
        </w:rPr>
      </w:pPr>
      <w:r>
        <w:rPr>
          <w:rFonts w:hint="eastAsia"/>
          <w:color w:val="auto"/>
          <w:u w:val="none"/>
          <w:lang w:val="en-US" w:eastAsia="zh-CN"/>
        </w:rPr>
        <w:t>建设指引</w:t>
      </w:r>
    </w:p>
    <w:p w14:paraId="73AE9EA2">
      <w:pPr>
        <w:keepNext w:val="0"/>
        <w:keepLines w:val="0"/>
        <w:pageBreakBefore w:val="0"/>
        <w:widowControl w:val="0"/>
        <w:kinsoku/>
        <w:overflowPunct/>
        <w:topLinePunct w:val="0"/>
        <w:autoSpaceDE/>
        <w:autoSpaceDN/>
        <w:bidi w:val="0"/>
        <w:spacing w:line="600" w:lineRule="exact"/>
        <w:textAlignment w:val="auto"/>
        <w:rPr>
          <w:u w:val="none"/>
          <w:lang w:bidi="ar"/>
        </w:rPr>
      </w:pPr>
      <w:r>
        <w:rPr>
          <w:rFonts w:hint="eastAsia"/>
          <w:u w:val="none"/>
          <w:lang w:bidi="ar"/>
        </w:rPr>
        <w:t>农房建设管控指引。严格落实“一户一宅”政策，从严控制农村居民超用地标准建房，新申请的农村宅基地，每户不得超过辽宁省规定的宅基地面积。鼓励农村宅基地、经营性建设用地向村委会所在地的自然村适度集中。合理控制农房建筑层高和总高度，原则上层高不宜低于2.8米；单层平屋顶住房主体总高度不宜超过3.5米，多层住房主体总高度不宜超过12米；农村新型社区以联排式</w:t>
      </w:r>
      <w:r>
        <w:rPr>
          <w:rFonts w:hint="eastAsia" w:eastAsia="仿宋_GB2312"/>
          <w:u w:val="none"/>
          <w:lang w:eastAsia="zh-CN" w:bidi="ar"/>
        </w:rPr>
        <w:t>多层住宅</w:t>
      </w:r>
      <w:r>
        <w:rPr>
          <w:rFonts w:hint="eastAsia"/>
          <w:u w:val="none"/>
          <w:lang w:bidi="ar"/>
        </w:rPr>
        <w:t>为主，总层数控制在2—3层。</w:t>
      </w:r>
    </w:p>
    <w:p w14:paraId="0D08AFAE">
      <w:pPr>
        <w:keepNext w:val="0"/>
        <w:keepLines w:val="0"/>
        <w:pageBreakBefore w:val="0"/>
        <w:widowControl w:val="0"/>
        <w:kinsoku/>
        <w:overflowPunct/>
        <w:topLinePunct w:val="0"/>
        <w:autoSpaceDE/>
        <w:autoSpaceDN/>
        <w:bidi w:val="0"/>
        <w:spacing w:line="600" w:lineRule="exact"/>
        <w:textAlignment w:val="auto"/>
        <w:rPr>
          <w:rFonts w:hint="eastAsia" w:ascii="仿宋_GB2312" w:hAnsi="仿宋_GB2312"/>
          <w:szCs w:val="24"/>
          <w:u w:val="none"/>
        </w:rPr>
      </w:pPr>
      <w:r>
        <w:rPr>
          <w:rFonts w:hint="eastAsia" w:ascii="仿宋_GB2312" w:hAnsi="仿宋_GB2312"/>
          <w:szCs w:val="24"/>
          <w:u w:val="none"/>
        </w:rPr>
        <w:t>公共服务设施配置指引。根据乡村类型差异化制定公共服务要素配置标准。其中，集聚建设类村庄应配置功能综合、相对完善的乡村公共服务体系，结合乡村振兴建设，强化电商物流等生产性服务保障；整治提升类村庄应补足必要的公共服务设施，满足现代农村生产生活需求；特色保护类村庄除必要公共服务设施外，还应重点考虑配置文化旅游设施；已确定近期整体搬迁撤并的村庄，原则上不予增建，计划远期整体搬迁撤并以及渐进式搬迁撤并的村庄，酌情降低设施的配置标准。</w:t>
      </w:r>
    </w:p>
    <w:p w14:paraId="21485F62">
      <w:pPr>
        <w:keepNext w:val="0"/>
        <w:keepLines w:val="0"/>
        <w:pageBreakBefore w:val="0"/>
        <w:widowControl w:val="0"/>
        <w:kinsoku/>
        <w:overflowPunct/>
        <w:topLinePunct w:val="0"/>
        <w:autoSpaceDE/>
        <w:autoSpaceDN/>
        <w:bidi w:val="0"/>
        <w:spacing w:line="600" w:lineRule="exact"/>
        <w:textAlignment w:val="auto"/>
        <w:rPr>
          <w:rFonts w:hint="eastAsia" w:ascii="仿宋_GB2312" w:hAnsi="仿宋_GB2312"/>
          <w:szCs w:val="24"/>
          <w:u w:val="none"/>
        </w:rPr>
      </w:pPr>
      <w:r>
        <w:rPr>
          <w:rFonts w:hint="eastAsia" w:ascii="仿宋_GB2312" w:hAnsi="仿宋_GB2312"/>
          <w:szCs w:val="24"/>
          <w:u w:val="none"/>
        </w:rPr>
        <w:t>农村基础设施配套指引。加强农村公路养护和安全管理，推动与沿线物流节点、乡村旅游景区等一体化建设；健全县、乡、村三级农村物流服务体系，建设村级寄递物流综合服务站。公用设施配置根据乡村类型差异化制定配置标准。其中，集聚建设类村庄的公用设施可结合乡村振兴发展需求适度超前配置，鼓励有条件地区多村共建共享公用设施；整治提升类和搬迁撤并类村庄的公用设施设置应以保障基本生活需求为重点；城郊融合类村庄公用设施的建设应充分考虑与城镇公用设施互联互通。对于因旅游、产业发展等吸引外来人口规模较大的村庄，应适度提高公用设施配建</w:t>
      </w:r>
      <w:r>
        <w:rPr>
          <w:rFonts w:hint="eastAsia" w:ascii="仿宋_GB2312" w:hAnsi="仿宋_GB2312"/>
          <w:szCs w:val="24"/>
          <w:u w:val="none"/>
          <w:lang w:eastAsia="zh-CN"/>
        </w:rPr>
        <w:t>标准</w:t>
      </w:r>
      <w:r>
        <w:rPr>
          <w:rFonts w:hint="eastAsia" w:ascii="仿宋_GB2312" w:hAnsi="仿宋_GB2312"/>
          <w:szCs w:val="24"/>
          <w:u w:val="none"/>
        </w:rPr>
        <w:t>乡村产业用地规划布局指引。</w:t>
      </w:r>
    </w:p>
    <w:p w14:paraId="707FFCC7">
      <w:pPr>
        <w:keepNext w:val="0"/>
        <w:keepLines w:val="0"/>
        <w:pageBreakBefore w:val="0"/>
        <w:widowControl w:val="0"/>
        <w:kinsoku/>
        <w:overflowPunct/>
        <w:topLinePunct w:val="0"/>
        <w:autoSpaceDE/>
        <w:autoSpaceDN/>
        <w:bidi w:val="0"/>
        <w:spacing w:line="600" w:lineRule="exact"/>
        <w:textAlignment w:val="auto"/>
        <w:rPr>
          <w:rFonts w:hint="eastAsia" w:ascii="仿宋_GB2312" w:hAnsi="仿宋_GB2312"/>
          <w:szCs w:val="24"/>
          <w:u w:val="none"/>
        </w:rPr>
      </w:pPr>
      <w:r>
        <w:rPr>
          <w:rFonts w:hint="eastAsia" w:ascii="仿宋_GB2312" w:hAnsi="仿宋_GB2312"/>
          <w:szCs w:val="24"/>
          <w:u w:val="none"/>
        </w:rPr>
        <w:t>乡村产业用地规划布局指引。统筹一二三产业空间布局，以农业为依托延伸产业链条，优化配置农村二三产业发展空间。引导农产品初加工、产地直销等产业在村庄区位优势区域合理布局、适度集中。合理保障农产品加工流通、电子商务、冷链物流、乡村旅游、休闲农业、民宿经济等新产业新业态用地需求。农村一二三产业融合发展涉及的工业、商业等经营性项目应优先利用空闲地、村庄内部其他用地等闲置低效建设用地，鼓励依法登记的村庄建设用地进行混合利用。</w:t>
      </w:r>
    </w:p>
    <w:p w14:paraId="791157C0">
      <w:pPr>
        <w:keepNext w:val="0"/>
        <w:keepLines w:val="0"/>
        <w:pageBreakBefore w:val="0"/>
        <w:widowControl w:val="0"/>
        <w:kinsoku/>
        <w:overflowPunct/>
        <w:topLinePunct w:val="0"/>
        <w:autoSpaceDE/>
        <w:autoSpaceDN/>
        <w:bidi w:val="0"/>
        <w:spacing w:line="600" w:lineRule="exact"/>
        <w:textAlignment w:val="auto"/>
        <w:rPr>
          <w:color w:val="2E75B6" w:themeColor="accent5" w:themeShade="BF"/>
          <w:u w:val="none"/>
          <w:lang w:bidi="ar"/>
        </w:rPr>
      </w:pPr>
      <w:r>
        <w:rPr>
          <w:u w:val="none"/>
        </w:rPr>
        <w:t>村庄建筑风貌与农村人居环境整治指引。充分尊重自然本底、原有肌理，按照适度集中原则，统筹安排居住、产业、公共服务、景观绿化等空间布局，满足新时代农民生产生活需要。新建农房按照适用、经济、绿色、美观的原则，注重使用乡土材料，突出地域特征，建筑结构以砖混结构为主，屋顶多采用平屋顶式样，合理搭配墙面、台阶、门窗等部位材料和色彩、注重墙体环保节能。公共建筑风貌注重与村域环境和农房建筑风貌相协调，打造简洁、美观、大气、实用的公共建筑风貌。以建设宜居宜业和美乡村为目标，全面提升农村人居环境质量。积极推进农村生活垃圾治理，强化垃圾就地分类和资源化利用。梯次推进农村生活污水</w:t>
      </w:r>
      <w:r>
        <w:rPr>
          <w:rFonts w:hint="eastAsia" w:eastAsia="仿宋_GB2312"/>
          <w:u w:val="none"/>
          <w:lang w:eastAsia="zh-CN"/>
        </w:rPr>
        <w:t>治理</w:t>
      </w:r>
      <w:r>
        <w:rPr>
          <w:u w:val="none"/>
        </w:rPr>
        <w:t>，逐步消除农村黑臭水体，加强农村饮用水水源地保护。综合提升田水路林村风貌，促进村庄形态与自然环境相得益彰。</w:t>
      </w:r>
    </w:p>
    <w:p w14:paraId="29604B86">
      <w:pPr>
        <w:pStyle w:val="3"/>
        <w:bidi w:val="0"/>
        <w:ind w:left="0" w:leftChars="0" w:firstLine="420" w:firstLineChars="0"/>
        <w:rPr>
          <w:rFonts w:hint="eastAsia" w:ascii="黑体" w:hAnsi="黑体" w:eastAsia="黑体" w:cs="黑体"/>
          <w:u w:val="none"/>
          <w:lang w:val="en-US" w:eastAsia="zh-CN"/>
        </w:rPr>
      </w:pPr>
      <w:bookmarkStart w:id="107" w:name="_Toc30053"/>
      <w:bookmarkStart w:id="108" w:name="_Toc18579"/>
      <w:r>
        <w:rPr>
          <w:rFonts w:hint="eastAsia" w:ascii="黑体" w:hAnsi="黑体" w:eastAsia="黑体" w:cs="黑体"/>
          <w:u w:val="none"/>
          <w:lang w:val="en-US" w:eastAsia="zh-CN"/>
        </w:rPr>
        <w:t>产业</w:t>
      </w:r>
      <w:bookmarkEnd w:id="106"/>
      <w:r>
        <w:rPr>
          <w:rFonts w:hint="eastAsia" w:ascii="黑体" w:hAnsi="黑体" w:eastAsia="黑体" w:cs="黑体"/>
          <w:u w:val="none"/>
          <w:lang w:val="en-US" w:eastAsia="zh-CN"/>
        </w:rPr>
        <w:t>布局</w:t>
      </w:r>
      <w:bookmarkEnd w:id="107"/>
      <w:bookmarkEnd w:id="108"/>
    </w:p>
    <w:p w14:paraId="6E3E275F">
      <w:pPr>
        <w:pStyle w:val="4"/>
        <w:bidi w:val="0"/>
        <w:ind w:left="0" w:leftChars="0" w:firstLine="420" w:firstLineChars="0"/>
        <w:rPr>
          <w:rFonts w:hint="eastAsia"/>
          <w:color w:val="auto"/>
          <w:u w:val="none"/>
          <w:lang w:val="en-US" w:eastAsia="zh-CN"/>
        </w:rPr>
      </w:pPr>
      <w:r>
        <w:rPr>
          <w:rFonts w:hint="eastAsia"/>
          <w:color w:val="auto"/>
          <w:u w:val="none"/>
          <w:lang w:val="en-US" w:eastAsia="zh-CN"/>
        </w:rPr>
        <w:t>产业发展策略</w:t>
      </w:r>
    </w:p>
    <w:p w14:paraId="1D00F7D8">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规划建设“航空小镇”。立足本镇资源优势做好桓仁机场配套设施建设及航空食品系列产品规划，打造集物流产业功能区，产品加工贸易区，航空综合服务区在内的航空小镇重点片区。物流产业功能区包括多式联运和转运设施、物流园区、城市配送、大宗商品和农村物流、制造业和物流业联动发展、物流标准和技术推广、物流公共信息平台、物流科技攻关及应急物流等。主要围绕通航机场构建相关配套设施，建设集销售、加工、仓储、配送和售后服务的大型现代化物流中心，主要包括物流仓储厂房、办公场所、职工宿舍、食堂、商业配套，本项目的建设符合国家十大产业振兴规划，集中体现国家政策导向，能够增加国民经济收入，提高当地就业水平；产品加工贸易区重点构建机场航空的产业配套，打造绿色贸易加工区、实现通航功能的产业链延伸，同时围绕通航机场构建旅游配套公园、酒店、创意街区，融合当地的特色农产品科研、加工、展销，共同促进航空小镇的快速发展，提升地方经济发展水平；综合航空服务区主要依托古城镇及桓仁县旅游资源构建航空小镇的综合服务功能，主要打造古城通航小镇集散中心、医疗康养中心、餐饮、住宿、金融、学校、古城生态住宅区，打造文化、休闲、宜居的航空小镇。</w:t>
      </w:r>
    </w:p>
    <w:p w14:paraId="70DFA9D3">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打造“三香”（稻香、菌香、药香）小镇。以平地人参种植、山野菜、食用菌种植、山地中药材种植为重点，扩大无公害优质稻米种植。</w:t>
      </w:r>
    </w:p>
    <w:p w14:paraId="5B10569F">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打造健康食品之乡。在大力发展种养殖业、能源业的基础上，扩大产品精深加工业，完善基础设施改造。</w:t>
      </w:r>
    </w:p>
    <w:p w14:paraId="6D971891">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建设基础设施完善、经济繁荣、科技进步、社会和谐稳定、文化底蕴厚重的新古城。积极引进木业、菲牛蛭冻干粉、新型环保科技玻璃、预糊化淀粉、人参</w:t>
      </w:r>
      <w:r>
        <w:rPr>
          <w:rFonts w:hint="eastAsia" w:eastAsia="仿宋_GB2312"/>
          <w:u w:val="none"/>
          <w:lang w:eastAsia="zh-CN"/>
        </w:rPr>
        <w:t>皂苷</w:t>
      </w:r>
      <w:r>
        <w:rPr>
          <w:rFonts w:hint="eastAsia"/>
          <w:u w:val="none"/>
        </w:rPr>
        <w:t>提取、硅盐生态复合肥加工、天然饮用水开发、医疗器械、有机肥加工、生物保健品生产、食用菌深加工等项目。</w:t>
      </w:r>
    </w:p>
    <w:p w14:paraId="2A54FD92">
      <w:pPr>
        <w:pStyle w:val="4"/>
        <w:bidi w:val="0"/>
        <w:ind w:left="0" w:leftChars="0" w:firstLine="420" w:firstLineChars="0"/>
        <w:rPr>
          <w:rFonts w:hint="eastAsia"/>
          <w:color w:val="auto"/>
          <w:u w:val="none"/>
          <w:lang w:val="en-US" w:eastAsia="zh-CN"/>
        </w:rPr>
      </w:pPr>
      <w:r>
        <w:rPr>
          <w:rFonts w:hint="eastAsia"/>
          <w:color w:val="auto"/>
          <w:u w:val="none"/>
          <w:lang w:val="en-US" w:eastAsia="zh-CN"/>
        </w:rPr>
        <w:t>产业空间布局</w:t>
      </w:r>
    </w:p>
    <w:p w14:paraId="08644A08">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集聚各村特色产业资源优势打造镇域中心品牌。古城镇拥有辽宁省全国较好的生态环境、自然资源和独特的区域优势，形成了以葡萄、山参、优质稻米等产业为重点的六大产业基地。特别是古城镇结合自身实际情况，重点发展优质稻米、小杂粮、稻田蟹、食用菌、山地</w:t>
      </w:r>
      <w:r>
        <w:rPr>
          <w:rFonts w:hint="eastAsia" w:eastAsia="仿宋_GB2312"/>
          <w:u w:val="none"/>
          <w:lang w:eastAsia="zh-CN"/>
        </w:rPr>
        <w:t>中</w:t>
      </w:r>
      <w:r>
        <w:rPr>
          <w:rFonts w:hint="eastAsia"/>
          <w:u w:val="none"/>
        </w:rPr>
        <w:t>药材、平地人参、畜禽养殖等项目。规划主要集中对农产品进行深加工，延长产业链，增加农产品产业附加值，增加居民经济收入，提高居民生活品质，实现乡村产业振兴。</w:t>
      </w:r>
    </w:p>
    <w:p w14:paraId="199090A0">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根据产业基础、资源条件、交通区位以及未来的发展趋势，古城镇应逐步形成“一核引领、一带集聚、多点融合”的产业空间布局，推动全镇经济社会发展。</w:t>
      </w:r>
    </w:p>
    <w:p w14:paraId="5A0901A5">
      <w:pPr>
        <w:keepNext w:val="0"/>
        <w:keepLines w:val="0"/>
        <w:pageBreakBefore w:val="0"/>
        <w:widowControl w:val="0"/>
        <w:kinsoku/>
        <w:overflowPunct/>
        <w:topLinePunct w:val="0"/>
        <w:autoSpaceDE/>
        <w:autoSpaceDN/>
        <w:bidi w:val="0"/>
        <w:spacing w:line="600" w:lineRule="exact"/>
        <w:textAlignment w:val="auto"/>
        <w:rPr>
          <w:color w:val="2E75B6" w:themeColor="accent5" w:themeShade="BF"/>
          <w:u w:val="none"/>
        </w:rPr>
      </w:pPr>
      <w:r>
        <w:rPr>
          <w:rFonts w:hint="eastAsia"/>
          <w:u w:val="none"/>
        </w:rPr>
        <w:t>“一核引领”，即以古城镇中心区为主的产城融合发展核心，重点发展药材基地、食用菌生产、食用菌深加工、物流转运和商贸服务等。</w:t>
      </w:r>
    </w:p>
    <w:p w14:paraId="269107A3">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“一带集聚”：依托鹤大公路、高速交通线为纽带，打造优势资源产业发展带，重点发展特色农产品种植、食品加工、物流基地等交通优势业态，促进产业规模化经营、促进二三产业高端化，集群化融合发展。</w:t>
      </w:r>
    </w:p>
    <w:p w14:paraId="0E816A90">
      <w:pPr>
        <w:keepNext w:val="0"/>
        <w:keepLines w:val="0"/>
        <w:pageBreakBefore w:val="0"/>
        <w:widowControl w:val="0"/>
        <w:kinsoku/>
        <w:overflowPunct/>
        <w:topLinePunct w:val="0"/>
        <w:autoSpaceDE/>
        <w:autoSpaceDN/>
        <w:bidi w:val="0"/>
        <w:spacing w:line="600" w:lineRule="exact"/>
        <w:textAlignment w:val="auto"/>
        <w:rPr>
          <w:rFonts w:hint="eastAsia"/>
          <w:u w:val="none"/>
        </w:rPr>
      </w:pPr>
      <w:r>
        <w:rPr>
          <w:rFonts w:hint="eastAsia"/>
          <w:u w:val="none"/>
        </w:rPr>
        <w:t>“多点融合”：结合镇域产业基础、区位优势、生态环境约束和资源优势，整合低效闲置建设空间和农业生产空间，合理布局山参种植、农产品加工、休闲旅游等点状产业项目，改造提升传统业态，积极发展新兴业态，引导生态空间、农业生产空间、建设空间混合利用，推动形成镇域一二三产业多点融合发展的新格局。</w:t>
      </w:r>
    </w:p>
    <w:p w14:paraId="04695D14">
      <w:pPr>
        <w:keepNext w:val="0"/>
        <w:keepLines w:val="0"/>
        <w:pageBreakBefore w:val="0"/>
        <w:widowControl w:val="0"/>
        <w:kinsoku/>
        <w:overflowPunct/>
        <w:topLinePunct w:val="0"/>
        <w:autoSpaceDE/>
        <w:autoSpaceDN/>
        <w:bidi w:val="0"/>
        <w:spacing w:line="600" w:lineRule="exact"/>
        <w:textAlignment w:val="auto"/>
        <w:rPr>
          <w:rFonts w:hint="eastAsia"/>
          <w:u w:val="none"/>
        </w:rPr>
      </w:pPr>
    </w:p>
    <w:p w14:paraId="609F3368">
      <w:pPr>
        <w:keepNext w:val="0"/>
        <w:keepLines w:val="0"/>
        <w:pageBreakBefore w:val="0"/>
        <w:widowControl w:val="0"/>
        <w:kinsoku/>
        <w:overflowPunct/>
        <w:topLinePunct w:val="0"/>
        <w:autoSpaceDE/>
        <w:autoSpaceDN/>
        <w:bidi w:val="0"/>
        <w:spacing w:line="600" w:lineRule="exact"/>
        <w:textAlignment w:val="auto"/>
        <w:rPr>
          <w:rFonts w:hint="eastAsia"/>
          <w:u w:val="none"/>
        </w:rPr>
      </w:pPr>
    </w:p>
    <w:p w14:paraId="62FDC384">
      <w:pPr>
        <w:keepNext w:val="0"/>
        <w:keepLines w:val="0"/>
        <w:pageBreakBefore w:val="0"/>
        <w:widowControl w:val="0"/>
        <w:kinsoku/>
        <w:overflowPunct/>
        <w:topLinePunct w:val="0"/>
        <w:autoSpaceDE/>
        <w:autoSpaceDN/>
        <w:bidi w:val="0"/>
        <w:spacing w:line="240" w:lineRule="auto"/>
        <w:ind w:firstLine="0" w:firstLineChars="0"/>
        <w:jc w:val="center"/>
        <w:textAlignment w:val="auto"/>
        <w:rPr>
          <w:rFonts w:hint="eastAsia" w:ascii="黑体" w:hAnsi="黑体" w:eastAsia="黑体" w:cs="黑体"/>
          <w:sz w:val="32"/>
          <w:szCs w:val="32"/>
          <w:u w:val="none"/>
        </w:rPr>
      </w:pPr>
      <w:r>
        <w:rPr>
          <w:rFonts w:hint="eastAsia" w:ascii="黑体" w:hAnsi="黑体" w:eastAsia="黑体" w:cs="黑体"/>
          <w:sz w:val="32"/>
          <w:szCs w:val="32"/>
          <w:u w:val="none"/>
        </w:rPr>
        <w:t>古城镇各村主导产业布局表</w:t>
      </w:r>
    </w:p>
    <w:tbl>
      <w:tblPr>
        <w:tblStyle w:val="9"/>
        <w:tblW w:w="8940" w:type="dxa"/>
        <w:tblInd w:w="0" w:type="dxa"/>
        <w:tblLayout w:type="autofit"/>
        <w:tblCellMar>
          <w:top w:w="0" w:type="dxa"/>
          <w:left w:w="0" w:type="dxa"/>
          <w:bottom w:w="0" w:type="dxa"/>
          <w:right w:w="0" w:type="dxa"/>
        </w:tblCellMar>
      </w:tblPr>
      <w:tblGrid>
        <w:gridCol w:w="983"/>
        <w:gridCol w:w="1842"/>
        <w:gridCol w:w="6115"/>
      </w:tblGrid>
      <w:tr w14:paraId="7B3B370A">
        <w:tblPrEx>
          <w:tblCellMar>
            <w:top w:w="0" w:type="dxa"/>
            <w:left w:w="0" w:type="dxa"/>
            <w:bottom w:w="0" w:type="dxa"/>
            <w:right w:w="0" w:type="dxa"/>
          </w:tblCellMar>
        </w:tblPrEx>
        <w:trPr>
          <w:trHeight w:val="20" w:hRule="atLeast"/>
        </w:trPr>
        <w:tc>
          <w:tcPr>
            <w:tcW w:w="983"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69A524AC">
            <w:pPr>
              <w:keepNext w:val="0"/>
              <w:keepLines w:val="0"/>
              <w:pageBreakBefore w:val="0"/>
              <w:widowControl w:val="0"/>
              <w:kinsoku/>
              <w:overflowPunct/>
              <w:topLinePunct w:val="0"/>
              <w:autoSpaceDE/>
              <w:autoSpaceDN/>
              <w:bidi w:val="0"/>
              <w:spacing w:line="240" w:lineRule="auto"/>
              <w:ind w:firstLine="0" w:firstLineChars="0"/>
              <w:jc w:val="center"/>
              <w:textAlignment w:val="auto"/>
              <w:rPr>
                <w:sz w:val="28"/>
                <w:szCs w:val="28"/>
                <w:u w:val="none"/>
              </w:rPr>
            </w:pPr>
            <w:r>
              <w:rPr>
                <w:rFonts w:hint="eastAsia"/>
                <w:sz w:val="28"/>
                <w:szCs w:val="28"/>
                <w:u w:val="none"/>
              </w:rPr>
              <w:t>序号</w:t>
            </w:r>
          </w:p>
        </w:tc>
        <w:tc>
          <w:tcPr>
            <w:tcW w:w="184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7F7CBF56">
            <w:pPr>
              <w:keepNext w:val="0"/>
              <w:keepLines w:val="0"/>
              <w:pageBreakBefore w:val="0"/>
              <w:widowControl w:val="0"/>
              <w:kinsoku/>
              <w:overflowPunct/>
              <w:topLinePunct w:val="0"/>
              <w:autoSpaceDE/>
              <w:autoSpaceDN/>
              <w:bidi w:val="0"/>
              <w:spacing w:line="240" w:lineRule="auto"/>
              <w:ind w:firstLine="0" w:firstLineChars="0"/>
              <w:jc w:val="center"/>
              <w:textAlignment w:val="auto"/>
              <w:rPr>
                <w:sz w:val="28"/>
                <w:szCs w:val="28"/>
                <w:u w:val="none"/>
              </w:rPr>
            </w:pPr>
            <w:r>
              <w:rPr>
                <w:rFonts w:hint="eastAsia"/>
                <w:sz w:val="28"/>
                <w:szCs w:val="28"/>
                <w:u w:val="none"/>
              </w:rPr>
              <w:t>村庄名称</w:t>
            </w:r>
          </w:p>
        </w:tc>
        <w:tc>
          <w:tcPr>
            <w:tcW w:w="611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6FC532D0">
            <w:pPr>
              <w:keepNext w:val="0"/>
              <w:keepLines w:val="0"/>
              <w:pageBreakBefore w:val="0"/>
              <w:widowControl w:val="0"/>
              <w:kinsoku/>
              <w:overflowPunct/>
              <w:topLinePunct w:val="0"/>
              <w:autoSpaceDE/>
              <w:autoSpaceDN/>
              <w:bidi w:val="0"/>
              <w:spacing w:line="240" w:lineRule="auto"/>
              <w:ind w:firstLine="0" w:firstLineChars="0"/>
              <w:jc w:val="center"/>
              <w:textAlignment w:val="auto"/>
              <w:rPr>
                <w:sz w:val="28"/>
                <w:szCs w:val="28"/>
                <w:u w:val="none"/>
              </w:rPr>
            </w:pPr>
            <w:r>
              <w:rPr>
                <w:rFonts w:hint="eastAsia"/>
                <w:sz w:val="28"/>
                <w:szCs w:val="28"/>
                <w:u w:val="none"/>
              </w:rPr>
              <w:t>产业方向</w:t>
            </w:r>
          </w:p>
        </w:tc>
      </w:tr>
      <w:tr w14:paraId="69C0FC84">
        <w:tblPrEx>
          <w:tblCellMar>
            <w:top w:w="0" w:type="dxa"/>
            <w:left w:w="0" w:type="dxa"/>
            <w:bottom w:w="0" w:type="dxa"/>
            <w:right w:w="0" w:type="dxa"/>
          </w:tblCellMar>
        </w:tblPrEx>
        <w:trPr>
          <w:trHeight w:val="20" w:hRule="atLeast"/>
        </w:trPr>
        <w:tc>
          <w:tcPr>
            <w:tcW w:w="983"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29BB86FA">
            <w:pPr>
              <w:keepNext w:val="0"/>
              <w:keepLines w:val="0"/>
              <w:pageBreakBefore w:val="0"/>
              <w:widowControl w:val="0"/>
              <w:kinsoku/>
              <w:overflowPunct/>
              <w:topLinePunct w:val="0"/>
              <w:autoSpaceDE/>
              <w:autoSpaceDN/>
              <w:bidi w:val="0"/>
              <w:spacing w:line="240" w:lineRule="auto"/>
              <w:ind w:firstLine="0" w:firstLineChars="0"/>
              <w:jc w:val="center"/>
              <w:textAlignment w:val="auto"/>
              <w:rPr>
                <w:sz w:val="28"/>
                <w:szCs w:val="28"/>
                <w:u w:val="none"/>
              </w:rPr>
            </w:pPr>
            <w:r>
              <w:rPr>
                <w:rFonts w:hint="eastAsia"/>
                <w:sz w:val="28"/>
                <w:szCs w:val="28"/>
                <w:u w:val="none"/>
              </w:rPr>
              <w:t>1</w:t>
            </w:r>
          </w:p>
        </w:tc>
        <w:tc>
          <w:tcPr>
            <w:tcW w:w="184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1A35E08A">
            <w:pPr>
              <w:keepNext w:val="0"/>
              <w:keepLines w:val="0"/>
              <w:pageBreakBefore w:val="0"/>
              <w:widowControl w:val="0"/>
              <w:kinsoku/>
              <w:overflowPunct/>
              <w:topLinePunct w:val="0"/>
              <w:autoSpaceDE/>
              <w:autoSpaceDN/>
              <w:bidi w:val="0"/>
              <w:spacing w:line="240" w:lineRule="auto"/>
              <w:ind w:firstLine="0" w:firstLineChars="0"/>
              <w:jc w:val="center"/>
              <w:textAlignment w:val="auto"/>
              <w:rPr>
                <w:sz w:val="28"/>
                <w:szCs w:val="28"/>
                <w:u w:val="none"/>
              </w:rPr>
            </w:pPr>
            <w:r>
              <w:rPr>
                <w:rFonts w:hint="eastAsia"/>
                <w:sz w:val="28"/>
                <w:szCs w:val="28"/>
                <w:u w:val="none"/>
              </w:rPr>
              <w:t>拐磨子村</w:t>
            </w:r>
          </w:p>
        </w:tc>
        <w:tc>
          <w:tcPr>
            <w:tcW w:w="611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1FF3DF0F">
            <w:pPr>
              <w:keepNext w:val="0"/>
              <w:keepLines w:val="0"/>
              <w:pageBreakBefore w:val="0"/>
              <w:widowControl w:val="0"/>
              <w:kinsoku/>
              <w:overflowPunct/>
              <w:topLinePunct w:val="0"/>
              <w:autoSpaceDE/>
              <w:autoSpaceDN/>
              <w:bidi w:val="0"/>
              <w:spacing w:line="240" w:lineRule="auto"/>
              <w:ind w:left="160" w:leftChars="50" w:firstLine="0" w:firstLineChars="0"/>
              <w:textAlignment w:val="auto"/>
              <w:rPr>
                <w:sz w:val="28"/>
                <w:szCs w:val="28"/>
                <w:u w:val="none"/>
              </w:rPr>
            </w:pPr>
            <w:bookmarkStart w:id="109" w:name="_Hlk184200173"/>
            <w:r>
              <w:rPr>
                <w:rFonts w:hint="eastAsia"/>
                <w:sz w:val="28"/>
                <w:szCs w:val="28"/>
                <w:u w:val="none"/>
              </w:rPr>
              <w:t>药材基地、食用菌生产、食用菌深加工</w:t>
            </w:r>
            <w:bookmarkEnd w:id="109"/>
          </w:p>
        </w:tc>
      </w:tr>
      <w:tr w14:paraId="4D3978A8">
        <w:tblPrEx>
          <w:tblCellMar>
            <w:top w:w="0" w:type="dxa"/>
            <w:left w:w="0" w:type="dxa"/>
            <w:bottom w:w="0" w:type="dxa"/>
            <w:right w:w="0" w:type="dxa"/>
          </w:tblCellMar>
        </w:tblPrEx>
        <w:trPr>
          <w:trHeight w:val="20" w:hRule="atLeast"/>
        </w:trPr>
        <w:tc>
          <w:tcPr>
            <w:tcW w:w="983"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2BA44B64">
            <w:pPr>
              <w:keepNext w:val="0"/>
              <w:keepLines w:val="0"/>
              <w:pageBreakBefore w:val="0"/>
              <w:widowControl w:val="0"/>
              <w:kinsoku/>
              <w:overflowPunct/>
              <w:topLinePunct w:val="0"/>
              <w:autoSpaceDE/>
              <w:autoSpaceDN/>
              <w:bidi w:val="0"/>
              <w:spacing w:line="240" w:lineRule="auto"/>
              <w:ind w:firstLine="0" w:firstLineChars="0"/>
              <w:jc w:val="center"/>
              <w:textAlignment w:val="auto"/>
              <w:rPr>
                <w:sz w:val="28"/>
                <w:szCs w:val="28"/>
                <w:u w:val="none"/>
              </w:rPr>
            </w:pPr>
            <w:r>
              <w:rPr>
                <w:rFonts w:hint="eastAsia"/>
                <w:sz w:val="28"/>
                <w:szCs w:val="28"/>
                <w:u w:val="none"/>
              </w:rPr>
              <w:t>2</w:t>
            </w:r>
          </w:p>
        </w:tc>
        <w:tc>
          <w:tcPr>
            <w:tcW w:w="184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58ED0355">
            <w:pPr>
              <w:keepNext w:val="0"/>
              <w:keepLines w:val="0"/>
              <w:pageBreakBefore w:val="0"/>
              <w:widowControl w:val="0"/>
              <w:kinsoku/>
              <w:overflowPunct/>
              <w:topLinePunct w:val="0"/>
              <w:autoSpaceDE/>
              <w:autoSpaceDN/>
              <w:bidi w:val="0"/>
              <w:spacing w:line="240" w:lineRule="auto"/>
              <w:ind w:firstLine="0" w:firstLineChars="0"/>
              <w:jc w:val="center"/>
              <w:textAlignment w:val="auto"/>
              <w:rPr>
                <w:sz w:val="28"/>
                <w:szCs w:val="28"/>
                <w:u w:val="none"/>
              </w:rPr>
            </w:pPr>
            <w:r>
              <w:rPr>
                <w:rFonts w:hint="eastAsia"/>
                <w:sz w:val="28"/>
                <w:szCs w:val="28"/>
                <w:u w:val="none"/>
              </w:rPr>
              <w:t>岔路子村</w:t>
            </w:r>
          </w:p>
        </w:tc>
        <w:tc>
          <w:tcPr>
            <w:tcW w:w="611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17A5C313">
            <w:pPr>
              <w:keepNext w:val="0"/>
              <w:keepLines w:val="0"/>
              <w:pageBreakBefore w:val="0"/>
              <w:widowControl w:val="0"/>
              <w:kinsoku/>
              <w:overflowPunct/>
              <w:topLinePunct w:val="0"/>
              <w:autoSpaceDE/>
              <w:autoSpaceDN/>
              <w:bidi w:val="0"/>
              <w:spacing w:line="240" w:lineRule="auto"/>
              <w:ind w:left="160" w:leftChars="50" w:firstLine="0" w:firstLineChars="0"/>
              <w:textAlignment w:val="auto"/>
              <w:rPr>
                <w:sz w:val="28"/>
                <w:szCs w:val="28"/>
                <w:u w:val="none"/>
              </w:rPr>
            </w:pPr>
            <w:r>
              <w:rPr>
                <w:rFonts w:hint="eastAsia"/>
                <w:sz w:val="28"/>
                <w:szCs w:val="28"/>
                <w:u w:val="none"/>
              </w:rPr>
              <w:t>传统农业</w:t>
            </w:r>
          </w:p>
        </w:tc>
      </w:tr>
      <w:tr w14:paraId="523964AF">
        <w:tblPrEx>
          <w:tblCellMar>
            <w:top w:w="0" w:type="dxa"/>
            <w:left w:w="0" w:type="dxa"/>
            <w:bottom w:w="0" w:type="dxa"/>
            <w:right w:w="0" w:type="dxa"/>
          </w:tblCellMar>
        </w:tblPrEx>
        <w:trPr>
          <w:trHeight w:val="20" w:hRule="atLeast"/>
        </w:trPr>
        <w:tc>
          <w:tcPr>
            <w:tcW w:w="983"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30D6AD2F">
            <w:pPr>
              <w:keepNext w:val="0"/>
              <w:keepLines w:val="0"/>
              <w:pageBreakBefore w:val="0"/>
              <w:widowControl w:val="0"/>
              <w:kinsoku/>
              <w:overflowPunct/>
              <w:topLinePunct w:val="0"/>
              <w:autoSpaceDE/>
              <w:autoSpaceDN/>
              <w:bidi w:val="0"/>
              <w:spacing w:line="240" w:lineRule="auto"/>
              <w:ind w:firstLine="0" w:firstLineChars="0"/>
              <w:jc w:val="center"/>
              <w:textAlignment w:val="auto"/>
              <w:rPr>
                <w:sz w:val="28"/>
                <w:szCs w:val="28"/>
                <w:u w:val="none"/>
              </w:rPr>
            </w:pPr>
            <w:r>
              <w:rPr>
                <w:rFonts w:hint="eastAsia"/>
                <w:sz w:val="28"/>
                <w:szCs w:val="28"/>
                <w:u w:val="none"/>
              </w:rPr>
              <w:t>3</w:t>
            </w:r>
          </w:p>
        </w:tc>
        <w:tc>
          <w:tcPr>
            <w:tcW w:w="184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36BEA9FC">
            <w:pPr>
              <w:keepNext w:val="0"/>
              <w:keepLines w:val="0"/>
              <w:pageBreakBefore w:val="0"/>
              <w:widowControl w:val="0"/>
              <w:kinsoku/>
              <w:overflowPunct/>
              <w:topLinePunct w:val="0"/>
              <w:autoSpaceDE/>
              <w:autoSpaceDN/>
              <w:bidi w:val="0"/>
              <w:spacing w:line="240" w:lineRule="auto"/>
              <w:ind w:firstLine="0" w:firstLineChars="0"/>
              <w:jc w:val="center"/>
              <w:textAlignment w:val="auto"/>
              <w:rPr>
                <w:sz w:val="28"/>
                <w:szCs w:val="28"/>
                <w:u w:val="none"/>
              </w:rPr>
            </w:pPr>
            <w:r>
              <w:rPr>
                <w:rFonts w:hint="eastAsia"/>
                <w:sz w:val="28"/>
                <w:szCs w:val="28"/>
                <w:u w:val="none"/>
              </w:rPr>
              <w:t>古城子村</w:t>
            </w:r>
          </w:p>
        </w:tc>
        <w:tc>
          <w:tcPr>
            <w:tcW w:w="611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4B8BEE14">
            <w:pPr>
              <w:keepNext w:val="0"/>
              <w:keepLines w:val="0"/>
              <w:pageBreakBefore w:val="0"/>
              <w:widowControl w:val="0"/>
              <w:kinsoku/>
              <w:overflowPunct/>
              <w:topLinePunct w:val="0"/>
              <w:autoSpaceDE/>
              <w:autoSpaceDN/>
              <w:bidi w:val="0"/>
              <w:spacing w:line="240" w:lineRule="auto"/>
              <w:ind w:left="160" w:leftChars="50" w:firstLine="0" w:firstLineChars="0"/>
              <w:textAlignment w:val="auto"/>
              <w:rPr>
                <w:sz w:val="28"/>
                <w:szCs w:val="28"/>
                <w:u w:val="none"/>
              </w:rPr>
            </w:pPr>
            <w:r>
              <w:rPr>
                <w:rFonts w:hint="eastAsia"/>
                <w:sz w:val="28"/>
                <w:szCs w:val="28"/>
                <w:u w:val="none"/>
              </w:rPr>
              <w:t>药材基地、食用菌生产、稻米生产</w:t>
            </w:r>
          </w:p>
        </w:tc>
      </w:tr>
      <w:tr w14:paraId="3DC6EAE2">
        <w:tblPrEx>
          <w:tblCellMar>
            <w:top w:w="0" w:type="dxa"/>
            <w:left w:w="0" w:type="dxa"/>
            <w:bottom w:w="0" w:type="dxa"/>
            <w:right w:w="0" w:type="dxa"/>
          </w:tblCellMar>
        </w:tblPrEx>
        <w:trPr>
          <w:trHeight w:val="20" w:hRule="atLeast"/>
        </w:trPr>
        <w:tc>
          <w:tcPr>
            <w:tcW w:w="983"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7ED86B3B">
            <w:pPr>
              <w:keepNext w:val="0"/>
              <w:keepLines w:val="0"/>
              <w:pageBreakBefore w:val="0"/>
              <w:widowControl w:val="0"/>
              <w:kinsoku/>
              <w:overflowPunct/>
              <w:topLinePunct w:val="0"/>
              <w:autoSpaceDE/>
              <w:autoSpaceDN/>
              <w:bidi w:val="0"/>
              <w:spacing w:line="240" w:lineRule="auto"/>
              <w:ind w:firstLine="0" w:firstLineChars="0"/>
              <w:jc w:val="center"/>
              <w:textAlignment w:val="auto"/>
              <w:rPr>
                <w:sz w:val="28"/>
                <w:szCs w:val="28"/>
                <w:u w:val="none"/>
              </w:rPr>
            </w:pPr>
            <w:r>
              <w:rPr>
                <w:rFonts w:hint="eastAsia"/>
                <w:sz w:val="28"/>
                <w:szCs w:val="28"/>
                <w:u w:val="none"/>
              </w:rPr>
              <w:t>4</w:t>
            </w:r>
          </w:p>
        </w:tc>
        <w:tc>
          <w:tcPr>
            <w:tcW w:w="184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4F96B895">
            <w:pPr>
              <w:keepNext w:val="0"/>
              <w:keepLines w:val="0"/>
              <w:pageBreakBefore w:val="0"/>
              <w:widowControl w:val="0"/>
              <w:kinsoku/>
              <w:overflowPunct/>
              <w:topLinePunct w:val="0"/>
              <w:autoSpaceDE/>
              <w:autoSpaceDN/>
              <w:bidi w:val="0"/>
              <w:spacing w:line="240" w:lineRule="auto"/>
              <w:ind w:firstLine="0" w:firstLineChars="0"/>
              <w:jc w:val="center"/>
              <w:textAlignment w:val="auto"/>
              <w:rPr>
                <w:sz w:val="28"/>
                <w:szCs w:val="28"/>
                <w:u w:val="none"/>
              </w:rPr>
            </w:pPr>
            <w:r>
              <w:rPr>
                <w:rFonts w:hint="eastAsia"/>
                <w:sz w:val="28"/>
                <w:szCs w:val="28"/>
                <w:u w:val="none"/>
              </w:rPr>
              <w:t>洼泥甸村</w:t>
            </w:r>
          </w:p>
        </w:tc>
        <w:tc>
          <w:tcPr>
            <w:tcW w:w="611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64341999">
            <w:pPr>
              <w:keepNext w:val="0"/>
              <w:keepLines w:val="0"/>
              <w:pageBreakBefore w:val="0"/>
              <w:widowControl w:val="0"/>
              <w:kinsoku/>
              <w:overflowPunct/>
              <w:topLinePunct w:val="0"/>
              <w:autoSpaceDE/>
              <w:autoSpaceDN/>
              <w:bidi w:val="0"/>
              <w:spacing w:line="240" w:lineRule="auto"/>
              <w:ind w:left="160" w:leftChars="50" w:firstLine="0" w:firstLineChars="0"/>
              <w:textAlignment w:val="auto"/>
              <w:rPr>
                <w:sz w:val="28"/>
                <w:szCs w:val="28"/>
                <w:u w:val="none"/>
              </w:rPr>
            </w:pPr>
            <w:r>
              <w:rPr>
                <w:rFonts w:hint="eastAsia"/>
                <w:sz w:val="28"/>
                <w:szCs w:val="28"/>
                <w:u w:val="none"/>
              </w:rPr>
              <w:t>食用菌生产、标准化养殖、天然饮用水开发</w:t>
            </w:r>
          </w:p>
        </w:tc>
      </w:tr>
      <w:tr w14:paraId="75201515">
        <w:tblPrEx>
          <w:tblCellMar>
            <w:top w:w="0" w:type="dxa"/>
            <w:left w:w="0" w:type="dxa"/>
            <w:bottom w:w="0" w:type="dxa"/>
            <w:right w:w="0" w:type="dxa"/>
          </w:tblCellMar>
        </w:tblPrEx>
        <w:trPr>
          <w:trHeight w:val="20" w:hRule="atLeast"/>
        </w:trPr>
        <w:tc>
          <w:tcPr>
            <w:tcW w:w="983"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132DB3F3">
            <w:pPr>
              <w:keepNext w:val="0"/>
              <w:keepLines w:val="0"/>
              <w:pageBreakBefore w:val="0"/>
              <w:widowControl w:val="0"/>
              <w:kinsoku/>
              <w:overflowPunct/>
              <w:topLinePunct w:val="0"/>
              <w:autoSpaceDE/>
              <w:autoSpaceDN/>
              <w:bidi w:val="0"/>
              <w:spacing w:line="240" w:lineRule="auto"/>
              <w:ind w:firstLine="0" w:firstLineChars="0"/>
              <w:jc w:val="center"/>
              <w:textAlignment w:val="auto"/>
              <w:rPr>
                <w:sz w:val="28"/>
                <w:szCs w:val="28"/>
                <w:u w:val="none"/>
              </w:rPr>
            </w:pPr>
            <w:r>
              <w:rPr>
                <w:rFonts w:hint="eastAsia"/>
                <w:sz w:val="28"/>
                <w:szCs w:val="28"/>
                <w:u w:val="none"/>
              </w:rPr>
              <w:t>5</w:t>
            </w:r>
          </w:p>
        </w:tc>
        <w:tc>
          <w:tcPr>
            <w:tcW w:w="184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5B5D2E91">
            <w:pPr>
              <w:keepNext w:val="0"/>
              <w:keepLines w:val="0"/>
              <w:pageBreakBefore w:val="0"/>
              <w:widowControl w:val="0"/>
              <w:kinsoku/>
              <w:overflowPunct/>
              <w:topLinePunct w:val="0"/>
              <w:autoSpaceDE/>
              <w:autoSpaceDN/>
              <w:bidi w:val="0"/>
              <w:spacing w:line="240" w:lineRule="auto"/>
              <w:ind w:firstLine="0" w:firstLineChars="0"/>
              <w:jc w:val="center"/>
              <w:textAlignment w:val="auto"/>
              <w:rPr>
                <w:sz w:val="28"/>
                <w:szCs w:val="28"/>
                <w:u w:val="none"/>
              </w:rPr>
            </w:pPr>
            <w:r>
              <w:rPr>
                <w:rFonts w:hint="eastAsia"/>
                <w:sz w:val="28"/>
                <w:szCs w:val="28"/>
                <w:u w:val="none"/>
              </w:rPr>
              <w:t>新江村</w:t>
            </w:r>
          </w:p>
        </w:tc>
        <w:tc>
          <w:tcPr>
            <w:tcW w:w="611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20D060D8">
            <w:pPr>
              <w:keepNext w:val="0"/>
              <w:keepLines w:val="0"/>
              <w:pageBreakBefore w:val="0"/>
              <w:widowControl w:val="0"/>
              <w:kinsoku/>
              <w:overflowPunct/>
              <w:topLinePunct w:val="0"/>
              <w:autoSpaceDE/>
              <w:autoSpaceDN/>
              <w:bidi w:val="0"/>
              <w:spacing w:line="240" w:lineRule="auto"/>
              <w:ind w:left="160" w:leftChars="50" w:firstLine="0" w:firstLineChars="0"/>
              <w:textAlignment w:val="auto"/>
              <w:rPr>
                <w:sz w:val="28"/>
                <w:szCs w:val="28"/>
                <w:u w:val="none"/>
              </w:rPr>
            </w:pPr>
            <w:r>
              <w:rPr>
                <w:rFonts w:hint="eastAsia"/>
                <w:sz w:val="28"/>
                <w:szCs w:val="28"/>
                <w:u w:val="none"/>
              </w:rPr>
              <w:t>食用菌生产、千亩生态园</w:t>
            </w:r>
          </w:p>
        </w:tc>
      </w:tr>
      <w:tr w14:paraId="13F50D17">
        <w:tblPrEx>
          <w:tblCellMar>
            <w:top w:w="0" w:type="dxa"/>
            <w:left w:w="0" w:type="dxa"/>
            <w:bottom w:w="0" w:type="dxa"/>
            <w:right w:w="0" w:type="dxa"/>
          </w:tblCellMar>
        </w:tblPrEx>
        <w:trPr>
          <w:trHeight w:val="20" w:hRule="atLeast"/>
        </w:trPr>
        <w:tc>
          <w:tcPr>
            <w:tcW w:w="983"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6AD5C5EE">
            <w:pPr>
              <w:keepNext w:val="0"/>
              <w:keepLines w:val="0"/>
              <w:pageBreakBefore w:val="0"/>
              <w:widowControl w:val="0"/>
              <w:kinsoku/>
              <w:overflowPunct/>
              <w:topLinePunct w:val="0"/>
              <w:autoSpaceDE/>
              <w:autoSpaceDN/>
              <w:bidi w:val="0"/>
              <w:spacing w:line="240" w:lineRule="auto"/>
              <w:ind w:firstLine="0" w:firstLineChars="0"/>
              <w:jc w:val="center"/>
              <w:textAlignment w:val="auto"/>
              <w:rPr>
                <w:sz w:val="28"/>
                <w:szCs w:val="28"/>
                <w:u w:val="none"/>
              </w:rPr>
            </w:pPr>
            <w:r>
              <w:rPr>
                <w:rFonts w:hint="eastAsia"/>
                <w:sz w:val="28"/>
                <w:szCs w:val="28"/>
                <w:u w:val="none"/>
              </w:rPr>
              <w:t>6</w:t>
            </w:r>
          </w:p>
        </w:tc>
        <w:tc>
          <w:tcPr>
            <w:tcW w:w="184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26172CAE">
            <w:pPr>
              <w:keepNext w:val="0"/>
              <w:keepLines w:val="0"/>
              <w:pageBreakBefore w:val="0"/>
              <w:widowControl w:val="0"/>
              <w:kinsoku/>
              <w:overflowPunct/>
              <w:topLinePunct w:val="0"/>
              <w:autoSpaceDE/>
              <w:autoSpaceDN/>
              <w:bidi w:val="0"/>
              <w:spacing w:line="240" w:lineRule="auto"/>
              <w:ind w:firstLine="0" w:firstLineChars="0"/>
              <w:jc w:val="center"/>
              <w:textAlignment w:val="auto"/>
              <w:rPr>
                <w:sz w:val="28"/>
                <w:szCs w:val="28"/>
                <w:u w:val="none"/>
              </w:rPr>
            </w:pPr>
            <w:r>
              <w:rPr>
                <w:rFonts w:hint="eastAsia"/>
                <w:sz w:val="28"/>
                <w:szCs w:val="28"/>
                <w:u w:val="none"/>
              </w:rPr>
              <w:t>江南村</w:t>
            </w:r>
          </w:p>
        </w:tc>
        <w:tc>
          <w:tcPr>
            <w:tcW w:w="611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6219D45E">
            <w:pPr>
              <w:keepNext w:val="0"/>
              <w:keepLines w:val="0"/>
              <w:pageBreakBefore w:val="0"/>
              <w:widowControl w:val="0"/>
              <w:kinsoku/>
              <w:overflowPunct/>
              <w:topLinePunct w:val="0"/>
              <w:autoSpaceDE/>
              <w:autoSpaceDN/>
              <w:bidi w:val="0"/>
              <w:spacing w:line="240" w:lineRule="auto"/>
              <w:ind w:left="160" w:leftChars="50" w:firstLine="0" w:firstLineChars="0"/>
              <w:textAlignment w:val="auto"/>
              <w:rPr>
                <w:sz w:val="28"/>
                <w:szCs w:val="28"/>
                <w:u w:val="none"/>
              </w:rPr>
            </w:pPr>
            <w:r>
              <w:rPr>
                <w:rFonts w:hint="eastAsia"/>
                <w:sz w:val="28"/>
                <w:szCs w:val="28"/>
                <w:u w:val="none"/>
              </w:rPr>
              <w:t>航空小镇</w:t>
            </w:r>
          </w:p>
        </w:tc>
      </w:tr>
      <w:tr w14:paraId="5C141FDC">
        <w:tblPrEx>
          <w:tblCellMar>
            <w:top w:w="0" w:type="dxa"/>
            <w:left w:w="0" w:type="dxa"/>
            <w:bottom w:w="0" w:type="dxa"/>
            <w:right w:w="0" w:type="dxa"/>
          </w:tblCellMar>
        </w:tblPrEx>
        <w:trPr>
          <w:trHeight w:val="20" w:hRule="atLeast"/>
        </w:trPr>
        <w:tc>
          <w:tcPr>
            <w:tcW w:w="983"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3B03F742">
            <w:pPr>
              <w:keepNext w:val="0"/>
              <w:keepLines w:val="0"/>
              <w:pageBreakBefore w:val="0"/>
              <w:widowControl w:val="0"/>
              <w:kinsoku/>
              <w:overflowPunct/>
              <w:topLinePunct w:val="0"/>
              <w:autoSpaceDE/>
              <w:autoSpaceDN/>
              <w:bidi w:val="0"/>
              <w:spacing w:line="240" w:lineRule="auto"/>
              <w:ind w:firstLine="0" w:firstLineChars="0"/>
              <w:jc w:val="center"/>
              <w:textAlignment w:val="auto"/>
              <w:rPr>
                <w:sz w:val="28"/>
                <w:szCs w:val="28"/>
                <w:u w:val="none"/>
              </w:rPr>
            </w:pPr>
            <w:r>
              <w:rPr>
                <w:rFonts w:hint="eastAsia"/>
                <w:sz w:val="28"/>
                <w:szCs w:val="28"/>
                <w:u w:val="none"/>
              </w:rPr>
              <w:t>7</w:t>
            </w:r>
          </w:p>
        </w:tc>
        <w:tc>
          <w:tcPr>
            <w:tcW w:w="184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223178E5">
            <w:pPr>
              <w:keepNext w:val="0"/>
              <w:keepLines w:val="0"/>
              <w:pageBreakBefore w:val="0"/>
              <w:widowControl w:val="0"/>
              <w:kinsoku/>
              <w:overflowPunct/>
              <w:topLinePunct w:val="0"/>
              <w:autoSpaceDE/>
              <w:autoSpaceDN/>
              <w:bidi w:val="0"/>
              <w:spacing w:line="240" w:lineRule="auto"/>
              <w:ind w:firstLine="0" w:firstLineChars="0"/>
              <w:jc w:val="center"/>
              <w:textAlignment w:val="auto"/>
              <w:rPr>
                <w:sz w:val="28"/>
                <w:szCs w:val="28"/>
                <w:u w:val="none"/>
              </w:rPr>
            </w:pPr>
            <w:r>
              <w:rPr>
                <w:rFonts w:hint="eastAsia"/>
                <w:sz w:val="28"/>
                <w:szCs w:val="28"/>
                <w:u w:val="none"/>
              </w:rPr>
              <w:t>双岭子村</w:t>
            </w:r>
          </w:p>
        </w:tc>
        <w:tc>
          <w:tcPr>
            <w:tcW w:w="611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5EF79B77">
            <w:pPr>
              <w:keepNext w:val="0"/>
              <w:keepLines w:val="0"/>
              <w:pageBreakBefore w:val="0"/>
              <w:widowControl w:val="0"/>
              <w:kinsoku/>
              <w:overflowPunct/>
              <w:topLinePunct w:val="0"/>
              <w:autoSpaceDE/>
              <w:autoSpaceDN/>
              <w:bidi w:val="0"/>
              <w:spacing w:line="240" w:lineRule="auto"/>
              <w:ind w:left="160" w:leftChars="50" w:firstLine="0" w:firstLineChars="0"/>
              <w:textAlignment w:val="auto"/>
              <w:rPr>
                <w:sz w:val="28"/>
                <w:szCs w:val="28"/>
                <w:u w:val="none"/>
              </w:rPr>
            </w:pPr>
            <w:r>
              <w:rPr>
                <w:rFonts w:hint="eastAsia"/>
                <w:sz w:val="28"/>
                <w:szCs w:val="28"/>
                <w:u w:val="none"/>
              </w:rPr>
              <w:t>传统农业</w:t>
            </w:r>
          </w:p>
        </w:tc>
      </w:tr>
      <w:tr w14:paraId="007B64D0">
        <w:tblPrEx>
          <w:tblCellMar>
            <w:top w:w="0" w:type="dxa"/>
            <w:left w:w="0" w:type="dxa"/>
            <w:bottom w:w="0" w:type="dxa"/>
            <w:right w:w="0" w:type="dxa"/>
          </w:tblCellMar>
        </w:tblPrEx>
        <w:trPr>
          <w:trHeight w:val="20" w:hRule="atLeast"/>
        </w:trPr>
        <w:tc>
          <w:tcPr>
            <w:tcW w:w="983"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0B172FE3">
            <w:pPr>
              <w:keepNext w:val="0"/>
              <w:keepLines w:val="0"/>
              <w:pageBreakBefore w:val="0"/>
              <w:widowControl w:val="0"/>
              <w:kinsoku/>
              <w:overflowPunct/>
              <w:topLinePunct w:val="0"/>
              <w:autoSpaceDE/>
              <w:autoSpaceDN/>
              <w:bidi w:val="0"/>
              <w:spacing w:line="240" w:lineRule="auto"/>
              <w:ind w:firstLine="0" w:firstLineChars="0"/>
              <w:jc w:val="center"/>
              <w:textAlignment w:val="auto"/>
              <w:rPr>
                <w:sz w:val="28"/>
                <w:szCs w:val="28"/>
                <w:u w:val="none"/>
              </w:rPr>
            </w:pPr>
            <w:r>
              <w:rPr>
                <w:rFonts w:hint="eastAsia"/>
                <w:sz w:val="28"/>
                <w:szCs w:val="28"/>
                <w:u w:val="none"/>
              </w:rPr>
              <w:t>8</w:t>
            </w:r>
          </w:p>
        </w:tc>
        <w:tc>
          <w:tcPr>
            <w:tcW w:w="184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1394DFB3">
            <w:pPr>
              <w:keepNext w:val="0"/>
              <w:keepLines w:val="0"/>
              <w:pageBreakBefore w:val="0"/>
              <w:widowControl w:val="0"/>
              <w:kinsoku/>
              <w:overflowPunct/>
              <w:topLinePunct w:val="0"/>
              <w:autoSpaceDE/>
              <w:autoSpaceDN/>
              <w:bidi w:val="0"/>
              <w:spacing w:line="240" w:lineRule="auto"/>
              <w:ind w:firstLine="0" w:firstLineChars="0"/>
              <w:jc w:val="center"/>
              <w:textAlignment w:val="auto"/>
              <w:rPr>
                <w:sz w:val="28"/>
                <w:szCs w:val="28"/>
                <w:u w:val="none"/>
              </w:rPr>
            </w:pPr>
            <w:r>
              <w:rPr>
                <w:rFonts w:hint="eastAsia"/>
                <w:sz w:val="28"/>
                <w:szCs w:val="28"/>
                <w:u w:val="none"/>
              </w:rPr>
              <w:t>业主沟村</w:t>
            </w:r>
          </w:p>
        </w:tc>
        <w:tc>
          <w:tcPr>
            <w:tcW w:w="611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51568D66">
            <w:pPr>
              <w:keepNext w:val="0"/>
              <w:keepLines w:val="0"/>
              <w:pageBreakBefore w:val="0"/>
              <w:widowControl w:val="0"/>
              <w:kinsoku/>
              <w:overflowPunct/>
              <w:topLinePunct w:val="0"/>
              <w:autoSpaceDE/>
              <w:autoSpaceDN/>
              <w:bidi w:val="0"/>
              <w:spacing w:line="240" w:lineRule="auto"/>
              <w:ind w:left="160" w:leftChars="50" w:firstLine="0" w:firstLineChars="0"/>
              <w:textAlignment w:val="auto"/>
              <w:rPr>
                <w:sz w:val="28"/>
                <w:szCs w:val="28"/>
                <w:u w:val="none"/>
              </w:rPr>
            </w:pPr>
            <w:r>
              <w:rPr>
                <w:rFonts w:hint="eastAsia"/>
                <w:sz w:val="28"/>
                <w:szCs w:val="28"/>
                <w:u w:val="none"/>
              </w:rPr>
              <w:t>平地人参、中小药材基地、人参皂</w:t>
            </w:r>
          </w:p>
        </w:tc>
      </w:tr>
      <w:tr w14:paraId="24A0D0B7">
        <w:tblPrEx>
          <w:tblCellMar>
            <w:top w:w="0" w:type="dxa"/>
            <w:left w:w="0" w:type="dxa"/>
            <w:bottom w:w="0" w:type="dxa"/>
            <w:right w:w="0" w:type="dxa"/>
          </w:tblCellMar>
        </w:tblPrEx>
        <w:trPr>
          <w:trHeight w:val="20" w:hRule="atLeast"/>
        </w:trPr>
        <w:tc>
          <w:tcPr>
            <w:tcW w:w="983"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18D7427A">
            <w:pPr>
              <w:keepNext w:val="0"/>
              <w:keepLines w:val="0"/>
              <w:pageBreakBefore w:val="0"/>
              <w:widowControl w:val="0"/>
              <w:kinsoku/>
              <w:overflowPunct/>
              <w:topLinePunct w:val="0"/>
              <w:autoSpaceDE/>
              <w:autoSpaceDN/>
              <w:bidi w:val="0"/>
              <w:spacing w:line="240" w:lineRule="auto"/>
              <w:ind w:firstLine="0" w:firstLineChars="0"/>
              <w:jc w:val="center"/>
              <w:textAlignment w:val="auto"/>
              <w:rPr>
                <w:sz w:val="28"/>
                <w:szCs w:val="28"/>
                <w:u w:val="none"/>
              </w:rPr>
            </w:pPr>
            <w:r>
              <w:rPr>
                <w:rFonts w:hint="eastAsia"/>
                <w:sz w:val="28"/>
                <w:szCs w:val="28"/>
                <w:u w:val="none"/>
              </w:rPr>
              <w:t>9</w:t>
            </w:r>
          </w:p>
        </w:tc>
        <w:tc>
          <w:tcPr>
            <w:tcW w:w="184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151DFDAB">
            <w:pPr>
              <w:keepNext w:val="0"/>
              <w:keepLines w:val="0"/>
              <w:pageBreakBefore w:val="0"/>
              <w:widowControl w:val="0"/>
              <w:kinsoku/>
              <w:overflowPunct/>
              <w:topLinePunct w:val="0"/>
              <w:autoSpaceDE/>
              <w:autoSpaceDN/>
              <w:bidi w:val="0"/>
              <w:spacing w:line="240" w:lineRule="auto"/>
              <w:ind w:firstLine="0" w:firstLineChars="0"/>
              <w:jc w:val="center"/>
              <w:textAlignment w:val="auto"/>
              <w:rPr>
                <w:sz w:val="28"/>
                <w:szCs w:val="28"/>
                <w:u w:val="none"/>
              </w:rPr>
            </w:pPr>
            <w:r>
              <w:rPr>
                <w:rFonts w:hint="eastAsia"/>
                <w:sz w:val="28"/>
                <w:szCs w:val="28"/>
                <w:u w:val="none"/>
              </w:rPr>
              <w:t>二道沟村</w:t>
            </w:r>
          </w:p>
        </w:tc>
        <w:tc>
          <w:tcPr>
            <w:tcW w:w="611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3A9942B4">
            <w:pPr>
              <w:keepNext w:val="0"/>
              <w:keepLines w:val="0"/>
              <w:pageBreakBefore w:val="0"/>
              <w:widowControl w:val="0"/>
              <w:kinsoku/>
              <w:overflowPunct/>
              <w:topLinePunct w:val="0"/>
              <w:autoSpaceDE/>
              <w:autoSpaceDN/>
              <w:bidi w:val="0"/>
              <w:spacing w:line="240" w:lineRule="auto"/>
              <w:ind w:left="160" w:leftChars="50" w:firstLine="0" w:firstLineChars="0"/>
              <w:textAlignment w:val="auto"/>
              <w:rPr>
                <w:sz w:val="28"/>
                <w:szCs w:val="28"/>
                <w:u w:val="none"/>
              </w:rPr>
            </w:pPr>
            <w:r>
              <w:rPr>
                <w:rFonts w:hint="eastAsia"/>
                <w:sz w:val="28"/>
                <w:szCs w:val="28"/>
                <w:u w:val="none"/>
              </w:rPr>
              <w:t>山野菜种植基地、山地中药材基地</w:t>
            </w:r>
          </w:p>
        </w:tc>
      </w:tr>
      <w:tr w14:paraId="799F8F6B">
        <w:tblPrEx>
          <w:tblCellMar>
            <w:top w:w="0" w:type="dxa"/>
            <w:left w:w="0" w:type="dxa"/>
            <w:bottom w:w="0" w:type="dxa"/>
            <w:right w:w="0" w:type="dxa"/>
          </w:tblCellMar>
        </w:tblPrEx>
        <w:trPr>
          <w:trHeight w:val="20" w:hRule="atLeast"/>
        </w:trPr>
        <w:tc>
          <w:tcPr>
            <w:tcW w:w="983"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4873CC0E">
            <w:pPr>
              <w:keepNext w:val="0"/>
              <w:keepLines w:val="0"/>
              <w:pageBreakBefore w:val="0"/>
              <w:widowControl w:val="0"/>
              <w:kinsoku/>
              <w:overflowPunct/>
              <w:topLinePunct w:val="0"/>
              <w:autoSpaceDE/>
              <w:autoSpaceDN/>
              <w:bidi w:val="0"/>
              <w:spacing w:line="240" w:lineRule="auto"/>
              <w:ind w:firstLine="0" w:firstLineChars="0"/>
              <w:jc w:val="center"/>
              <w:textAlignment w:val="auto"/>
              <w:rPr>
                <w:sz w:val="28"/>
                <w:szCs w:val="28"/>
                <w:u w:val="none"/>
              </w:rPr>
            </w:pPr>
            <w:r>
              <w:rPr>
                <w:rFonts w:hint="eastAsia"/>
                <w:sz w:val="28"/>
                <w:szCs w:val="28"/>
                <w:u w:val="none"/>
              </w:rPr>
              <w:t>10</w:t>
            </w:r>
          </w:p>
        </w:tc>
        <w:tc>
          <w:tcPr>
            <w:tcW w:w="184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1D680B2E">
            <w:pPr>
              <w:keepNext w:val="0"/>
              <w:keepLines w:val="0"/>
              <w:pageBreakBefore w:val="0"/>
              <w:widowControl w:val="0"/>
              <w:kinsoku/>
              <w:overflowPunct/>
              <w:topLinePunct w:val="0"/>
              <w:autoSpaceDE/>
              <w:autoSpaceDN/>
              <w:bidi w:val="0"/>
              <w:spacing w:line="240" w:lineRule="auto"/>
              <w:ind w:firstLine="0" w:firstLineChars="0"/>
              <w:jc w:val="center"/>
              <w:textAlignment w:val="auto"/>
              <w:rPr>
                <w:sz w:val="28"/>
                <w:szCs w:val="28"/>
                <w:u w:val="none"/>
              </w:rPr>
            </w:pPr>
            <w:r>
              <w:rPr>
                <w:rFonts w:hint="eastAsia"/>
                <w:sz w:val="28"/>
                <w:szCs w:val="28"/>
                <w:u w:val="none"/>
              </w:rPr>
              <w:t>八道沟村</w:t>
            </w:r>
          </w:p>
        </w:tc>
        <w:tc>
          <w:tcPr>
            <w:tcW w:w="611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3B81B23D">
            <w:pPr>
              <w:keepNext w:val="0"/>
              <w:keepLines w:val="0"/>
              <w:pageBreakBefore w:val="0"/>
              <w:widowControl w:val="0"/>
              <w:kinsoku/>
              <w:overflowPunct/>
              <w:topLinePunct w:val="0"/>
              <w:autoSpaceDE/>
              <w:autoSpaceDN/>
              <w:bidi w:val="0"/>
              <w:spacing w:line="240" w:lineRule="auto"/>
              <w:ind w:left="160" w:leftChars="50" w:firstLine="0" w:firstLineChars="0"/>
              <w:textAlignment w:val="auto"/>
              <w:rPr>
                <w:sz w:val="28"/>
                <w:szCs w:val="28"/>
                <w:u w:val="none"/>
              </w:rPr>
            </w:pPr>
            <w:r>
              <w:rPr>
                <w:rFonts w:hint="eastAsia"/>
                <w:sz w:val="28"/>
                <w:szCs w:val="28"/>
                <w:u w:val="none"/>
              </w:rPr>
              <w:t>山野菜种植基地、山地中药材基地</w:t>
            </w:r>
          </w:p>
        </w:tc>
      </w:tr>
      <w:tr w14:paraId="06C03953">
        <w:tblPrEx>
          <w:tblCellMar>
            <w:top w:w="0" w:type="dxa"/>
            <w:left w:w="0" w:type="dxa"/>
            <w:bottom w:w="0" w:type="dxa"/>
            <w:right w:w="0" w:type="dxa"/>
          </w:tblCellMar>
        </w:tblPrEx>
        <w:trPr>
          <w:trHeight w:val="20" w:hRule="atLeast"/>
        </w:trPr>
        <w:tc>
          <w:tcPr>
            <w:tcW w:w="983"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794E0416">
            <w:pPr>
              <w:keepNext w:val="0"/>
              <w:keepLines w:val="0"/>
              <w:pageBreakBefore w:val="0"/>
              <w:widowControl w:val="0"/>
              <w:kinsoku/>
              <w:overflowPunct/>
              <w:topLinePunct w:val="0"/>
              <w:autoSpaceDE/>
              <w:autoSpaceDN/>
              <w:bidi w:val="0"/>
              <w:spacing w:line="240" w:lineRule="auto"/>
              <w:ind w:firstLine="0" w:firstLineChars="0"/>
              <w:jc w:val="center"/>
              <w:textAlignment w:val="auto"/>
              <w:rPr>
                <w:sz w:val="28"/>
                <w:szCs w:val="28"/>
                <w:u w:val="none"/>
              </w:rPr>
            </w:pPr>
            <w:r>
              <w:rPr>
                <w:rFonts w:hint="eastAsia"/>
                <w:sz w:val="28"/>
                <w:szCs w:val="28"/>
                <w:u w:val="none"/>
              </w:rPr>
              <w:t>11</w:t>
            </w:r>
          </w:p>
        </w:tc>
        <w:tc>
          <w:tcPr>
            <w:tcW w:w="184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40FFC8E3">
            <w:pPr>
              <w:keepNext w:val="0"/>
              <w:keepLines w:val="0"/>
              <w:pageBreakBefore w:val="0"/>
              <w:widowControl w:val="0"/>
              <w:kinsoku/>
              <w:overflowPunct/>
              <w:topLinePunct w:val="0"/>
              <w:autoSpaceDE/>
              <w:autoSpaceDN/>
              <w:bidi w:val="0"/>
              <w:spacing w:line="240" w:lineRule="auto"/>
              <w:ind w:firstLine="0" w:firstLineChars="0"/>
              <w:jc w:val="center"/>
              <w:textAlignment w:val="auto"/>
              <w:rPr>
                <w:sz w:val="28"/>
                <w:szCs w:val="28"/>
                <w:u w:val="none"/>
              </w:rPr>
            </w:pPr>
            <w:r>
              <w:rPr>
                <w:rFonts w:hint="eastAsia"/>
                <w:sz w:val="28"/>
                <w:szCs w:val="28"/>
                <w:u w:val="none"/>
              </w:rPr>
              <w:t>同江村</w:t>
            </w:r>
          </w:p>
        </w:tc>
        <w:tc>
          <w:tcPr>
            <w:tcW w:w="611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2FCA80E9">
            <w:pPr>
              <w:keepNext w:val="0"/>
              <w:keepLines w:val="0"/>
              <w:pageBreakBefore w:val="0"/>
              <w:widowControl w:val="0"/>
              <w:kinsoku/>
              <w:overflowPunct/>
              <w:topLinePunct w:val="0"/>
              <w:autoSpaceDE/>
              <w:autoSpaceDN/>
              <w:bidi w:val="0"/>
              <w:spacing w:line="240" w:lineRule="auto"/>
              <w:ind w:left="160" w:leftChars="50" w:firstLine="0" w:firstLineChars="0"/>
              <w:textAlignment w:val="auto"/>
              <w:rPr>
                <w:sz w:val="28"/>
                <w:szCs w:val="28"/>
                <w:u w:val="none"/>
              </w:rPr>
            </w:pPr>
            <w:r>
              <w:rPr>
                <w:rFonts w:hint="eastAsia"/>
                <w:sz w:val="28"/>
                <w:szCs w:val="28"/>
                <w:u w:val="none"/>
              </w:rPr>
              <w:t>菲牛蛭加工、淀粉厂</w:t>
            </w:r>
          </w:p>
        </w:tc>
      </w:tr>
      <w:tr w14:paraId="10BCC208">
        <w:tblPrEx>
          <w:tblCellMar>
            <w:top w:w="0" w:type="dxa"/>
            <w:left w:w="0" w:type="dxa"/>
            <w:bottom w:w="0" w:type="dxa"/>
            <w:right w:w="0" w:type="dxa"/>
          </w:tblCellMar>
        </w:tblPrEx>
        <w:trPr>
          <w:trHeight w:val="20" w:hRule="atLeast"/>
        </w:trPr>
        <w:tc>
          <w:tcPr>
            <w:tcW w:w="983"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1763CDFE">
            <w:pPr>
              <w:keepNext w:val="0"/>
              <w:keepLines w:val="0"/>
              <w:pageBreakBefore w:val="0"/>
              <w:widowControl w:val="0"/>
              <w:kinsoku/>
              <w:overflowPunct/>
              <w:topLinePunct w:val="0"/>
              <w:autoSpaceDE/>
              <w:autoSpaceDN/>
              <w:bidi w:val="0"/>
              <w:spacing w:line="240" w:lineRule="auto"/>
              <w:ind w:firstLine="0" w:firstLineChars="0"/>
              <w:jc w:val="center"/>
              <w:textAlignment w:val="auto"/>
              <w:rPr>
                <w:sz w:val="28"/>
                <w:szCs w:val="28"/>
                <w:u w:val="none"/>
              </w:rPr>
            </w:pPr>
            <w:r>
              <w:rPr>
                <w:rFonts w:hint="eastAsia"/>
                <w:sz w:val="28"/>
                <w:szCs w:val="28"/>
                <w:u w:val="none"/>
              </w:rPr>
              <w:t>12</w:t>
            </w:r>
          </w:p>
        </w:tc>
        <w:tc>
          <w:tcPr>
            <w:tcW w:w="184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6AE23C86">
            <w:pPr>
              <w:keepNext w:val="0"/>
              <w:keepLines w:val="0"/>
              <w:pageBreakBefore w:val="0"/>
              <w:widowControl w:val="0"/>
              <w:kinsoku/>
              <w:overflowPunct/>
              <w:topLinePunct w:val="0"/>
              <w:autoSpaceDE/>
              <w:autoSpaceDN/>
              <w:bidi w:val="0"/>
              <w:spacing w:line="240" w:lineRule="auto"/>
              <w:ind w:firstLine="0" w:firstLineChars="0"/>
              <w:jc w:val="center"/>
              <w:textAlignment w:val="auto"/>
              <w:rPr>
                <w:sz w:val="28"/>
                <w:szCs w:val="28"/>
                <w:u w:val="none"/>
              </w:rPr>
            </w:pPr>
            <w:r>
              <w:rPr>
                <w:rFonts w:hint="eastAsia"/>
                <w:sz w:val="28"/>
                <w:szCs w:val="28"/>
                <w:u w:val="none"/>
              </w:rPr>
              <w:t>碱厂沟村</w:t>
            </w:r>
          </w:p>
        </w:tc>
        <w:tc>
          <w:tcPr>
            <w:tcW w:w="611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bottom w:w="0" w:type="dxa"/>
              <w:right w:w="15" w:type="dxa"/>
            </w:tcMar>
            <w:vAlign w:val="center"/>
          </w:tcPr>
          <w:p w14:paraId="0438C3D0">
            <w:pPr>
              <w:keepNext w:val="0"/>
              <w:keepLines w:val="0"/>
              <w:pageBreakBefore w:val="0"/>
              <w:widowControl w:val="0"/>
              <w:kinsoku/>
              <w:overflowPunct/>
              <w:topLinePunct w:val="0"/>
              <w:autoSpaceDE/>
              <w:autoSpaceDN/>
              <w:bidi w:val="0"/>
              <w:spacing w:line="240" w:lineRule="auto"/>
              <w:ind w:left="160" w:leftChars="50" w:firstLine="0" w:firstLineChars="0"/>
              <w:textAlignment w:val="auto"/>
              <w:rPr>
                <w:sz w:val="28"/>
                <w:szCs w:val="28"/>
                <w:u w:val="none"/>
              </w:rPr>
            </w:pPr>
            <w:r>
              <w:rPr>
                <w:rFonts w:hint="eastAsia"/>
                <w:sz w:val="28"/>
                <w:szCs w:val="28"/>
                <w:u w:val="none"/>
              </w:rPr>
              <w:t>平地人参</w:t>
            </w:r>
          </w:p>
        </w:tc>
      </w:tr>
    </w:tbl>
    <w:p w14:paraId="15E1BD5A">
      <w:pPr>
        <w:pStyle w:val="4"/>
        <w:bidi w:val="0"/>
        <w:ind w:left="0" w:leftChars="0" w:firstLine="420" w:firstLineChars="0"/>
        <w:rPr>
          <w:rFonts w:hint="eastAsia"/>
          <w:color w:val="auto"/>
          <w:u w:val="none"/>
          <w:lang w:val="en-US" w:eastAsia="zh-CN"/>
        </w:rPr>
      </w:pPr>
      <w:r>
        <w:rPr>
          <w:rFonts w:hint="eastAsia"/>
          <w:color w:val="auto"/>
          <w:u w:val="none"/>
          <w:lang w:val="en-US" w:eastAsia="zh-CN"/>
        </w:rPr>
        <w:t>产业用地保障</w:t>
      </w:r>
    </w:p>
    <w:p w14:paraId="1029F187">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保障旅游业发展用地。依法实行用地分类管理制度。旅游项目中，属于永久性设施建设用地的，依法按建设用地管理；属于自然景观用地及农牧渔业种植、养殖用地的，不征收（收回）、不转用，按现用途管理，由景区管理机构和经营主体与土地权利人依法协调种植、养殖、管护与旅游经营关系。多方式供应建设用地，鼓励以长期租赁、先租后让、租让结合方式供应旅游项目建设用地。加大旅游厕所用地保障力度，促进自驾车、房车营地旅游有序发展。</w:t>
      </w:r>
    </w:p>
    <w:p w14:paraId="342374A0">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鼓励充分利用闲置住宅，发展具有乡村特色的休闲农业、乡村旅游、餐饮民宿、文化体验、创意办公、电子商务等新兴产业和业态。推动农产品冷链、初加工、仓储等一二三产业融合发展，助力乡村振兴。在不占用永久基本农田的前提下，进一步加大设施农业建设力度和用地保障，强化现代设施农业用地用电用水等配套保障，支持高效农业和生态观光农业稳健发展。拓展特色养殖业空间，加快畜禽规模集约养殖场标准化建设，重点保障养殖空间，因地制宜发展特色养殖产业。</w:t>
      </w:r>
    </w:p>
    <w:p w14:paraId="4F3DFAE3">
      <w:pPr>
        <w:keepNext w:val="0"/>
        <w:keepLines w:val="0"/>
        <w:pageBreakBefore w:val="0"/>
        <w:widowControl w:val="0"/>
        <w:kinsoku/>
        <w:overflowPunct/>
        <w:topLinePunct w:val="0"/>
        <w:autoSpaceDE/>
        <w:autoSpaceDN/>
        <w:bidi w:val="0"/>
        <w:spacing w:line="600" w:lineRule="exact"/>
        <w:textAlignment w:val="auto"/>
        <w:rPr>
          <w:color w:val="2E75B6" w:themeColor="accent5" w:themeShade="BF"/>
          <w:u w:val="none"/>
        </w:rPr>
      </w:pPr>
      <w:r>
        <w:rPr>
          <w:rFonts w:hint="eastAsia"/>
          <w:u w:val="none"/>
        </w:rPr>
        <w:t>持续推进农村一二三产业融合发展，以农业为依托延伸产业链。引导农产品初加工、产地直销等产业在村庄区位优势区域合理布局、适度集中。加强野山参、小咸菜等特色农产品及农产品深加工产业发展。合理保障农产品加工流通、电子商务、冷链物流、乡村旅游、休闲农业、民宿经济等新产业、新业态用地需求。根据年度新增用地指标计划情况，在市本级和乡镇级国土空间总体规划中安排至少</w:t>
      </w:r>
      <w:r>
        <w:rPr>
          <w:u w:val="none"/>
        </w:rPr>
        <w:t>10%</w:t>
      </w:r>
      <w:r>
        <w:rPr>
          <w:rFonts w:hint="eastAsia"/>
          <w:u w:val="none"/>
        </w:rPr>
        <w:t>的建设用地指标，用于支持乡村振兴发展。</w:t>
      </w:r>
    </w:p>
    <w:p w14:paraId="17CEAB5D">
      <w:pPr>
        <w:pStyle w:val="3"/>
        <w:bidi w:val="0"/>
        <w:ind w:left="0" w:leftChars="0" w:firstLine="420" w:firstLineChars="0"/>
        <w:rPr>
          <w:rFonts w:hint="eastAsia" w:ascii="黑体" w:hAnsi="黑体" w:eastAsia="黑体" w:cs="黑体"/>
          <w:u w:val="none"/>
          <w:lang w:val="en-US" w:eastAsia="zh-CN"/>
        </w:rPr>
      </w:pPr>
      <w:bookmarkStart w:id="110" w:name="_Toc152937206"/>
      <w:bookmarkStart w:id="111" w:name="_Toc12055"/>
      <w:bookmarkStart w:id="112" w:name="_Toc24970"/>
      <w:bookmarkStart w:id="113" w:name="_Toc133419342"/>
      <w:r>
        <w:rPr>
          <w:rFonts w:hint="eastAsia" w:ascii="黑体" w:hAnsi="黑体" w:eastAsia="黑体" w:cs="黑体"/>
          <w:u w:val="none"/>
          <w:lang w:val="en-US" w:eastAsia="zh-CN"/>
        </w:rPr>
        <w:t>景观风貌</w:t>
      </w:r>
      <w:bookmarkEnd w:id="110"/>
      <w:r>
        <w:rPr>
          <w:rFonts w:hint="eastAsia" w:ascii="黑体" w:hAnsi="黑体" w:eastAsia="黑体" w:cs="黑体"/>
          <w:u w:val="none"/>
          <w:lang w:val="en-US" w:eastAsia="zh-CN"/>
        </w:rPr>
        <w:t>引导</w:t>
      </w:r>
      <w:bookmarkEnd w:id="111"/>
      <w:bookmarkEnd w:id="112"/>
    </w:p>
    <w:p w14:paraId="6E90BA8A">
      <w:pPr>
        <w:pStyle w:val="4"/>
        <w:bidi w:val="0"/>
        <w:ind w:left="0" w:leftChars="0" w:firstLine="420" w:firstLineChars="0"/>
        <w:rPr>
          <w:rFonts w:hint="eastAsia"/>
          <w:color w:val="auto"/>
          <w:u w:val="none"/>
          <w:lang w:val="en-US" w:eastAsia="zh-CN"/>
        </w:rPr>
      </w:pPr>
      <w:r>
        <w:rPr>
          <w:rFonts w:hint="eastAsia"/>
          <w:color w:val="auto"/>
          <w:u w:val="none"/>
          <w:lang w:val="en-US" w:eastAsia="zh-CN"/>
        </w:rPr>
        <w:t>凸显山水人文特色景观</w:t>
      </w:r>
    </w:p>
    <w:p w14:paraId="41514355">
      <w:pPr>
        <w:keepNext w:val="0"/>
        <w:keepLines w:val="0"/>
        <w:pageBreakBefore w:val="0"/>
        <w:widowControl w:val="0"/>
        <w:kinsoku/>
        <w:overflowPunct/>
        <w:topLinePunct w:val="0"/>
        <w:autoSpaceDE/>
        <w:autoSpaceDN/>
        <w:bidi w:val="0"/>
        <w:spacing w:line="600" w:lineRule="exact"/>
        <w:textAlignment w:val="auto"/>
        <w:rPr>
          <w:u w:val="none"/>
        </w:rPr>
      </w:pPr>
      <w:r>
        <w:rPr>
          <w:u w:val="none"/>
        </w:rPr>
        <w:t>依托</w:t>
      </w:r>
      <w:r>
        <w:rPr>
          <w:rFonts w:hint="eastAsia"/>
          <w:u w:val="none"/>
        </w:rPr>
        <w:t>古城镇山、水、林、田、村自然资源要素为依托</w:t>
      </w:r>
      <w:r>
        <w:rPr>
          <w:u w:val="none"/>
        </w:rPr>
        <w:t>，</w:t>
      </w:r>
      <w:r>
        <w:rPr>
          <w:rFonts w:hint="eastAsia"/>
          <w:u w:val="none"/>
        </w:rPr>
        <w:t>梳理山水资源特色、历史文化脉络、乡村生活网络，着重强化城乡协调、分类引导，打造形成特色鲜明、宜居宜业的新型城镇与绿色生态、淳朴文明的村镇风貌。</w:t>
      </w:r>
    </w:p>
    <w:p w14:paraId="6590EFD0">
      <w:pPr>
        <w:pStyle w:val="4"/>
        <w:bidi w:val="0"/>
        <w:ind w:left="0" w:leftChars="0" w:firstLine="420" w:firstLineChars="0"/>
        <w:rPr>
          <w:rFonts w:hint="eastAsia"/>
          <w:color w:val="auto"/>
          <w:u w:val="none"/>
          <w:lang w:val="en-US" w:eastAsia="zh-CN"/>
        </w:rPr>
      </w:pPr>
      <w:r>
        <w:rPr>
          <w:rFonts w:hint="eastAsia"/>
          <w:color w:val="auto"/>
          <w:u w:val="none"/>
          <w:lang w:val="en-US" w:eastAsia="zh-CN"/>
        </w:rPr>
        <w:t>打造特色乡村风貌</w:t>
      </w:r>
    </w:p>
    <w:p w14:paraId="044CF9E6">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现代</w:t>
      </w:r>
      <w:r>
        <w:rPr>
          <w:u w:val="none"/>
        </w:rPr>
        <w:t>城镇风貌</w:t>
      </w:r>
      <w:r>
        <w:rPr>
          <w:rFonts w:hint="eastAsia"/>
          <w:u w:val="none"/>
        </w:rPr>
        <w:t>区。是指古城镇中心区</w:t>
      </w:r>
      <w:r>
        <w:rPr>
          <w:u w:val="none"/>
        </w:rPr>
        <w:t>城镇风貌格局塑造和管控的重点地区</w:t>
      </w:r>
      <w:r>
        <w:rPr>
          <w:rFonts w:hint="eastAsia"/>
          <w:u w:val="none"/>
        </w:rPr>
        <w:t>，以城镇总体风貌格局为主导，根据街巷肌理和居住建筑、工业仓储建筑、公共建筑等风貌特征，合理控制建筑高度、体量、色彩，确保城镇风貌整体和谐。</w:t>
      </w:r>
    </w:p>
    <w:p w14:paraId="181B9F49">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宜居村庄风貌区。是指除镇中心区以外的其他居民点，以整洁有序、舒适宜居为目标，突出地域建筑特色，展现东北地区乡村传统风貌。充分尊重乡村地区的自然生态环境、地方文脉，结合民风民俗，保留历史的空间记忆，使用乡土材料，展示地方文化与民居特色。</w:t>
      </w:r>
    </w:p>
    <w:p w14:paraId="76BA65DE">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田园乡野风貌区。以农耕文化传承为价值导向，凸显广袤农田景观，展现原生乡土特征，推进高标准农田建设，打造现代农业景观风貌。</w:t>
      </w:r>
    </w:p>
    <w:p w14:paraId="67E2F83F">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滨水景观风貌区。加强富尔江水域河流岸线治理，打造滨水生态景观带，建设滨水景观节点，构建自然流域与人工岸线景观融合风貌区。</w:t>
      </w:r>
    </w:p>
    <w:p w14:paraId="095A79CF">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生态山林风貌区。保持原始地形地貌，加强森林植被保护，适度发展林下经济，维护果园、林地、农田等景观的原真性，突出生态涵养的功能，结合特色休闲旅游，体现其山水林田交相辉映的景观魅力。</w:t>
      </w:r>
    </w:p>
    <w:p w14:paraId="6EFFA368">
      <w:pPr>
        <w:pStyle w:val="4"/>
        <w:bidi w:val="0"/>
        <w:ind w:left="0" w:leftChars="0" w:firstLine="420" w:firstLineChars="0"/>
        <w:rPr>
          <w:rFonts w:hint="eastAsia"/>
          <w:color w:val="auto"/>
          <w:u w:val="none"/>
          <w:lang w:val="en-US" w:eastAsia="zh-CN"/>
        </w:rPr>
      </w:pPr>
      <w:r>
        <w:rPr>
          <w:rFonts w:hint="eastAsia"/>
          <w:color w:val="auto"/>
          <w:u w:val="none"/>
          <w:lang w:val="en-US" w:eastAsia="zh-CN"/>
        </w:rPr>
        <w:t>塑造魅力城镇景观空间</w:t>
      </w:r>
    </w:p>
    <w:p w14:paraId="602CC93C">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重视城乡融合的城镇环境。延续古城镇当地的生态环境，并注重自身的传统肌理和空间格局，保留历史的空间记忆，展现城乡融合的深度与生命力。依托全域开放空间生态网络的建立，平衡土地开发与环境保育。结合自身优势资源，打造商业、旅游、生态、文化、产业等不同功能和空间形态的空间特色，赋予当地鲜明的地方特征，创建城镇品牌，展现城乡新风貌。</w:t>
      </w:r>
    </w:p>
    <w:p w14:paraId="3130F7C3">
      <w:pPr>
        <w:keepNext w:val="0"/>
        <w:keepLines w:val="0"/>
        <w:pageBreakBefore w:val="0"/>
        <w:widowControl w:val="0"/>
        <w:kinsoku/>
        <w:overflowPunct/>
        <w:topLinePunct w:val="0"/>
        <w:autoSpaceDE/>
        <w:autoSpaceDN/>
        <w:bidi w:val="0"/>
        <w:spacing w:line="600" w:lineRule="exact"/>
        <w:textAlignment w:val="auto"/>
        <w:rPr>
          <w:rFonts w:hint="eastAsia"/>
          <w:u w:val="none"/>
        </w:rPr>
      </w:pPr>
      <w:r>
        <w:rPr>
          <w:rFonts w:hint="eastAsia"/>
          <w:u w:val="none"/>
        </w:rPr>
        <w:t>营造精彩的水岸生活。充分利用现有水系潜力，塑造古城镇宜居城镇魅力，打造滨水旅游休闲空间，满足旅游业发展，安排层次丰富以及精彩多样的水岸空间和活动，提供滨水旅游城镇悠闲的生活方式。</w:t>
      </w:r>
    </w:p>
    <w:p w14:paraId="5661F6D0">
      <w:pPr>
        <w:keepNext w:val="0"/>
        <w:keepLines w:val="0"/>
        <w:pageBreakBefore w:val="0"/>
        <w:widowControl w:val="0"/>
        <w:kinsoku/>
        <w:overflowPunct/>
        <w:topLinePunct w:val="0"/>
        <w:autoSpaceDE/>
        <w:autoSpaceDN/>
        <w:bidi w:val="0"/>
        <w:spacing w:line="600" w:lineRule="exact"/>
        <w:textAlignment w:val="auto"/>
        <w:rPr>
          <w:rFonts w:hint="eastAsia"/>
          <w:u w:val="none"/>
        </w:rPr>
      </w:pPr>
    </w:p>
    <w:p w14:paraId="3E9DBC12">
      <w:pPr>
        <w:pStyle w:val="3"/>
        <w:bidi w:val="0"/>
        <w:ind w:left="0" w:leftChars="0" w:firstLine="420" w:firstLineChars="0"/>
        <w:rPr>
          <w:rFonts w:hint="eastAsia" w:ascii="黑体" w:hAnsi="黑体" w:eastAsia="黑体" w:cs="黑体"/>
          <w:u w:val="none"/>
          <w:lang w:val="en-US" w:eastAsia="zh-CN"/>
        </w:rPr>
      </w:pPr>
      <w:bookmarkStart w:id="114" w:name="_Toc133419363"/>
      <w:bookmarkStart w:id="115" w:name="_Toc152937207"/>
      <w:bookmarkStart w:id="116" w:name="_Toc12927"/>
      <w:bookmarkStart w:id="117" w:name="_Toc2499"/>
      <w:r>
        <w:rPr>
          <w:rFonts w:hint="eastAsia" w:ascii="黑体" w:hAnsi="黑体" w:eastAsia="黑体" w:cs="黑体"/>
          <w:u w:val="none"/>
          <w:lang w:val="en-US" w:eastAsia="zh-CN"/>
        </w:rPr>
        <w:t>全域旅游</w:t>
      </w:r>
      <w:bookmarkEnd w:id="114"/>
      <w:bookmarkEnd w:id="115"/>
      <w:r>
        <w:rPr>
          <w:rFonts w:hint="eastAsia" w:ascii="黑体" w:hAnsi="黑体" w:eastAsia="黑体" w:cs="黑体"/>
          <w:u w:val="none"/>
          <w:lang w:val="en-US" w:eastAsia="zh-CN"/>
        </w:rPr>
        <w:t>塑造</w:t>
      </w:r>
      <w:bookmarkEnd w:id="116"/>
      <w:bookmarkEnd w:id="117"/>
    </w:p>
    <w:p w14:paraId="4444DC46">
      <w:pPr>
        <w:pStyle w:val="4"/>
        <w:bidi w:val="0"/>
        <w:ind w:left="0" w:leftChars="0" w:firstLine="420" w:firstLineChars="0"/>
        <w:rPr>
          <w:rFonts w:hint="eastAsia"/>
          <w:color w:val="auto"/>
          <w:u w:val="none"/>
          <w:lang w:val="en-US" w:eastAsia="zh-CN"/>
        </w:rPr>
      </w:pPr>
      <w:r>
        <w:rPr>
          <w:rFonts w:hint="eastAsia"/>
          <w:color w:val="auto"/>
          <w:u w:val="none"/>
          <w:lang w:val="en-US" w:eastAsia="zh-CN"/>
        </w:rPr>
        <w:t>旅游发展目标</w:t>
      </w:r>
    </w:p>
    <w:p w14:paraId="670DD9A9">
      <w:pPr>
        <w:keepNext w:val="0"/>
        <w:keepLines w:val="0"/>
        <w:pageBreakBefore w:val="0"/>
        <w:widowControl w:val="0"/>
        <w:kinsoku/>
        <w:overflowPunct/>
        <w:topLinePunct w:val="0"/>
        <w:autoSpaceDE/>
        <w:autoSpaceDN/>
        <w:bidi w:val="0"/>
        <w:spacing w:line="600" w:lineRule="exact"/>
        <w:textAlignment w:val="auto"/>
        <w:rPr>
          <w:color w:val="2E75B6" w:themeColor="accent5" w:themeShade="BF"/>
          <w:u w:val="none"/>
        </w:rPr>
      </w:pPr>
      <w:r>
        <w:rPr>
          <w:rFonts w:hint="eastAsia"/>
          <w:u w:val="none"/>
        </w:rPr>
        <w:t>充分利用古城镇的优势资源，打造特色、文化、红色旅游，加大景点、景区开发力度，多方位开发旅游资源，培育风格独特、环境优雅、设施完善新景区。</w:t>
      </w:r>
    </w:p>
    <w:p w14:paraId="7CF701BF">
      <w:pPr>
        <w:pStyle w:val="4"/>
        <w:bidi w:val="0"/>
        <w:ind w:left="0" w:leftChars="0" w:firstLine="420" w:firstLineChars="0"/>
        <w:rPr>
          <w:rFonts w:hint="eastAsia"/>
          <w:color w:val="auto"/>
          <w:u w:val="none"/>
          <w:lang w:val="en-US" w:eastAsia="zh-CN"/>
        </w:rPr>
      </w:pPr>
      <w:r>
        <w:rPr>
          <w:rFonts w:hint="eastAsia"/>
          <w:color w:val="auto"/>
          <w:u w:val="none"/>
          <w:lang w:val="en-US" w:eastAsia="zh-CN"/>
        </w:rPr>
        <w:t>开放丰富多样的旅游产品</w:t>
      </w:r>
    </w:p>
    <w:p w14:paraId="38426F27">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重点开发建设特色旅游，通过旅游开发，将古城镇打造成天蓝、气净、山绿、水清、城美的特色旅游名镇。</w:t>
      </w:r>
    </w:p>
    <w:p w14:paraId="67AEFD10">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开发历史文化旅游景点。开发建州遗址、女真遗址、高句丽古墓群、老砬子建州卫遗址、小荒沟遗址、明代建州女真李满柱居住的兀弥府、沸流王故地等历史遗迹，形成历史人文旅游景点。和重要的人文历史景观，可进行恢复性保护开发。</w:t>
      </w:r>
    </w:p>
    <w:p w14:paraId="3F2F3D1B">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开发民族风情旅游。建设高丽风情园和建州女真风情园。沿华参源至“东北水稻第一村”洼泥甸子村路线，建设高丽风情园或建州女真风情园，途经业主沟老砬子、东古城子、西古城子、洼泥甸子朝鲜族聚居区。统一规划建设富有民族风情的民居村舍，家中摆放具有满族、朝鲜族特点的民俗物件，展示版画、剪纸等民间艺术，游客品尝民族特色美味佳肴，紫菜饭、米肠饭、打糕、凉粉、冷面、狗肉、泡菜等风味食品都独具特色，建有民俗体验手工作坊，让游客体验朝鲜族独具魅力的民族风情。供游人休闲住宿、品味美食，打造民俗风情一条街，把古城镇民族风情、民间艺术、特色食品推介给游客。</w:t>
      </w:r>
    </w:p>
    <w:p w14:paraId="12481D09">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开发特色旅游景点。利用业主沟老砬子时常有野猪、野兔、野鸡出没及丰富的森林资源建设一处狩猎体验场，让游人亲身体验狩猎的刺激感；利用古城镇稻田面积大而且连片特点，人工制作稻田图画，让游人观赏古城人民的艺术魅力。</w:t>
      </w:r>
    </w:p>
    <w:p w14:paraId="2B0AFC5E">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开发旅游产品。把具有民族特色的版画、剪纸艺术品和绿色贡米、小杂粮、稻田蟹、山野菜、食用菌、野山参、山楂、高丽咸菜等本地产品进行精深加工包装，制成工艺品、小食品推介给游客。这样既对外宣传了古城镇，又可以获取可观的经济效益。</w:t>
      </w:r>
    </w:p>
    <w:p w14:paraId="5F805EEA">
      <w:pPr>
        <w:pStyle w:val="4"/>
        <w:bidi w:val="0"/>
        <w:ind w:left="0" w:leftChars="0" w:firstLine="420" w:firstLineChars="0"/>
        <w:rPr>
          <w:rFonts w:hint="eastAsia"/>
          <w:color w:val="auto"/>
          <w:u w:val="none"/>
          <w:lang w:val="en-US" w:eastAsia="zh-CN"/>
        </w:rPr>
      </w:pPr>
      <w:r>
        <w:rPr>
          <w:rFonts w:hint="eastAsia"/>
          <w:color w:val="auto"/>
          <w:u w:val="none"/>
          <w:lang w:val="en-US" w:eastAsia="zh-CN"/>
        </w:rPr>
        <w:t>完善旅游服务支撑体系</w:t>
      </w:r>
    </w:p>
    <w:p w14:paraId="5AC61CC2">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推动全域旅游基础设施建设。打造“小镇客厅”等旅游综合服务综合体，加快旅游公共服务体系建设，重点提升通景公路、标牌标识、旅游厕所、停车场和景区环境，推进旅游自驾服务中心、旅游集散服务中心、导游服务中心建设。构建旅游交通网络。加快推进旅游购物场所建设。加快旅游景区气象灾害预测、旅游预警预报、旅游宣传综合信息发布设施建设，促进旅游与多部门的信息共享。</w:t>
      </w:r>
    </w:p>
    <w:p w14:paraId="51C123A1">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推动全域旅游智慧化。加快</w:t>
      </w:r>
      <w:r>
        <w:rPr>
          <w:u w:val="none"/>
        </w:rPr>
        <w:t>5G</w:t>
      </w:r>
      <w:r>
        <w:rPr>
          <w:rFonts w:hint="eastAsia"/>
          <w:u w:val="none"/>
        </w:rPr>
        <w:t>布局重点涉旅场所，提升旅游信息服务能力；建立旅游信息基础数据平台，收集、整理旅游统计数据，有效开展旅游统计分析、预测和监督；建立游客信息服务体系，利用移动互联网、云计算等新技术，发挥微信公众号平台作用，建立旅游信息化营销体系，拓展新的旅游营销方式，开展针对性强的旅游营销，建立旅游信息化管理体系，实现旅游监管全覆盖。</w:t>
      </w:r>
    </w:p>
    <w:p w14:paraId="226AC0DF">
      <w:pPr>
        <w:pStyle w:val="2"/>
        <w:spacing w:before="360" w:after="360"/>
        <w:rPr>
          <w:rFonts w:hint="eastAsia" w:ascii="方正小标宋简体" w:hAnsi="方正小标宋简体" w:eastAsia="方正小标宋简体" w:cs="方正小标宋简体"/>
          <w:color w:val="auto"/>
          <w:u w:val="none"/>
          <w:lang w:val="en-US" w:eastAsia="zh-CN"/>
        </w:rPr>
      </w:pPr>
      <w:bookmarkStart w:id="118" w:name="_Toc1733"/>
      <w:bookmarkStart w:id="119" w:name="_Toc7535"/>
      <w:bookmarkStart w:id="120" w:name="_Toc152937218"/>
      <w:bookmarkStart w:id="121" w:name="_Toc152937221"/>
      <w:bookmarkStart w:id="122" w:name="_Toc381730"/>
      <w:bookmarkStart w:id="123" w:name="_Toc152937208"/>
      <w:r>
        <w:rPr>
          <w:rFonts w:hint="eastAsia" w:ascii="方正小标宋简体" w:hAnsi="方正小标宋简体" w:eastAsia="方正小标宋简体" w:cs="方正小标宋简体"/>
          <w:color w:val="auto"/>
          <w:u w:val="none"/>
          <w:lang w:val="en-US" w:eastAsia="zh-CN"/>
        </w:rPr>
        <w:t>国土空间保障支撑体系</w:t>
      </w:r>
      <w:bookmarkEnd w:id="118"/>
      <w:bookmarkEnd w:id="119"/>
    </w:p>
    <w:p w14:paraId="7475E813">
      <w:pPr>
        <w:pStyle w:val="3"/>
        <w:bidi w:val="0"/>
        <w:ind w:left="0" w:leftChars="0" w:firstLine="420" w:firstLineChars="0"/>
        <w:rPr>
          <w:rFonts w:hint="eastAsia" w:ascii="黑体" w:hAnsi="黑体" w:eastAsia="黑体" w:cs="黑体"/>
          <w:u w:val="none"/>
          <w:lang w:val="en-US" w:eastAsia="zh-CN"/>
        </w:rPr>
      </w:pPr>
      <w:bookmarkStart w:id="124" w:name="_Toc24232"/>
      <w:bookmarkStart w:id="125" w:name="_Toc152937222"/>
      <w:bookmarkStart w:id="126" w:name="_Toc19541"/>
      <w:r>
        <w:rPr>
          <w:rFonts w:hint="eastAsia" w:ascii="黑体" w:hAnsi="黑体" w:eastAsia="黑体" w:cs="黑体"/>
          <w:u w:val="none"/>
          <w:lang w:val="en-US" w:eastAsia="zh-CN"/>
        </w:rPr>
        <w:t>公共服务设施</w:t>
      </w:r>
      <w:bookmarkEnd w:id="124"/>
      <w:bookmarkEnd w:id="125"/>
      <w:bookmarkEnd w:id="126"/>
    </w:p>
    <w:p w14:paraId="6A552287">
      <w:pPr>
        <w:pStyle w:val="4"/>
        <w:bidi w:val="0"/>
        <w:ind w:left="0" w:leftChars="0" w:firstLine="420" w:firstLineChars="0"/>
        <w:rPr>
          <w:rFonts w:hint="eastAsia"/>
          <w:color w:val="auto"/>
          <w:u w:val="none"/>
          <w:lang w:val="en-US" w:eastAsia="zh-CN"/>
        </w:rPr>
      </w:pPr>
      <w:r>
        <w:rPr>
          <w:rFonts w:hint="eastAsia"/>
          <w:color w:val="auto"/>
          <w:u w:val="none"/>
          <w:lang w:val="en-US" w:eastAsia="zh-CN"/>
        </w:rPr>
        <w:t>城乡社区生活圈体系构建</w:t>
      </w:r>
    </w:p>
    <w:p w14:paraId="5F1A782C">
      <w:pPr>
        <w:keepNext w:val="0"/>
        <w:keepLines w:val="0"/>
        <w:pageBreakBefore w:val="0"/>
        <w:widowControl w:val="0"/>
        <w:kinsoku/>
        <w:overflowPunct/>
        <w:topLinePunct w:val="0"/>
        <w:autoSpaceDE/>
        <w:autoSpaceDN/>
        <w:bidi w:val="0"/>
        <w:spacing w:line="600" w:lineRule="exact"/>
        <w:jc w:val="left"/>
        <w:textAlignment w:val="auto"/>
        <w:rPr>
          <w:rFonts w:hint="eastAsia" w:ascii="仿宋_GB2312" w:hAnsi="仿宋_GB2312"/>
          <w:szCs w:val="24"/>
          <w:u w:val="none"/>
        </w:rPr>
      </w:pPr>
      <w:r>
        <w:rPr>
          <w:rFonts w:hint="eastAsia" w:ascii="仿宋_GB2312" w:hAnsi="仿宋_GB2312"/>
          <w:szCs w:val="24"/>
          <w:u w:val="none"/>
        </w:rPr>
        <w:t>构建城镇社区生活圈——乡村社区生活圈两级结构，完善古城镇公共服务设施。</w:t>
      </w:r>
    </w:p>
    <w:p w14:paraId="158115BD">
      <w:pPr>
        <w:keepNext w:val="0"/>
        <w:keepLines w:val="0"/>
        <w:pageBreakBefore w:val="0"/>
        <w:widowControl w:val="0"/>
        <w:kinsoku/>
        <w:overflowPunct/>
        <w:topLinePunct w:val="0"/>
        <w:autoSpaceDE/>
        <w:autoSpaceDN/>
        <w:bidi w:val="0"/>
        <w:spacing w:line="600" w:lineRule="exact"/>
        <w:jc w:val="left"/>
        <w:textAlignment w:val="auto"/>
        <w:rPr>
          <w:u w:val="none"/>
        </w:rPr>
      </w:pPr>
      <w:r>
        <w:rPr>
          <w:rFonts w:hint="eastAsia"/>
          <w:u w:val="none"/>
        </w:rPr>
        <w:t>城镇社区生活圈。规划围绕镇中心区构建“半小时”城镇社区生活圈，配置面向全体居民内容丰富、规模适宜的各类服务要素，统筹配建城镇级公共服务设施，适当引导人口集聚，提升就业和创新能力，推进跨区域公共服务设施共享，满足居民日常生活需求。</w:t>
      </w:r>
    </w:p>
    <w:p w14:paraId="142BC0C4">
      <w:pPr>
        <w:keepNext w:val="0"/>
        <w:keepLines w:val="0"/>
        <w:pageBreakBefore w:val="0"/>
        <w:widowControl w:val="0"/>
        <w:kinsoku/>
        <w:overflowPunct/>
        <w:topLinePunct w:val="0"/>
        <w:autoSpaceDE/>
        <w:autoSpaceDN/>
        <w:bidi w:val="0"/>
        <w:spacing w:line="600" w:lineRule="exact"/>
        <w:jc w:val="left"/>
        <w:textAlignment w:val="auto"/>
        <w:rPr>
          <w:u w:val="none"/>
        </w:rPr>
      </w:pPr>
      <w:r>
        <w:rPr>
          <w:rFonts w:hint="eastAsia"/>
          <w:u w:val="none"/>
        </w:rPr>
        <w:t>乡村社区生活圈。按照15分钟步行可达的空间尺度构建城镇社区生活圈，区分步行15分钟、5—10分钟两个层级配置公共服务设施，完善就近服务，营造全龄友好、环境优美、设施配套、活力多元的城镇社区生活圈。依托村委会所在地的中心村，按照15分钟交通可达的空间尺度构建乡村社区生活圈，合理配置满足就近服务需求的公共服务设施，并注重与相邻村庄实现服务共享，营造生产生活服务便利化的乡村社区生活圈。</w:t>
      </w:r>
    </w:p>
    <w:p w14:paraId="6D8ECF28">
      <w:pPr>
        <w:pStyle w:val="4"/>
        <w:bidi w:val="0"/>
        <w:ind w:left="0" w:leftChars="0" w:firstLine="420" w:firstLineChars="0"/>
        <w:rPr>
          <w:rFonts w:hint="eastAsia"/>
          <w:color w:val="auto"/>
          <w:u w:val="none"/>
          <w:lang w:val="en-US" w:eastAsia="zh-CN"/>
        </w:rPr>
      </w:pPr>
      <w:bookmarkStart w:id="127" w:name="_Toc381769"/>
      <w:bookmarkStart w:id="128" w:name="_Toc152937223"/>
      <w:bookmarkStart w:id="129" w:name="_Toc133419355"/>
      <w:r>
        <w:rPr>
          <w:rFonts w:hint="eastAsia"/>
          <w:color w:val="auto"/>
          <w:u w:val="none"/>
          <w:lang w:val="en-US" w:eastAsia="zh-CN"/>
        </w:rPr>
        <w:t>提升公共服务设施水平</w:t>
      </w:r>
      <w:bookmarkEnd w:id="127"/>
    </w:p>
    <w:p w14:paraId="1AAE14F7">
      <w:pPr>
        <w:keepNext w:val="0"/>
        <w:keepLines w:val="0"/>
        <w:pageBreakBefore w:val="0"/>
        <w:widowControl w:val="0"/>
        <w:kinsoku/>
        <w:overflowPunct/>
        <w:topLinePunct w:val="0"/>
        <w:autoSpaceDE/>
        <w:autoSpaceDN/>
        <w:bidi w:val="0"/>
        <w:spacing w:line="600" w:lineRule="exact"/>
        <w:jc w:val="left"/>
        <w:textAlignment w:val="auto"/>
        <w:rPr>
          <w:u w:val="none"/>
        </w:rPr>
      </w:pPr>
      <w:r>
        <w:rPr>
          <w:rFonts w:hint="eastAsia"/>
          <w:u w:val="none"/>
        </w:rPr>
        <w:t>行政管理设施。镇中心区保留现有镇政府、派出所等行政办公场所。规划积极改善镇政府的建设环境及内部设施，提高镇政府的服务水平。各行政村保留现状各村委会，规划根据各村实际情况，增加村务室等行政管理设施。</w:t>
      </w:r>
    </w:p>
    <w:p w14:paraId="2366FCB5">
      <w:pPr>
        <w:keepNext w:val="0"/>
        <w:keepLines w:val="0"/>
        <w:pageBreakBefore w:val="0"/>
        <w:widowControl w:val="0"/>
        <w:kinsoku/>
        <w:overflowPunct/>
        <w:topLinePunct w:val="0"/>
        <w:autoSpaceDE/>
        <w:autoSpaceDN/>
        <w:bidi w:val="0"/>
        <w:spacing w:line="600" w:lineRule="exact"/>
        <w:jc w:val="left"/>
        <w:textAlignment w:val="auto"/>
        <w:rPr>
          <w:u w:val="none"/>
        </w:rPr>
      </w:pPr>
      <w:r>
        <w:rPr>
          <w:rFonts w:hint="eastAsia"/>
          <w:u w:val="none"/>
        </w:rPr>
        <w:t>教育设施。促进学前教育普惠安全优质发展，增加学前教育资源供给，优化布局，扩大普惠性幼儿园覆盖率。推进义务教育向优质普惠迈进，完善义务教育和高中阶段教育体系，保留镇域内教育设施用地。推进闲置教育设施向文化、体育、养老设施转型改造。</w:t>
      </w:r>
    </w:p>
    <w:p w14:paraId="40F96F57">
      <w:pPr>
        <w:keepNext w:val="0"/>
        <w:keepLines w:val="0"/>
        <w:pageBreakBefore w:val="0"/>
        <w:widowControl w:val="0"/>
        <w:kinsoku/>
        <w:overflowPunct/>
        <w:topLinePunct w:val="0"/>
        <w:autoSpaceDE/>
        <w:autoSpaceDN/>
        <w:bidi w:val="0"/>
        <w:spacing w:line="600" w:lineRule="exact"/>
        <w:jc w:val="left"/>
        <w:textAlignment w:val="auto"/>
        <w:rPr>
          <w:u w:val="none"/>
        </w:rPr>
      </w:pPr>
      <w:r>
        <w:rPr>
          <w:rFonts w:hint="eastAsia"/>
          <w:u w:val="none"/>
        </w:rPr>
        <w:t>医疗卫生设施。高标准配置医疗卫生设施，建立乡镇级医疗卫生设施诊疗体系。构建以乡镇卫生院为中心，村级卫生所为补充的卫生网络系统。基本建成覆盖镇域、功能齐全完善的医疗救治、疾病预防控制体系。中心村及一般村按照一村一室进行配置村级卫生室，对现有村庄卫生室进行提升。规划在富国村建设一处医养结合设施。</w:t>
      </w:r>
    </w:p>
    <w:p w14:paraId="3C31304D">
      <w:pPr>
        <w:keepNext w:val="0"/>
        <w:keepLines w:val="0"/>
        <w:pageBreakBefore w:val="0"/>
        <w:widowControl w:val="0"/>
        <w:kinsoku/>
        <w:overflowPunct/>
        <w:topLinePunct w:val="0"/>
        <w:autoSpaceDE/>
        <w:autoSpaceDN/>
        <w:bidi w:val="0"/>
        <w:spacing w:line="600" w:lineRule="exact"/>
        <w:jc w:val="left"/>
        <w:textAlignment w:val="auto"/>
        <w:rPr>
          <w:u w:val="none"/>
        </w:rPr>
      </w:pPr>
      <w:r>
        <w:rPr>
          <w:rFonts w:hint="eastAsia"/>
          <w:u w:val="none"/>
        </w:rPr>
        <w:t>文化活动设施。建立供给丰富、均衡高效的文化服务体系，扩大公共文化服务有效供给，实现城乡文化服务互联互通。中心村设置包括文化活动室、农家书屋、特色民俗活动点等，服务周边村民。一般村结合村委会综合设置。</w:t>
      </w:r>
    </w:p>
    <w:p w14:paraId="4616CFB1">
      <w:pPr>
        <w:keepNext w:val="0"/>
        <w:keepLines w:val="0"/>
        <w:pageBreakBefore w:val="0"/>
        <w:widowControl w:val="0"/>
        <w:kinsoku/>
        <w:overflowPunct/>
        <w:topLinePunct w:val="0"/>
        <w:autoSpaceDE/>
        <w:autoSpaceDN/>
        <w:bidi w:val="0"/>
        <w:spacing w:line="600" w:lineRule="exact"/>
        <w:jc w:val="left"/>
        <w:textAlignment w:val="auto"/>
        <w:rPr>
          <w:u w:val="none"/>
        </w:rPr>
      </w:pPr>
      <w:r>
        <w:rPr>
          <w:rFonts w:hint="eastAsia"/>
          <w:u w:val="none"/>
        </w:rPr>
        <w:t>体育设施。建立体系完善、惠及大众的全民健身公共服务体系。推动学校体育设施向社会开放，鼓励公园绿地、滨水空间及其他开敞空间提供体育健身服务功能。中心村及一般村可结合文化活动室布置健身广场。</w:t>
      </w:r>
    </w:p>
    <w:p w14:paraId="742A8B58">
      <w:pPr>
        <w:keepNext w:val="0"/>
        <w:keepLines w:val="0"/>
        <w:pageBreakBefore w:val="0"/>
        <w:widowControl w:val="0"/>
        <w:kinsoku/>
        <w:overflowPunct/>
        <w:topLinePunct w:val="0"/>
        <w:autoSpaceDE/>
        <w:autoSpaceDN/>
        <w:bidi w:val="0"/>
        <w:spacing w:line="600" w:lineRule="exact"/>
        <w:jc w:val="left"/>
        <w:textAlignment w:val="auto"/>
        <w:rPr>
          <w:rFonts w:hint="eastAsia"/>
          <w:u w:val="none"/>
        </w:rPr>
      </w:pPr>
      <w:r>
        <w:rPr>
          <w:rFonts w:hint="eastAsia"/>
          <w:u w:val="none"/>
        </w:rPr>
        <w:t>社会福利设施。提升社会保障水平，坚持普惠性、保基本、均等化、可持续、高标准建设社会保障服务设施。中心村结合村委会以及闲置校舍建设村级幸福院、老年人日间照料中心、老年活动室。一般村结合村委会以及闲置校舍综合设置老年人活动室等。</w:t>
      </w:r>
    </w:p>
    <w:p w14:paraId="21B8A0C0">
      <w:pPr>
        <w:keepNext w:val="0"/>
        <w:keepLines w:val="0"/>
        <w:pageBreakBefore w:val="0"/>
        <w:widowControl w:val="0"/>
        <w:kinsoku/>
        <w:overflowPunct/>
        <w:topLinePunct w:val="0"/>
        <w:autoSpaceDE/>
        <w:autoSpaceDN/>
        <w:bidi w:val="0"/>
        <w:spacing w:line="600" w:lineRule="exact"/>
        <w:jc w:val="left"/>
        <w:textAlignment w:val="auto"/>
        <w:rPr>
          <w:rFonts w:hint="eastAsia"/>
          <w:u w:val="none"/>
        </w:rPr>
      </w:pPr>
      <w:r>
        <w:rPr>
          <w:rFonts w:hint="eastAsia" w:ascii="Times New Roman" w:eastAsia="仿宋_GB2312"/>
          <w:u w:val="none"/>
          <w:lang w:val="en-US" w:eastAsia="zh-CN"/>
        </w:rPr>
        <w:t>养老设施。</w:t>
      </w:r>
      <w:r>
        <w:rPr>
          <w:rFonts w:hint="eastAsia"/>
          <w:u w:val="none"/>
        </w:rPr>
        <w:t>提升社会保障水平，坚持普惠性、保基本、均等化、可持续、高标准建设社会保障服务设施。中心村结合村委会以及闲置校舍建设镇级、村级幸福院、老年人日间照料中心、老年活动室。一般村结合村委会以及闲置校舍综合设置老年人活动室、养老服务设施站点。</w:t>
      </w:r>
    </w:p>
    <w:p w14:paraId="1F30AB34">
      <w:pPr>
        <w:keepNext w:val="0"/>
        <w:keepLines w:val="0"/>
        <w:pageBreakBefore w:val="0"/>
        <w:widowControl w:val="0"/>
        <w:kinsoku/>
        <w:overflowPunct/>
        <w:topLinePunct w:val="0"/>
        <w:autoSpaceDE/>
        <w:autoSpaceDN/>
        <w:bidi w:val="0"/>
        <w:spacing w:line="600" w:lineRule="exact"/>
        <w:jc w:val="left"/>
        <w:textAlignment w:val="auto"/>
        <w:rPr>
          <w:u w:val="none"/>
        </w:rPr>
      </w:pPr>
      <w:r>
        <w:rPr>
          <w:rFonts w:hint="eastAsia"/>
          <w:u w:val="none"/>
        </w:rPr>
        <w:t>商业服务设施。加强城乡商业配套服务，建立以镇中心区为核心的城乡商业服务体系。保留各行政村内便民农家店，结合村庄实际情况建设便民农家店、金融电信点、快递投放点等，服务周边村民。</w:t>
      </w:r>
    </w:p>
    <w:p w14:paraId="5F0D75F0">
      <w:pPr>
        <w:keepNext w:val="0"/>
        <w:keepLines w:val="0"/>
        <w:pageBreakBefore w:val="0"/>
        <w:widowControl w:val="0"/>
        <w:kinsoku/>
        <w:overflowPunct/>
        <w:topLinePunct w:val="0"/>
        <w:autoSpaceDE/>
        <w:autoSpaceDN/>
        <w:bidi w:val="0"/>
        <w:spacing w:line="600" w:lineRule="exact"/>
        <w:jc w:val="left"/>
        <w:textAlignment w:val="auto"/>
        <w:rPr>
          <w:u w:val="none"/>
        </w:rPr>
      </w:pPr>
      <w:r>
        <w:rPr>
          <w:rFonts w:hint="eastAsia"/>
          <w:u w:val="none"/>
        </w:rPr>
        <w:t>殡葬设施。规划完善殡葬设施体系，保障乡、村为解决农村村民安葬需求而建立的殡葬设施。对各村村级公益性公墓做好用地保障。</w:t>
      </w:r>
    </w:p>
    <w:p w14:paraId="2924A3A9">
      <w:pPr>
        <w:pStyle w:val="3"/>
        <w:bidi w:val="0"/>
        <w:ind w:left="0" w:leftChars="0" w:firstLine="420" w:firstLineChars="0"/>
        <w:rPr>
          <w:rFonts w:hint="eastAsia" w:ascii="黑体" w:hAnsi="黑体" w:eastAsia="黑体" w:cs="黑体"/>
          <w:u w:val="none"/>
          <w:lang w:val="en-US" w:eastAsia="zh-CN"/>
        </w:rPr>
      </w:pPr>
      <w:bookmarkStart w:id="130" w:name="_Toc5395"/>
      <w:bookmarkStart w:id="131" w:name="_Toc18512"/>
      <w:r>
        <w:rPr>
          <w:rFonts w:hint="eastAsia" w:ascii="黑体" w:hAnsi="黑体" w:eastAsia="黑体" w:cs="黑体"/>
          <w:u w:val="none"/>
          <w:lang w:val="en-US" w:eastAsia="zh-CN"/>
        </w:rPr>
        <w:t>综合交通设施</w:t>
      </w:r>
      <w:bookmarkEnd w:id="128"/>
      <w:bookmarkEnd w:id="129"/>
      <w:bookmarkEnd w:id="130"/>
      <w:bookmarkEnd w:id="131"/>
    </w:p>
    <w:p w14:paraId="7DA765F4">
      <w:pPr>
        <w:pStyle w:val="4"/>
        <w:bidi w:val="0"/>
        <w:ind w:left="0" w:leftChars="0" w:firstLine="420" w:firstLineChars="0"/>
        <w:rPr>
          <w:rFonts w:hint="eastAsia"/>
          <w:color w:val="auto"/>
          <w:u w:val="none"/>
          <w:lang w:val="en-US" w:eastAsia="zh-CN"/>
        </w:rPr>
      </w:pPr>
      <w:r>
        <w:rPr>
          <w:rFonts w:hint="eastAsia"/>
          <w:color w:val="auto"/>
          <w:u w:val="none"/>
          <w:lang w:val="en-US" w:eastAsia="zh-CN"/>
        </w:rPr>
        <w:t>综合交通发展目标</w:t>
      </w:r>
    </w:p>
    <w:p w14:paraId="19FF407F">
      <w:pPr>
        <w:keepNext w:val="0"/>
        <w:keepLines w:val="0"/>
        <w:pageBreakBefore w:val="0"/>
        <w:widowControl w:val="0"/>
        <w:kinsoku/>
        <w:overflowPunct/>
        <w:topLinePunct w:val="0"/>
        <w:autoSpaceDE/>
        <w:autoSpaceDN/>
        <w:bidi w:val="0"/>
        <w:spacing w:line="600" w:lineRule="exact"/>
        <w:textAlignment w:val="auto"/>
        <w:rPr>
          <w:u w:val="none"/>
        </w:rPr>
      </w:pPr>
      <w:r>
        <w:rPr>
          <w:u w:val="none"/>
        </w:rPr>
        <w:t>建立</w:t>
      </w:r>
      <w:r>
        <w:rPr>
          <w:rFonts w:hint="eastAsia"/>
          <w:u w:val="none"/>
        </w:rPr>
        <w:t>与古城镇经济和社会发展相适应的道路交通体系和交通网络，为古城镇社会经济发展提供良好交通条件；完善道路等级体系，构建以高速公路、国道为主骨架，省道、乡道为基础，农村公路为补充的安全便捷、内畅外达、智慧高效的综合交通</w:t>
      </w:r>
      <w:r>
        <w:rPr>
          <w:rFonts w:hint="eastAsia" w:eastAsia="仿宋_GB2312"/>
          <w:u w:val="none"/>
          <w:lang w:eastAsia="zh-CN"/>
        </w:rPr>
        <w:t>体系</w:t>
      </w:r>
      <w:r>
        <w:rPr>
          <w:rFonts w:hint="eastAsia"/>
          <w:u w:val="none"/>
        </w:rPr>
        <w:t>；建设高效的道路管理机制，促进道路管理水平的提高</w:t>
      </w:r>
      <w:r>
        <w:rPr>
          <w:u w:val="none"/>
        </w:rPr>
        <w:t>。</w:t>
      </w:r>
    </w:p>
    <w:p w14:paraId="705A0F8A">
      <w:pPr>
        <w:pStyle w:val="4"/>
        <w:bidi w:val="0"/>
        <w:ind w:left="0" w:leftChars="0" w:firstLine="420" w:firstLineChars="0"/>
        <w:rPr>
          <w:rFonts w:hint="eastAsia"/>
          <w:color w:val="auto"/>
          <w:u w:val="none"/>
          <w:lang w:val="en-US" w:eastAsia="zh-CN"/>
        </w:rPr>
      </w:pPr>
      <w:r>
        <w:rPr>
          <w:rFonts w:hint="eastAsia"/>
          <w:color w:val="auto"/>
          <w:u w:val="none"/>
          <w:lang w:val="en-US" w:eastAsia="zh-CN"/>
        </w:rPr>
        <w:t>构建镇域综合交通网络体系</w:t>
      </w:r>
    </w:p>
    <w:p w14:paraId="4A13254E">
      <w:pPr>
        <w:keepNext w:val="0"/>
        <w:keepLines w:val="0"/>
        <w:pageBreakBefore w:val="0"/>
        <w:widowControl w:val="0"/>
        <w:kinsoku/>
        <w:overflowPunct/>
        <w:topLinePunct w:val="0"/>
        <w:autoSpaceDE/>
        <w:autoSpaceDN/>
        <w:bidi w:val="0"/>
        <w:spacing w:line="600" w:lineRule="exact"/>
        <w:textAlignment w:val="auto"/>
        <w:rPr>
          <w:u w:val="none"/>
        </w:rPr>
      </w:pPr>
      <w:bookmarkStart w:id="132" w:name="_Hlk131258602"/>
      <w:r>
        <w:rPr>
          <w:rFonts w:hint="eastAsia"/>
          <w:u w:val="none"/>
        </w:rPr>
        <w:t>衔接区域综合交通。落实上位规划确定的高速公路等区域综合交通设施布局，优化城镇主要出口设置，满足城镇内部主要干路与各级公路等对外交通的衔接。加快乡镇级公路网建设及扩容改造，推进乡镇级公路与区域综合交通的衔接，提高公路网络化水平和服务能力。</w:t>
      </w:r>
    </w:p>
    <w:p w14:paraId="5B8B0B0F">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慢行交通系统。依托自然山水格局，构建多层次、网络化、开放性的城镇慢行系统。依托城镇道路网布设的慢行系统主体网，依托城镇公园、绿道建设的休闲型慢行系统和依托城镇街巷建设的街巷型慢行系统构成的慢行系统辅助网。改善步行和自行车出行环境，优先保障人行和骑行路权，促进步行舒适便捷、骑行安全通达。</w:t>
      </w:r>
    </w:p>
    <w:p w14:paraId="0034239B">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乡村道路交通。完善村庄内部道路网，全面推进硬化改造，按照干路、支路、宅间路三级进行设置。其中，干路道路红线宽度为8</w:t>
      </w:r>
      <w:r>
        <w:rPr>
          <w:rFonts w:hint="eastAsia" w:eastAsia="仿宋_GB2312"/>
          <w:u w:val="none"/>
          <w:lang w:eastAsia="zh-CN"/>
        </w:rPr>
        <w:t>—</w:t>
      </w:r>
      <w:r>
        <w:rPr>
          <w:rFonts w:hint="eastAsia"/>
          <w:u w:val="none"/>
        </w:rPr>
        <w:t>12米，支路道路红线宽度5</w:t>
      </w:r>
      <w:r>
        <w:rPr>
          <w:rFonts w:hint="eastAsia" w:eastAsia="仿宋_GB2312"/>
          <w:u w:val="none"/>
          <w:lang w:eastAsia="zh-CN"/>
        </w:rPr>
        <w:t>—</w:t>
      </w:r>
      <w:r>
        <w:rPr>
          <w:rFonts w:hint="eastAsia"/>
          <w:u w:val="none"/>
        </w:rPr>
        <w:t>7米，宅间路道路红线宽度为</w:t>
      </w:r>
      <w:r>
        <w:rPr>
          <w:rFonts w:hint="eastAsia" w:eastAsia="仿宋_GB2312"/>
          <w:u w:val="none"/>
          <w:lang w:eastAsia="zh-CN"/>
        </w:rPr>
        <w:t>3～4米</w:t>
      </w:r>
      <w:r>
        <w:rPr>
          <w:rFonts w:hint="eastAsia"/>
          <w:u w:val="none"/>
        </w:rPr>
        <w:t>。完善由村道和田间道组成的田间道路系统。结合农用地整理和高标准农田建设，将连接自然村与田块之间农业机械通行的农村道路适度硬化改造为村道，将连接田块与田块之间的农村道路适度改造升级为田间道。田间道路路幅宽度不超过</w:t>
      </w:r>
      <w:r>
        <w:rPr>
          <w:rFonts w:hint="eastAsia" w:ascii="Times New Roman" w:eastAsia="仿宋_GB2312"/>
          <w:u w:val="none"/>
          <w:lang w:val="en-US" w:eastAsia="zh-CN"/>
        </w:rPr>
        <w:t>3</w:t>
      </w:r>
      <w:r>
        <w:rPr>
          <w:rFonts w:hint="eastAsia"/>
          <w:u w:val="none"/>
        </w:rPr>
        <w:t>米。</w:t>
      </w:r>
    </w:p>
    <w:p w14:paraId="6B46AD06">
      <w:pPr>
        <w:keepNext w:val="0"/>
        <w:keepLines w:val="0"/>
        <w:pageBreakBefore w:val="0"/>
        <w:widowControl w:val="0"/>
        <w:kinsoku/>
        <w:overflowPunct/>
        <w:topLinePunct w:val="0"/>
        <w:autoSpaceDE/>
        <w:autoSpaceDN/>
        <w:bidi w:val="0"/>
        <w:spacing w:line="600" w:lineRule="exact"/>
        <w:textAlignment w:val="auto"/>
        <w:rPr>
          <w:rFonts w:hint="eastAsia"/>
          <w:u w:val="none"/>
        </w:rPr>
      </w:pPr>
      <w:r>
        <w:rPr>
          <w:rFonts w:hint="eastAsia"/>
          <w:u w:val="none"/>
        </w:rPr>
        <w:t>交通设施规划。面向城镇各功能片区，建立以配建为主、路外停车为辅、路内停车为补充的公共停车供应体系，优先在交通场站和人流、车流集中场所设置社会停车场，鼓励建筑工程按标准配建地面公共停车位，探索城镇集中绿地建设与社会停车场建设相结合，保障静态交通设施多元化供给。加强各村的公共交通建设，保障公共交通的畅通。保留镇域内现状加油站。远期结合电动汽车和新能源汽车发展，将公共停车场作为新能源汽车充电站。提升商业、办公等场所配建停车场以及社会公共停车场的充电桩配建比例。</w:t>
      </w:r>
    </w:p>
    <w:p w14:paraId="3E12980A">
      <w:pPr>
        <w:pStyle w:val="6"/>
        <w:bidi w:val="0"/>
        <w:rPr>
          <w:rFonts w:hint="eastAsia"/>
          <w:lang w:eastAsia="zh-CN"/>
        </w:rPr>
      </w:pPr>
      <w:r>
        <w:rPr>
          <w:rFonts w:hint="eastAsia"/>
          <w:lang w:eastAsia="zh-CN"/>
        </w:rPr>
        <w:drawing>
          <wp:inline distT="0" distB="0" distL="114300" distR="114300">
            <wp:extent cx="5441315" cy="3850005"/>
            <wp:effectExtent l="0" t="0" r="6985" b="17145"/>
            <wp:docPr id="15" name="图片 15" descr="210522106古城镇13综合交通规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210522106古城镇13综合交通规划图"/>
                    <pic:cNvPicPr>
                      <a:picLocks noChangeAspect="1"/>
                    </pic:cNvPicPr>
                  </pic:nvPicPr>
                  <pic:blipFill>
                    <a:blip r:embed="rId25"/>
                    <a:stretch>
                      <a:fillRect/>
                    </a:stretch>
                  </pic:blipFill>
                  <pic:spPr>
                    <a:xfrm>
                      <a:off x="0" y="0"/>
                      <a:ext cx="5441315" cy="3850005"/>
                    </a:xfrm>
                    <a:prstGeom prst="rect">
                      <a:avLst/>
                    </a:prstGeom>
                  </pic:spPr>
                </pic:pic>
              </a:graphicData>
            </a:graphic>
          </wp:inline>
        </w:drawing>
      </w:r>
    </w:p>
    <w:bookmarkEnd w:id="132"/>
    <w:p w14:paraId="1168B678">
      <w:pPr>
        <w:pStyle w:val="3"/>
        <w:bidi w:val="0"/>
        <w:ind w:left="0" w:leftChars="0" w:firstLine="420" w:firstLineChars="0"/>
        <w:rPr>
          <w:rFonts w:hint="eastAsia" w:ascii="黑体" w:hAnsi="黑体" w:eastAsia="黑体" w:cs="黑体"/>
          <w:u w:val="none"/>
          <w:lang w:val="en-US" w:eastAsia="zh-CN"/>
        </w:rPr>
      </w:pPr>
      <w:bookmarkStart w:id="133" w:name="_Toc152937224"/>
      <w:bookmarkStart w:id="134" w:name="_Toc16635"/>
      <w:bookmarkStart w:id="135" w:name="_Toc10518"/>
      <w:r>
        <w:rPr>
          <w:rFonts w:hint="eastAsia" w:ascii="黑体" w:hAnsi="黑体" w:eastAsia="黑体" w:cs="黑体"/>
          <w:u w:val="none"/>
          <w:lang w:val="en-US" w:eastAsia="zh-CN"/>
        </w:rPr>
        <w:t>市政配套设施</w:t>
      </w:r>
      <w:bookmarkEnd w:id="133"/>
      <w:bookmarkEnd w:id="134"/>
      <w:bookmarkEnd w:id="135"/>
    </w:p>
    <w:p w14:paraId="792CE20C">
      <w:pPr>
        <w:pStyle w:val="4"/>
        <w:bidi w:val="0"/>
        <w:ind w:left="0" w:leftChars="0" w:firstLine="420" w:firstLineChars="0"/>
        <w:rPr>
          <w:rFonts w:hint="eastAsia"/>
          <w:color w:val="auto"/>
          <w:u w:val="none"/>
          <w:lang w:val="en-US" w:eastAsia="zh-CN"/>
        </w:rPr>
      </w:pPr>
      <w:r>
        <w:rPr>
          <w:rFonts w:hint="eastAsia"/>
          <w:color w:val="auto"/>
          <w:u w:val="none"/>
          <w:lang w:val="en-US" w:eastAsia="zh-CN"/>
        </w:rPr>
        <w:t>给水设施规划</w:t>
      </w:r>
    </w:p>
    <w:p w14:paraId="49E8D900">
      <w:pPr>
        <w:keepNext w:val="0"/>
        <w:keepLines w:val="0"/>
        <w:pageBreakBefore w:val="0"/>
        <w:widowControl w:val="0"/>
        <w:kinsoku/>
        <w:overflowPunct/>
        <w:topLinePunct w:val="0"/>
        <w:autoSpaceDE/>
        <w:autoSpaceDN/>
        <w:bidi w:val="0"/>
        <w:spacing w:line="600" w:lineRule="exact"/>
        <w:textAlignment w:val="auto"/>
        <w:rPr>
          <w:color w:val="2E75B6" w:themeColor="accent5" w:themeShade="BF"/>
          <w:u w:val="none"/>
        </w:rPr>
      </w:pPr>
      <w:r>
        <w:rPr>
          <w:rFonts w:hint="eastAsia"/>
          <w:u w:val="none"/>
        </w:rPr>
        <w:t>古城镇域内供水按集中供水方案考虑各项设施的总体布局，完善古城镇域内自来水管网。镇区在现状</w:t>
      </w:r>
      <w:r>
        <w:rPr>
          <w:rFonts w:hint="eastAsia" w:ascii="Times New Roman" w:eastAsia="仿宋_GB2312"/>
          <w:u w:val="none"/>
          <w:lang w:val="en-US" w:eastAsia="zh-CN"/>
        </w:rPr>
        <w:t>给水设施</w:t>
      </w:r>
      <w:r>
        <w:rPr>
          <w:rFonts w:hint="eastAsia"/>
          <w:u w:val="none"/>
        </w:rPr>
        <w:t>的基础上进行扩建，沿主要道路铺设供水管线，供应镇中心区及周边村庄的生产生活用水。各村屯根据本地的供水水源情况，建设满足本地发展需求的自来水供应系统。供水水源以浅层地下水为主，水源引自深水井。加强水源保护与供水安全。</w:t>
      </w:r>
    </w:p>
    <w:p w14:paraId="04D9AB8C">
      <w:pPr>
        <w:pStyle w:val="4"/>
        <w:bidi w:val="0"/>
        <w:ind w:left="0" w:leftChars="0" w:firstLine="420" w:firstLineChars="0"/>
        <w:rPr>
          <w:rFonts w:hint="eastAsia"/>
          <w:color w:val="auto"/>
          <w:u w:val="none"/>
          <w:lang w:val="en-US" w:eastAsia="zh-CN"/>
        </w:rPr>
      </w:pPr>
      <w:bookmarkStart w:id="136" w:name="_Toc381737"/>
      <w:r>
        <w:rPr>
          <w:rFonts w:hint="eastAsia"/>
          <w:color w:val="auto"/>
          <w:u w:val="none"/>
          <w:lang w:val="en-US" w:eastAsia="zh-CN"/>
        </w:rPr>
        <w:t>排水</w:t>
      </w:r>
      <w:bookmarkEnd w:id="136"/>
      <w:r>
        <w:rPr>
          <w:rFonts w:hint="eastAsia"/>
          <w:color w:val="auto"/>
          <w:u w:val="none"/>
          <w:lang w:val="en-US" w:eastAsia="zh-CN"/>
        </w:rPr>
        <w:t>设施规划</w:t>
      </w:r>
    </w:p>
    <w:p w14:paraId="2D96C578">
      <w:pPr>
        <w:keepNext w:val="0"/>
        <w:keepLines w:val="0"/>
        <w:pageBreakBefore w:val="0"/>
        <w:widowControl w:val="0"/>
        <w:kinsoku/>
        <w:overflowPunct/>
        <w:topLinePunct w:val="0"/>
        <w:autoSpaceDE/>
        <w:autoSpaceDN/>
        <w:bidi w:val="0"/>
        <w:spacing w:line="600" w:lineRule="exact"/>
        <w:jc w:val="left"/>
        <w:textAlignment w:val="auto"/>
        <w:rPr>
          <w:color w:val="2E75B6" w:themeColor="accent5" w:themeShade="BF"/>
          <w:u w:val="none"/>
        </w:rPr>
      </w:pPr>
      <w:r>
        <w:rPr>
          <w:rFonts w:hint="eastAsia" w:ascii="仿宋_GB2312" w:hAnsi="仿宋_GB2312"/>
          <w:szCs w:val="24"/>
          <w:u w:val="none"/>
        </w:rPr>
        <w:t>规划排水体制采用雨污分流制。远期各村屯可结合实际情况建设污水处理设施。对于集中建设的村屯，污水可排至污水处理设施进行集中处理。对于居住较为分散、地形地貌复杂的村庄，宜就地就近、选择合适方式收集处理农户生活污水。一般情况下，集中式可采用如氧化沟、生物塘、人工湿地、生物滤池等设施，分散式可采用如三格式化粪池等设施。镇域内结合各自地形特点、排放水体等条件，完善雨水排放系统。镇中心区按分流制规划布置雨水管渠，提升排水防涝能力。</w:t>
      </w:r>
    </w:p>
    <w:p w14:paraId="0C225B7F">
      <w:pPr>
        <w:pStyle w:val="4"/>
        <w:bidi w:val="0"/>
        <w:ind w:left="0" w:leftChars="0" w:firstLine="420" w:firstLineChars="0"/>
        <w:rPr>
          <w:rFonts w:hint="eastAsia"/>
          <w:color w:val="auto"/>
          <w:u w:val="none"/>
          <w:lang w:val="en-US" w:eastAsia="zh-CN"/>
        </w:rPr>
      </w:pPr>
      <w:r>
        <w:rPr>
          <w:rFonts w:hint="eastAsia"/>
          <w:color w:val="auto"/>
          <w:u w:val="none"/>
          <w:lang w:val="en-US" w:eastAsia="zh-CN"/>
        </w:rPr>
        <w:t>供电设施规划</w:t>
      </w:r>
    </w:p>
    <w:p w14:paraId="1D1CD4E1">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完善古城镇域内电网系统。强化电源保障，以区域电网作为供电主电源，落实上位规划中确定的220KV和66KV变电站布局，保留现状变电站。优化电网结构，完善输配体系，缩短中压电网供电半径，远期根据实际情况，对满载过载的线路进行改造，线路架设应尽可能做到采用双回线或与高压配电线同杆架设，进行调度自动化二期工程的建设和配网改造工程</w:t>
      </w:r>
      <w:r>
        <w:rPr>
          <w:u w:val="none"/>
        </w:rPr>
        <w:t>。</w:t>
      </w:r>
    </w:p>
    <w:p w14:paraId="761F88FD">
      <w:pPr>
        <w:pStyle w:val="4"/>
        <w:bidi w:val="0"/>
        <w:ind w:left="0" w:leftChars="0" w:firstLine="420" w:firstLineChars="0"/>
        <w:rPr>
          <w:rFonts w:hint="eastAsia"/>
          <w:color w:val="auto"/>
          <w:u w:val="none"/>
          <w:lang w:val="en-US" w:eastAsia="zh-CN"/>
        </w:rPr>
      </w:pPr>
      <w:r>
        <w:rPr>
          <w:rFonts w:hint="eastAsia"/>
          <w:color w:val="auto"/>
          <w:u w:val="none"/>
          <w:lang w:val="en-US" w:eastAsia="zh-CN"/>
        </w:rPr>
        <w:t>通信设施规划</w:t>
      </w:r>
    </w:p>
    <w:p w14:paraId="32D7362A">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推动第五代移动通讯、工业互联网等数字基础设施建设，扩大5G基站网络建设规模，积极挖掘5G应用场景，实现全区域覆盖、重点场所深度覆盖。合理安排通信局所等设施建设，完善通信网络结构，统筹通信线路敷设，增强网络互联互通性，提升高速宽带无线通信网络覆盖度和通信综合服务能力。构建以乡镇级邮政支局所、中心村为主体的两级邮政网点体系，提升邮政综合服务能力。镇中心区规划电信支局及邮政支局，中心村设置邮政代办网点，开展综合服务业务，加快邮政储蓄业务的发展。</w:t>
      </w:r>
    </w:p>
    <w:p w14:paraId="0545C499">
      <w:pPr>
        <w:pStyle w:val="4"/>
        <w:bidi w:val="0"/>
        <w:ind w:left="0" w:leftChars="0" w:firstLine="420" w:firstLineChars="0"/>
        <w:rPr>
          <w:rFonts w:hint="eastAsia"/>
          <w:color w:val="auto"/>
          <w:u w:val="none"/>
          <w:lang w:val="en-US" w:eastAsia="zh-CN"/>
        </w:rPr>
      </w:pPr>
      <w:bookmarkStart w:id="137" w:name="_Toc381734"/>
      <w:bookmarkStart w:id="138" w:name="_Toc381733"/>
      <w:r>
        <w:rPr>
          <w:rFonts w:hint="eastAsia"/>
          <w:color w:val="auto"/>
          <w:u w:val="none"/>
          <w:lang w:val="en-US" w:eastAsia="zh-CN"/>
        </w:rPr>
        <w:t>燃气设施</w:t>
      </w:r>
      <w:bookmarkEnd w:id="137"/>
      <w:r>
        <w:rPr>
          <w:rFonts w:hint="eastAsia"/>
          <w:color w:val="auto"/>
          <w:u w:val="none"/>
          <w:lang w:val="en-US" w:eastAsia="zh-CN"/>
        </w:rPr>
        <w:t>规划</w:t>
      </w:r>
    </w:p>
    <w:p w14:paraId="6093E52A">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供气气源选择液化天然气，各村燃烧罐装液化气为主，以电能为辅助能源。可考虑与其他形式的清洁能源相结合，如太阳能、风能、沼气等，建设节约型社会，提高能源的使用效率。完善燃气输配系统，大力改造老旧管网，加快新设中压、低压管网建设。合理布设分输站、门站、调压站、储气站。</w:t>
      </w:r>
    </w:p>
    <w:p w14:paraId="24CB7651">
      <w:pPr>
        <w:pStyle w:val="4"/>
        <w:bidi w:val="0"/>
        <w:ind w:left="0" w:leftChars="0" w:firstLine="420" w:firstLineChars="0"/>
        <w:rPr>
          <w:rFonts w:hint="eastAsia"/>
          <w:color w:val="auto"/>
          <w:u w:val="none"/>
          <w:lang w:val="en-US" w:eastAsia="zh-CN"/>
        </w:rPr>
      </w:pPr>
      <w:r>
        <w:rPr>
          <w:rFonts w:hint="eastAsia"/>
          <w:color w:val="auto"/>
          <w:u w:val="none"/>
          <w:lang w:val="en-US" w:eastAsia="zh-CN"/>
        </w:rPr>
        <w:t>供热工程</w:t>
      </w:r>
      <w:bookmarkEnd w:id="138"/>
      <w:r>
        <w:rPr>
          <w:rFonts w:hint="eastAsia"/>
          <w:color w:val="auto"/>
          <w:u w:val="none"/>
          <w:lang w:val="en-US" w:eastAsia="zh-CN"/>
        </w:rPr>
        <w:t>规划</w:t>
      </w:r>
    </w:p>
    <w:p w14:paraId="2C86D725">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完善集中供热设施。根据热负荷分布情况，以集中供热为主，以分散供热为辅，合理划定供热分区。规划镇中心区采取区域集中供热方式，采用分区式混合管网，环状与枝状相结合。各村屯采用分散区域供暖形式</w:t>
      </w:r>
      <w:r>
        <w:rPr>
          <w:u w:val="none"/>
        </w:rPr>
        <w:t>。</w:t>
      </w:r>
      <w:r>
        <w:rPr>
          <w:rFonts w:hint="eastAsia"/>
          <w:u w:val="none"/>
        </w:rPr>
        <w:t>引导具备条件区域实行供热管网联网运行，促进供热管网与热负荷分布相均衡，提升供热安全性、稳定性和集中供热普及率。</w:t>
      </w:r>
    </w:p>
    <w:p w14:paraId="4BF8787D">
      <w:pPr>
        <w:pStyle w:val="4"/>
        <w:bidi w:val="0"/>
        <w:ind w:left="0" w:leftChars="0" w:firstLine="420" w:firstLineChars="0"/>
        <w:rPr>
          <w:rFonts w:hint="eastAsia"/>
          <w:color w:val="auto"/>
          <w:u w:val="none"/>
          <w:lang w:val="en-US" w:eastAsia="zh-CN"/>
        </w:rPr>
      </w:pPr>
      <w:bookmarkStart w:id="139" w:name="_Toc381738"/>
      <w:r>
        <w:rPr>
          <w:rFonts w:hint="eastAsia"/>
          <w:color w:val="auto"/>
          <w:u w:val="none"/>
          <w:lang w:val="en-US" w:eastAsia="zh-CN"/>
        </w:rPr>
        <w:t>环卫</w:t>
      </w:r>
      <w:bookmarkEnd w:id="139"/>
      <w:r>
        <w:rPr>
          <w:rFonts w:hint="eastAsia"/>
          <w:color w:val="auto"/>
          <w:u w:val="none"/>
          <w:lang w:val="en-US" w:eastAsia="zh-CN"/>
        </w:rPr>
        <w:t>工程规划</w:t>
      </w:r>
    </w:p>
    <w:p w14:paraId="16332948">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规划古城镇采用“户分类、村收集、镇运转、县处理”的模式，实现环境卫生城乡一体化布局。居民将产生的生活垃圾按照四类分类收集，各村设立分类垃圾贮存站，各村庄规划一处分类垃圾中转站，将各类垃圾集中运输到桓仁县垃圾处理场处置。</w:t>
      </w:r>
    </w:p>
    <w:p w14:paraId="43C368C7">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中心村均按照城镇标准配置相应环卫设施，一般村推动环卫清扫与环境保洁相结合，统一进行固体废弃物的排放与处理，严格执行废弃物管理和监督；各村的垃圾收集和清运应做到按时、保量；垃圾箱及公共厕所设置应符合合理的服务范围和半径。</w:t>
      </w:r>
    </w:p>
    <w:p w14:paraId="3A9767EB">
      <w:pPr>
        <w:keepNext w:val="0"/>
        <w:keepLines w:val="0"/>
        <w:pageBreakBefore w:val="0"/>
        <w:widowControl w:val="0"/>
        <w:kinsoku/>
        <w:overflowPunct/>
        <w:topLinePunct w:val="0"/>
        <w:autoSpaceDE/>
        <w:autoSpaceDN/>
        <w:bidi w:val="0"/>
        <w:spacing w:line="600" w:lineRule="exact"/>
        <w:textAlignment w:val="auto"/>
        <w:rPr>
          <w:rFonts w:hint="eastAsia"/>
          <w:szCs w:val="32"/>
          <w:u w:val="none"/>
          <w:lang w:bidi="ar"/>
        </w:rPr>
      </w:pPr>
      <w:bookmarkStart w:id="140" w:name="_bookmark141"/>
      <w:bookmarkEnd w:id="140"/>
      <w:bookmarkStart w:id="141" w:name="_bookmark142"/>
      <w:bookmarkEnd w:id="141"/>
      <w:bookmarkStart w:id="142" w:name="_bookmark144"/>
      <w:bookmarkEnd w:id="142"/>
      <w:bookmarkStart w:id="143" w:name="_Toc133419357"/>
      <w:bookmarkStart w:id="144" w:name="_Toc152937225"/>
      <w:r>
        <w:rPr>
          <w:rFonts w:hint="eastAsia"/>
          <w:szCs w:val="32"/>
          <w:u w:val="none"/>
          <w:lang w:bidi="ar"/>
        </w:rPr>
        <w:t>有毒有害垃圾实行定期或预约收运，根据危险废物类别交由有相应危废经营许可资质的单位进行无害化处置。危险废物焚烧处理设施应满足《危险废物焚烧污染控制标准》（</w:t>
      </w:r>
      <w:r>
        <w:rPr>
          <w:szCs w:val="32"/>
          <w:u w:val="none"/>
          <w:lang w:bidi="ar"/>
        </w:rPr>
        <w:t>GB18484-2020</w:t>
      </w:r>
      <w:r>
        <w:rPr>
          <w:rFonts w:hint="eastAsia"/>
          <w:szCs w:val="32"/>
          <w:u w:val="none"/>
          <w:lang w:bidi="ar"/>
        </w:rPr>
        <w:t>）及修改单要求，危险废物安全处置率</w:t>
      </w:r>
      <w:r>
        <w:rPr>
          <w:szCs w:val="32"/>
          <w:u w:val="none"/>
          <w:lang w:bidi="ar"/>
        </w:rPr>
        <w:t>100%</w:t>
      </w:r>
      <w:r>
        <w:rPr>
          <w:rFonts w:hint="eastAsia"/>
          <w:szCs w:val="32"/>
          <w:u w:val="none"/>
          <w:lang w:bidi="ar"/>
        </w:rPr>
        <w:t>。</w:t>
      </w:r>
    </w:p>
    <w:p w14:paraId="01EC3C8F">
      <w:pPr>
        <w:pStyle w:val="6"/>
        <w:bidi w:val="0"/>
        <w:rPr>
          <w:rFonts w:hint="eastAsia"/>
          <w:lang w:eastAsia="zh-CN"/>
        </w:rPr>
      </w:pPr>
      <w:r>
        <w:rPr>
          <w:rFonts w:hint="eastAsia"/>
          <w:lang w:eastAsia="zh-CN"/>
        </w:rPr>
        <w:drawing>
          <wp:inline distT="0" distB="0" distL="114300" distR="114300">
            <wp:extent cx="5441315" cy="3850005"/>
            <wp:effectExtent l="0" t="0" r="6985" b="17145"/>
            <wp:docPr id="16" name="图片 16" descr="210522106古城镇14基础设施规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210522106古城镇14基础设施规划图"/>
                    <pic:cNvPicPr>
                      <a:picLocks noChangeAspect="1"/>
                    </pic:cNvPicPr>
                  </pic:nvPicPr>
                  <pic:blipFill>
                    <a:blip r:embed="rId26"/>
                    <a:stretch>
                      <a:fillRect/>
                    </a:stretch>
                  </pic:blipFill>
                  <pic:spPr>
                    <a:xfrm>
                      <a:off x="0" y="0"/>
                      <a:ext cx="5441315" cy="3850005"/>
                    </a:xfrm>
                    <a:prstGeom prst="rect">
                      <a:avLst/>
                    </a:prstGeom>
                  </pic:spPr>
                </pic:pic>
              </a:graphicData>
            </a:graphic>
          </wp:inline>
        </w:drawing>
      </w:r>
    </w:p>
    <w:p w14:paraId="40046964">
      <w:pPr>
        <w:pStyle w:val="3"/>
        <w:bidi w:val="0"/>
        <w:ind w:left="0" w:leftChars="0" w:firstLine="420" w:firstLineChars="0"/>
        <w:rPr>
          <w:rFonts w:hint="eastAsia" w:ascii="黑体" w:hAnsi="黑体" w:eastAsia="黑体" w:cs="黑体"/>
          <w:u w:val="none"/>
          <w:lang w:val="en-US" w:eastAsia="zh-CN"/>
        </w:rPr>
      </w:pPr>
      <w:bookmarkStart w:id="145" w:name="_Toc22409"/>
      <w:bookmarkStart w:id="146" w:name="_Toc6266"/>
      <w:r>
        <w:rPr>
          <w:rFonts w:hint="eastAsia" w:ascii="黑体" w:hAnsi="黑体" w:eastAsia="黑体" w:cs="黑体"/>
          <w:u w:val="none"/>
          <w:lang w:val="en-US" w:eastAsia="zh-CN"/>
        </w:rPr>
        <w:t>防灾减灾与公共安全设施</w:t>
      </w:r>
      <w:bookmarkEnd w:id="143"/>
      <w:bookmarkEnd w:id="144"/>
      <w:bookmarkEnd w:id="145"/>
      <w:bookmarkEnd w:id="146"/>
    </w:p>
    <w:p w14:paraId="044BFF38">
      <w:pPr>
        <w:pStyle w:val="4"/>
        <w:bidi w:val="0"/>
        <w:ind w:left="0" w:leftChars="0" w:firstLine="420" w:firstLineChars="0"/>
        <w:rPr>
          <w:rFonts w:hint="eastAsia"/>
          <w:color w:val="auto"/>
          <w:u w:val="none"/>
          <w:lang w:val="en-US" w:eastAsia="zh-CN"/>
        </w:rPr>
      </w:pPr>
      <w:r>
        <w:rPr>
          <w:rFonts w:hint="eastAsia"/>
          <w:color w:val="auto"/>
          <w:u w:val="none"/>
          <w:lang w:val="en-US" w:eastAsia="zh-CN"/>
        </w:rPr>
        <w:t>防灾减灾目标</w:t>
      </w:r>
    </w:p>
    <w:p w14:paraId="728AAB4E">
      <w:pPr>
        <w:keepNext w:val="0"/>
        <w:keepLines w:val="0"/>
        <w:pageBreakBefore w:val="0"/>
        <w:widowControl w:val="0"/>
        <w:kinsoku/>
        <w:overflowPunct/>
        <w:topLinePunct w:val="0"/>
        <w:autoSpaceDE/>
        <w:autoSpaceDN/>
        <w:bidi w:val="0"/>
        <w:spacing w:line="600" w:lineRule="exact"/>
        <w:jc w:val="left"/>
        <w:textAlignment w:val="auto"/>
        <w:rPr>
          <w:u w:val="none"/>
          <w:lang w:bidi="ar"/>
        </w:rPr>
      </w:pPr>
      <w:r>
        <w:rPr>
          <w:rFonts w:hint="eastAsia" w:ascii="仿宋_GB2312" w:hAnsi="仿宋_GB2312"/>
          <w:szCs w:val="24"/>
          <w:u w:val="none"/>
        </w:rPr>
        <w:t>采取“以防为主，防治结合，全面规划，综合治理”的方针，采取多种措施和技术手段，加强乡镇防灾减灾基础设施建设，完善灾害应急机制，提高防洪、排涝、消防、人防、抗震等能力，尽可能避免和减少灾害的发生，提高安全防灾保障能力</w:t>
      </w:r>
      <w:r>
        <w:rPr>
          <w:rFonts w:hint="eastAsia"/>
          <w:u w:val="none"/>
          <w:lang w:bidi="ar"/>
        </w:rPr>
        <w:t>。</w:t>
      </w:r>
    </w:p>
    <w:p w14:paraId="4CDAD6BB">
      <w:pPr>
        <w:pStyle w:val="4"/>
        <w:bidi w:val="0"/>
        <w:ind w:left="0" w:leftChars="0" w:firstLine="420" w:firstLineChars="0"/>
        <w:rPr>
          <w:rFonts w:hint="eastAsia"/>
          <w:color w:val="auto"/>
          <w:u w:val="none"/>
          <w:lang w:val="en-US" w:eastAsia="zh-CN"/>
        </w:rPr>
      </w:pPr>
      <w:r>
        <w:rPr>
          <w:rFonts w:hint="eastAsia"/>
          <w:color w:val="auto"/>
          <w:u w:val="none"/>
          <w:lang w:val="en-US" w:eastAsia="zh-CN"/>
        </w:rPr>
        <w:t>抗震减灾规划</w:t>
      </w:r>
    </w:p>
    <w:p w14:paraId="026CA678">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提高防震抗震能力。依据地震重点监视防御区抗震防灾专项规划，适度提高重要设施、灾害高风险地段抗震设防等级。新建建筑物和构筑物均按地震烈度Ⅶ度设防。一般建设工程按照中国地震动参数区划图所确定的抗震设防要求进行抗震设防；对学校、医院等人员密集场所的建设工程，按照高于当地房屋建筑的抗震设防要求进行设计和施工，采取有效措施，增强抗震设防能力。重大建设工程和可能发生严重次生灾害的建设工程，按照有关规定进行地震安全性评价，并按照经审定的地震安全性评价报告所确定的抗震设防要求进行抗震设防，加强辖区内地震断裂带探查与危险性评估工作。</w:t>
      </w:r>
    </w:p>
    <w:p w14:paraId="1D3AF79A">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规划古城</w:t>
      </w:r>
      <w:r>
        <w:rPr>
          <w:u w:val="none"/>
        </w:rPr>
        <w:t>镇政府</w:t>
      </w:r>
      <w:r>
        <w:rPr>
          <w:rFonts w:hint="eastAsia"/>
          <w:u w:val="none"/>
        </w:rPr>
        <w:t>作为震灾时的临时抗震指挥中心，负责制定防震减灾应急方案，在受到灾情时，能及时协调统一指挥，组织人员疏散、物资转移和生产自救。规划急救中心位于古城镇卫生院。规划利用镇中心区公园绿地、广场、学校操场及外围田野等开阔空间作为避震场地。利用主、次干路作为疏散通道，疏散通道应保证两侧建筑物倒塌后还有</w:t>
      </w:r>
      <w:r>
        <w:rPr>
          <w:u w:val="none"/>
        </w:rPr>
        <w:t>7米以</w:t>
      </w:r>
      <w:r>
        <w:rPr>
          <w:rFonts w:hint="eastAsia"/>
          <w:u w:val="none"/>
        </w:rPr>
        <w:t>上的双向行车通道。重视次生灾害，加油站、高压输配电设施、高压输气管道等应严格按照有关规定进行建设和管理，以免地震时发生爆炸和火灾等次生灾害。</w:t>
      </w:r>
    </w:p>
    <w:p w14:paraId="7A3996A7">
      <w:pPr>
        <w:pStyle w:val="4"/>
        <w:bidi w:val="0"/>
        <w:ind w:left="0" w:leftChars="0" w:firstLine="420" w:firstLineChars="0"/>
        <w:rPr>
          <w:rFonts w:hint="eastAsia"/>
          <w:color w:val="auto"/>
          <w:u w:val="none"/>
          <w:lang w:val="en-US" w:eastAsia="zh-CN"/>
        </w:rPr>
      </w:pPr>
      <w:r>
        <w:rPr>
          <w:rFonts w:hint="eastAsia"/>
          <w:color w:val="auto"/>
          <w:u w:val="none"/>
          <w:lang w:val="en-US" w:eastAsia="zh-CN"/>
        </w:rPr>
        <w:t>防洪排涝规划</w:t>
      </w:r>
    </w:p>
    <w:p w14:paraId="0E556EFF">
      <w:pPr>
        <w:keepNext w:val="0"/>
        <w:keepLines w:val="0"/>
        <w:pageBreakBefore w:val="0"/>
        <w:widowControl w:val="0"/>
        <w:kinsoku/>
        <w:overflowPunct/>
        <w:topLinePunct w:val="0"/>
        <w:autoSpaceDE/>
        <w:autoSpaceDN/>
        <w:bidi w:val="0"/>
        <w:spacing w:line="600" w:lineRule="exact"/>
        <w:textAlignment w:val="auto"/>
        <w:rPr>
          <w:u w:val="none"/>
        </w:rPr>
      </w:pPr>
      <w:bookmarkStart w:id="147" w:name="_Hlk131263270"/>
      <w:r>
        <w:rPr>
          <w:rFonts w:hint="eastAsia"/>
          <w:u w:val="none"/>
        </w:rPr>
        <w:t>规划确定古城镇境内河流水系防洪标准为1</w:t>
      </w:r>
      <w:r>
        <w:rPr>
          <w:u w:val="none"/>
        </w:rPr>
        <w:t>0年一遇</w:t>
      </w:r>
      <w:r>
        <w:rPr>
          <w:rFonts w:hint="eastAsia"/>
          <w:u w:val="none"/>
        </w:rPr>
        <w:t>，镇中心区为20年一遇</w:t>
      </w:r>
      <w:r>
        <w:rPr>
          <w:u w:val="none"/>
        </w:rPr>
        <w:t>。</w:t>
      </w:r>
      <w:r>
        <w:rPr>
          <w:rFonts w:hint="eastAsia"/>
          <w:u w:val="none"/>
        </w:rPr>
        <w:t>洪水预防从流域的治理入手，按照“上蓄水、中圈堤、下利</w:t>
      </w:r>
      <w:r>
        <w:rPr>
          <w:rFonts w:hint="eastAsia"/>
          <w:u w:val="none"/>
          <w:lang w:val="en-US" w:eastAsia="zh-CN"/>
        </w:rPr>
        <w:t>泄</w:t>
      </w:r>
      <w:r>
        <w:rPr>
          <w:rFonts w:hint="eastAsia"/>
          <w:u w:val="none"/>
        </w:rPr>
        <w:t>”原则，主要河流上游地区“以蓄为主”，进一步做好植树造林等水土保持工作。加强洪水控制工程，规划对河流进行整治，修建堤坝，清理河道，保证城镇安全。推动沿河岸线以及靠近村庄和镇中心区的节点地段进行有效的绿化景观设计，起到景观与防洪的双重效果。提升河流附近道路标高，兼顾防洪堤坝。沿河一侧局部地段，采取筑堤与拆迁相结合的措施，解决防洪防涝问题。</w:t>
      </w:r>
    </w:p>
    <w:bookmarkEnd w:id="147"/>
    <w:p w14:paraId="7E8FD685">
      <w:pPr>
        <w:pStyle w:val="4"/>
        <w:bidi w:val="0"/>
        <w:ind w:left="0" w:leftChars="0" w:firstLine="420" w:firstLineChars="0"/>
        <w:rPr>
          <w:rFonts w:hint="eastAsia"/>
          <w:color w:val="auto"/>
          <w:u w:val="none"/>
          <w:lang w:val="en-US" w:eastAsia="zh-CN"/>
        </w:rPr>
      </w:pPr>
      <w:bookmarkStart w:id="148" w:name="_Hlk131263279"/>
      <w:r>
        <w:rPr>
          <w:rFonts w:hint="eastAsia"/>
          <w:color w:val="auto"/>
          <w:u w:val="none"/>
          <w:lang w:val="en-US" w:eastAsia="zh-CN"/>
        </w:rPr>
        <w:t>消防规划</w:t>
      </w:r>
    </w:p>
    <w:bookmarkEnd w:id="148"/>
    <w:p w14:paraId="6F259AC2">
      <w:pPr>
        <w:keepNext w:val="0"/>
        <w:keepLines w:val="0"/>
        <w:pageBreakBefore w:val="0"/>
        <w:widowControl w:val="0"/>
        <w:kinsoku/>
        <w:overflowPunct/>
        <w:topLinePunct w:val="0"/>
        <w:autoSpaceDE/>
        <w:autoSpaceDN/>
        <w:bidi w:val="0"/>
        <w:spacing w:line="600" w:lineRule="exact"/>
        <w:textAlignment w:val="auto"/>
        <w:rPr>
          <w:u w:val="none"/>
        </w:rPr>
      </w:pPr>
      <w:r>
        <w:rPr>
          <w:u w:val="none"/>
        </w:rPr>
        <w:t>贯彻</w:t>
      </w:r>
      <w:r>
        <w:rPr>
          <w:rFonts w:hint="eastAsia"/>
          <w:u w:val="none"/>
        </w:rPr>
        <w:t>“</w:t>
      </w:r>
      <w:r>
        <w:rPr>
          <w:u w:val="none"/>
        </w:rPr>
        <w:t>预防为主，防消结合</w:t>
      </w:r>
      <w:r>
        <w:rPr>
          <w:rFonts w:hint="eastAsia"/>
          <w:u w:val="none"/>
        </w:rPr>
        <w:t>”</w:t>
      </w:r>
      <w:r>
        <w:rPr>
          <w:u w:val="none"/>
        </w:rPr>
        <w:t>的消防工作方针，推进消防站建设和市政消防水源建设，合理划分消防责任区。</w:t>
      </w:r>
      <w:r>
        <w:rPr>
          <w:rFonts w:hint="eastAsia"/>
          <w:u w:val="none"/>
        </w:rPr>
        <w:t>构建以古城镇结合乡镇</w:t>
      </w:r>
      <w:r>
        <w:rPr>
          <w:rFonts w:hint="eastAsia" w:ascii="Times New Roman" w:eastAsia="仿宋_GB2312"/>
          <w:u w:val="none"/>
          <w:lang w:val="en-US" w:eastAsia="zh-CN"/>
        </w:rPr>
        <w:t>政府</w:t>
      </w:r>
      <w:r>
        <w:rPr>
          <w:rFonts w:hint="eastAsia"/>
          <w:u w:val="none"/>
        </w:rPr>
        <w:t>设置二级</w:t>
      </w:r>
      <w:r>
        <w:rPr>
          <w:rFonts w:hint="eastAsia" w:ascii="Times New Roman" w:eastAsia="仿宋_GB2312"/>
          <w:u w:val="none"/>
          <w:lang w:val="en-US" w:eastAsia="zh-CN"/>
        </w:rPr>
        <w:t>普通</w:t>
      </w:r>
      <w:r>
        <w:rPr>
          <w:rFonts w:hint="eastAsia"/>
          <w:u w:val="none"/>
        </w:rPr>
        <w:t>消防站为中心，村庄微型消防站为补充的消防救援体系。加强镇中心区消防站建设</w:t>
      </w:r>
      <w:r>
        <w:rPr>
          <w:u w:val="none"/>
        </w:rPr>
        <w:t>，</w:t>
      </w:r>
      <w:r>
        <w:rPr>
          <w:rFonts w:hint="eastAsia"/>
          <w:u w:val="none"/>
        </w:rPr>
        <w:t>保持</w:t>
      </w:r>
      <w:r>
        <w:rPr>
          <w:u w:val="none"/>
        </w:rPr>
        <w:t>相应的人员和车辆</w:t>
      </w:r>
      <w:r>
        <w:rPr>
          <w:rFonts w:hint="eastAsia"/>
          <w:u w:val="none"/>
        </w:rPr>
        <w:t>的</w:t>
      </w:r>
      <w:r>
        <w:rPr>
          <w:u w:val="none"/>
        </w:rPr>
        <w:t>配备，服务于整个镇</w:t>
      </w:r>
      <w:r>
        <w:rPr>
          <w:rFonts w:hint="eastAsia"/>
          <w:u w:val="none"/>
        </w:rPr>
        <w:t>中心</w:t>
      </w:r>
      <w:r>
        <w:rPr>
          <w:u w:val="none"/>
        </w:rPr>
        <w:t>区及周边地区，同时兼顾森林防火。</w:t>
      </w:r>
    </w:p>
    <w:p w14:paraId="6C0B5B89">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加强消防通道建设。居住区道路宽度不应小于4米道路转弯半径不应小于12米，净高不低于4.0米，消防通道间距应小于160米</w:t>
      </w:r>
    </w:p>
    <w:p w14:paraId="10AEFACB">
      <w:pPr>
        <w:keepNext w:val="0"/>
        <w:keepLines w:val="0"/>
        <w:pageBreakBefore w:val="0"/>
        <w:widowControl w:val="0"/>
        <w:kinsoku/>
        <w:overflowPunct/>
        <w:topLinePunct w:val="0"/>
        <w:autoSpaceDE/>
        <w:autoSpaceDN/>
        <w:bidi w:val="0"/>
        <w:spacing w:line="600" w:lineRule="exact"/>
        <w:textAlignment w:val="auto"/>
        <w:rPr>
          <w:u w:val="none"/>
        </w:rPr>
      </w:pPr>
      <w:r>
        <w:rPr>
          <w:u w:val="none"/>
        </w:rPr>
        <w:t>消防给水系统与城镇给水系统</w:t>
      </w:r>
      <w:r>
        <w:rPr>
          <w:rFonts w:hint="eastAsia"/>
          <w:u w:val="none"/>
        </w:rPr>
        <w:t>保持</w:t>
      </w:r>
      <w:r>
        <w:rPr>
          <w:u w:val="none"/>
        </w:rPr>
        <w:t>一致，沿路供水管线不超过120米设一处消火栓</w:t>
      </w:r>
      <w:r>
        <w:rPr>
          <w:rFonts w:hint="eastAsia"/>
          <w:u w:val="none"/>
        </w:rPr>
        <w:t>，在镇中心区道路按照消防供水设施标准增设消防水鹤</w:t>
      </w:r>
      <w:r>
        <w:rPr>
          <w:u w:val="none"/>
        </w:rPr>
        <w:t>。</w:t>
      </w:r>
      <w:r>
        <w:rPr>
          <w:rFonts w:hint="eastAsia"/>
          <w:u w:val="none"/>
        </w:rPr>
        <w:t>在工业区、大型公共建筑和供水低压区内设置消防水池，以保证消防用水所需流量。结合镇中心区给水规划，形成环支状管网，增大供水能力，保证消防供水的安全性。</w:t>
      </w:r>
      <w:r>
        <w:rPr>
          <w:u w:val="none"/>
        </w:rPr>
        <w:t>给水管网供水压力要保证市政消防栓流量不小于15升/秒，压力不低于0.1MPa。增设消防栓，新建和改造的道路的配水管上均应按不大</w:t>
      </w:r>
      <w:r>
        <w:rPr>
          <w:rFonts w:hint="eastAsia" w:ascii="Times New Roman" w:eastAsia="仿宋_GB2312"/>
          <w:u w:val="none"/>
          <w:lang w:val="en-US" w:eastAsia="zh-CN"/>
        </w:rPr>
        <w:t>于</w:t>
      </w:r>
      <w:r>
        <w:rPr>
          <w:u w:val="none"/>
        </w:rPr>
        <w:t>120米间距配套建</w:t>
      </w:r>
      <w:r>
        <w:rPr>
          <w:rFonts w:hint="eastAsia"/>
          <w:u w:val="none"/>
        </w:rPr>
        <w:t>设市政消防栓。镇中心区内河流作为补充水源。</w:t>
      </w:r>
    </w:p>
    <w:p w14:paraId="23D7EA08">
      <w:pPr>
        <w:keepNext w:val="0"/>
        <w:keepLines w:val="0"/>
        <w:pageBreakBefore w:val="0"/>
        <w:widowControl w:val="0"/>
        <w:kinsoku/>
        <w:overflowPunct/>
        <w:topLinePunct w:val="0"/>
        <w:autoSpaceDE/>
        <w:autoSpaceDN/>
        <w:bidi w:val="0"/>
        <w:spacing w:line="600" w:lineRule="exact"/>
        <w:textAlignment w:val="auto"/>
        <w:rPr>
          <w:u w:val="none"/>
        </w:rPr>
      </w:pPr>
      <w:r>
        <w:rPr>
          <w:u w:val="none"/>
        </w:rPr>
        <w:t>消防站应与全镇消防指挥中心建立可靠的有线通信、无线通信联系；消防无线通信系统应按专用通信网设置</w:t>
      </w:r>
      <w:r>
        <w:rPr>
          <w:rFonts w:hint="eastAsia" w:eastAsia="仿宋_GB2312"/>
          <w:u w:val="none"/>
          <w:lang w:eastAsia="zh-CN"/>
        </w:rPr>
        <w:t>，</w:t>
      </w:r>
      <w:r>
        <w:rPr>
          <w:u w:val="none"/>
        </w:rPr>
        <w:t>并能与</w:t>
      </w:r>
      <w:r>
        <w:rPr>
          <w:rFonts w:hint="eastAsia" w:eastAsia="仿宋_GB2312"/>
          <w:u w:val="none"/>
          <w:lang w:eastAsia="zh-CN"/>
        </w:rPr>
        <w:t>其他</w:t>
      </w:r>
      <w:r>
        <w:rPr>
          <w:u w:val="none"/>
        </w:rPr>
        <w:t>通信网连接，设置无线通讯基地台，保证线路、通信信号畅通。</w:t>
      </w:r>
      <w:bookmarkStart w:id="149" w:name="_Hlk131266021"/>
      <w:r>
        <w:rPr>
          <w:rFonts w:hint="eastAsia"/>
          <w:u w:val="none"/>
        </w:rPr>
        <w:t>电信支局应设两条火警专用线与桓仁县消防指挥中心连接，消防站至少有一条火警调度专线，重要的工厂、企事业单位设置报警专用线。</w:t>
      </w:r>
      <w:r>
        <w:rPr>
          <w:u w:val="none"/>
        </w:rPr>
        <w:t>建立无线调度网络，采用非民用频点。重点单位和重要建筑设置无线自动和手动报警终端，将其与消防指挥中心</w:t>
      </w:r>
      <w:r>
        <w:rPr>
          <w:rFonts w:hint="eastAsia"/>
          <w:u w:val="none"/>
        </w:rPr>
        <w:t>自动接收系统连接。</w:t>
      </w:r>
    </w:p>
    <w:p w14:paraId="2D39F5CC">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提高森林防火能力，完善林区火灾预警监测、通信指挥等信息系统，补足消防人员及装备，加强森林防火区（防火隔离带）、高森林火险区防火管控和消防基础设施配套，提高森林防火和消防能力。</w:t>
      </w:r>
    </w:p>
    <w:p w14:paraId="23975220">
      <w:pPr>
        <w:pStyle w:val="4"/>
        <w:bidi w:val="0"/>
        <w:ind w:left="0" w:leftChars="0" w:firstLine="420" w:firstLineChars="0"/>
        <w:rPr>
          <w:rFonts w:hint="eastAsia"/>
          <w:color w:val="auto"/>
          <w:u w:val="none"/>
          <w:lang w:val="en-US" w:eastAsia="zh-CN"/>
        </w:rPr>
      </w:pPr>
      <w:r>
        <w:rPr>
          <w:rFonts w:hint="eastAsia"/>
          <w:color w:val="auto"/>
          <w:u w:val="none"/>
          <w:lang w:val="en-US" w:eastAsia="zh-CN"/>
        </w:rPr>
        <w:t>地质灾害防治规划</w:t>
      </w:r>
    </w:p>
    <w:p w14:paraId="7F36663F">
      <w:pPr>
        <w:keepNext w:val="0"/>
        <w:keepLines w:val="0"/>
        <w:pageBreakBefore w:val="0"/>
        <w:widowControl w:val="0"/>
        <w:kinsoku/>
        <w:overflowPunct/>
        <w:topLinePunct w:val="0"/>
        <w:autoSpaceDE/>
        <w:autoSpaceDN/>
        <w:bidi w:val="0"/>
        <w:spacing w:line="600" w:lineRule="exact"/>
        <w:textAlignment w:val="auto"/>
        <w:rPr>
          <w:rFonts w:hint="eastAsia"/>
          <w:u w:val="none"/>
        </w:rPr>
      </w:pPr>
      <w:r>
        <w:rPr>
          <w:rFonts w:hint="eastAsia"/>
          <w:u w:val="none"/>
        </w:rPr>
        <w:t>在地质灾害区域的居民点（自然屯）规划考虑搬迁避让。规划以生物治理与工程治理相结合的方式，生物工程措施包括林业措施、农业措施和种草措施，改善山地生态环境，稳定松散碎屑物，增加生态水源涵养能力。土建工程措施以护岸护坡工程、拦挡工程和排导工程为主，对于山地环境差、松散堆积物多、生物工程治理效果较差时，修筑必要的工程，通过稳、拦、排等工程措施，对泥石流等地质灾害进行拦截和疏导。建立灾后自救体系，加强主要灾害防灾设施、救灾队伍及物资储备建设，加强交通生命线通道、供水、供电、通信的骨干线路抗灾能力建设。</w:t>
      </w:r>
    </w:p>
    <w:p w14:paraId="64FD69CF">
      <w:pPr>
        <w:pStyle w:val="4"/>
        <w:bidi w:val="0"/>
        <w:ind w:left="0" w:leftChars="0" w:firstLine="420" w:firstLineChars="0"/>
        <w:rPr>
          <w:rFonts w:hint="eastAsia"/>
          <w:color w:val="auto"/>
          <w:u w:val="none"/>
          <w:lang w:val="en-US" w:eastAsia="zh-CN"/>
        </w:rPr>
      </w:pPr>
      <w:r>
        <w:rPr>
          <w:rFonts w:hint="eastAsia"/>
          <w:color w:val="auto"/>
          <w:u w:val="none"/>
          <w:lang w:val="en-US" w:eastAsia="zh-CN"/>
        </w:rPr>
        <w:t>气象灾害防治规划</w:t>
      </w:r>
    </w:p>
    <w:p w14:paraId="68D10BD4">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加强古城镇政府气象防灾减灾救灾管理职能，构建以镇气象工作站为单位，以自然村、气象灾害防御重点单位、气象次生灾害易发区等责任区为网格的基层气象防灾减灾救灾组织体系。涉及安全的重大规划与重点工程项目建设前要开展气候可行性论证，科学规范评估气象灾害及气候变化对重大规划工程可能产生的影响。组织开展气象灾害应急演练，提高应急救援能力，加强防护林和紧急避难场所等建设，并定期组织开展建（构）筑物防风避险的监督检查。按照相关政策文件要求加强气象观测站等气象设施和气象探测环境的保护，保障关键气象设施用地供给与环境保护，实行分类保护、分级管理。</w:t>
      </w:r>
      <w:bookmarkEnd w:id="149"/>
    </w:p>
    <w:p w14:paraId="36BFB7DB">
      <w:pPr>
        <w:pStyle w:val="4"/>
        <w:bidi w:val="0"/>
        <w:ind w:left="0" w:leftChars="0" w:firstLine="420" w:firstLineChars="0"/>
        <w:rPr>
          <w:rFonts w:hint="eastAsia"/>
          <w:color w:val="auto"/>
          <w:u w:val="none"/>
          <w:lang w:val="en-US" w:eastAsia="zh-CN"/>
        </w:rPr>
      </w:pPr>
      <w:bookmarkStart w:id="150" w:name="_Hlk133412565"/>
      <w:r>
        <w:rPr>
          <w:rFonts w:hint="eastAsia"/>
          <w:color w:val="auto"/>
          <w:u w:val="none"/>
          <w:lang w:val="en-US" w:eastAsia="zh-CN"/>
        </w:rPr>
        <w:t>人防规划</w:t>
      </w:r>
    </w:p>
    <w:p w14:paraId="73FD1F5A">
      <w:pPr>
        <w:keepNext w:val="0"/>
        <w:keepLines w:val="0"/>
        <w:pageBreakBefore w:val="0"/>
        <w:widowControl w:val="0"/>
        <w:kinsoku/>
        <w:overflowPunct/>
        <w:topLinePunct w:val="0"/>
        <w:autoSpaceDE/>
        <w:autoSpaceDN/>
        <w:bidi w:val="0"/>
        <w:spacing w:line="600" w:lineRule="exact"/>
        <w:jc w:val="left"/>
        <w:textAlignment w:val="auto"/>
        <w:rPr>
          <w:u w:val="none"/>
        </w:rPr>
      </w:pPr>
      <w:r>
        <w:rPr>
          <w:rFonts w:hint="eastAsia" w:ascii="仿宋_GB2312" w:hAnsi="仿宋_GB2312"/>
          <w:szCs w:val="24"/>
          <w:u w:val="none"/>
        </w:rPr>
        <w:t>按“平战结合、平灾结合”的原则，逐步建立城镇防空系统，增强城镇防护能力。以重要的工矿企业、交通枢纽、通信枢纽、桥梁、水库等为重要防护目标，加强生命线工程建设。构建平灾结合人防工事。新建民用建筑应依法同步规划、设计、建设防空地下室，地下空间开发利用和市政基础设施建设兼顾人防防护要求。镇卫生院应配套建设战时用途为医疗救护工程的人防工程</w:t>
      </w:r>
      <w:r>
        <w:rPr>
          <w:rFonts w:hint="eastAsia"/>
          <w:u w:val="none"/>
        </w:rPr>
        <w:t>。</w:t>
      </w:r>
    </w:p>
    <w:p w14:paraId="50A8B4E2">
      <w:pPr>
        <w:pStyle w:val="4"/>
        <w:bidi w:val="0"/>
        <w:ind w:left="0" w:leftChars="0" w:firstLine="420" w:firstLineChars="0"/>
        <w:rPr>
          <w:rFonts w:hint="eastAsia"/>
          <w:color w:val="auto"/>
          <w:u w:val="none"/>
          <w:lang w:val="en-US" w:eastAsia="zh-CN"/>
        </w:rPr>
      </w:pPr>
      <w:r>
        <w:rPr>
          <w:rFonts w:hint="eastAsia"/>
          <w:color w:val="auto"/>
          <w:u w:val="none"/>
          <w:lang w:val="en-US" w:eastAsia="zh-CN"/>
        </w:rPr>
        <w:t>应急保障系统规划</w:t>
      </w:r>
    </w:p>
    <w:p w14:paraId="73301F3C">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lang w:bidi="ar"/>
        </w:rPr>
        <w:t>优先保证镇域应急通道大灾后的基本通行能力。生命线工程包括交通、通讯、供电、供水、供气、供热、消防等基础设施，均应按基本烈度提高1度进行设防，以保证在遭受设防烈度以内的地震时，仍能正常运转。做好防火灾、爆炸规划，对贮存易燃、易爆危险品的设施进行抗震方面检查，提高抗震能力，达到设防标准。</w:t>
      </w:r>
      <w:r>
        <w:rPr>
          <w:rFonts w:hint="eastAsia"/>
          <w:u w:val="none"/>
        </w:rPr>
        <w:t>规范应急避难场所类型划分，选择适宜级别和类型的应急避难场所规划建设，设置满足避难需求的必要功能区，实行分级分类配置设施设备和物资。</w:t>
      </w:r>
    </w:p>
    <w:p w14:paraId="182B3889">
      <w:pPr>
        <w:keepNext w:val="0"/>
        <w:keepLines w:val="0"/>
        <w:pageBreakBefore w:val="0"/>
        <w:widowControl w:val="0"/>
        <w:kinsoku/>
        <w:overflowPunct/>
        <w:topLinePunct w:val="0"/>
        <w:autoSpaceDE/>
        <w:autoSpaceDN/>
        <w:bidi w:val="0"/>
        <w:spacing w:line="600" w:lineRule="exact"/>
        <w:jc w:val="left"/>
        <w:textAlignment w:val="auto"/>
        <w:rPr>
          <w:rFonts w:hint="eastAsia" w:ascii="仿宋_GB2312" w:hAnsi="仿宋_GB2312"/>
          <w:szCs w:val="24"/>
          <w:u w:val="none"/>
        </w:rPr>
      </w:pPr>
      <w:r>
        <w:rPr>
          <w:rFonts w:hint="eastAsia" w:ascii="仿宋_GB2312" w:hAnsi="仿宋_GB2312"/>
          <w:szCs w:val="24"/>
          <w:u w:val="none"/>
        </w:rPr>
        <w:t>提高气象灾害的全天候、高时空分辨率、高精度监测，推进卫星遥感技术在气象灾害监测中的应用，强化基于气象灾害风险评估预警的防灾减灾服务，保障关键气象设施用地。推进气象观测精密化、预测精准化、服务精细化、信息集约化。提高气象灾害的全天候、高时空分辨率、高精度监测，推动重大气象衍生灾害多部门联合监测和综合预警，满足国家关于气象设施和气象探测环境保护的相关要求。进行台风、暴雨、干旱、高温、低温、大风、冰雹、雪灾、雷电等综合风险普查和精细化风险区划，建立数字化气象灾害风险地图。涉及安全的重大规划与重点工程项目建设前要开展气候可行性论证，科学规范评估气象灾害及气候变化对重大工程可能产生的影响。</w:t>
      </w:r>
    </w:p>
    <w:p w14:paraId="4D249D6F">
      <w:pPr>
        <w:keepNext w:val="0"/>
        <w:keepLines w:val="0"/>
        <w:pageBreakBefore w:val="0"/>
        <w:widowControl w:val="0"/>
        <w:kinsoku/>
        <w:overflowPunct/>
        <w:topLinePunct w:val="0"/>
        <w:autoSpaceDE/>
        <w:autoSpaceDN/>
        <w:bidi w:val="0"/>
        <w:spacing w:line="600" w:lineRule="exact"/>
        <w:jc w:val="left"/>
        <w:textAlignment w:val="auto"/>
        <w:rPr>
          <w:rFonts w:hint="eastAsia" w:ascii="仿宋_GB2312" w:hAnsi="仿宋_GB2312"/>
          <w:szCs w:val="24"/>
          <w:u w:val="none"/>
        </w:rPr>
      </w:pPr>
      <w:r>
        <w:rPr>
          <w:rFonts w:hint="eastAsia" w:ascii="仿宋_GB2312" w:hAnsi="仿宋_GB2312"/>
          <w:szCs w:val="24"/>
          <w:u w:val="none"/>
        </w:rPr>
        <w:t>密切关注大风、强降雨过程和台风发展态势，严格落实预警响应联动机制和临灾预警“叫应”机制，提前做好风险隐患排查和人员避险转移。配合加快救灾资金预拨进度，及时开展灾情核定，推进灾毁房屋恢复重建，确保受灾群众入冬前回家或搬入新居、安全温暖过冬。</w:t>
      </w:r>
    </w:p>
    <w:p w14:paraId="10B897F9">
      <w:pPr>
        <w:pStyle w:val="4"/>
        <w:bidi w:val="0"/>
        <w:ind w:left="0" w:leftChars="0" w:firstLine="420" w:firstLineChars="0"/>
        <w:rPr>
          <w:rFonts w:hint="eastAsia"/>
          <w:color w:val="auto"/>
          <w:u w:val="none"/>
          <w:lang w:val="en-US" w:eastAsia="zh-CN"/>
        </w:rPr>
      </w:pPr>
      <w:r>
        <w:rPr>
          <w:rFonts w:hint="eastAsia"/>
          <w:color w:val="auto"/>
          <w:u w:val="none"/>
          <w:lang w:val="en-US" w:eastAsia="zh-CN"/>
        </w:rPr>
        <w:t>疫情防控防治规划</w:t>
      </w:r>
    </w:p>
    <w:bookmarkEnd w:id="150"/>
    <w:p w14:paraId="14AAED79">
      <w:pPr>
        <w:keepNext w:val="0"/>
        <w:keepLines w:val="0"/>
        <w:pageBreakBefore w:val="0"/>
        <w:widowControl w:val="0"/>
        <w:kinsoku/>
        <w:overflowPunct/>
        <w:topLinePunct w:val="0"/>
        <w:autoSpaceDE/>
        <w:autoSpaceDN/>
        <w:bidi w:val="0"/>
        <w:spacing w:line="600" w:lineRule="exact"/>
        <w:textAlignment w:val="auto"/>
        <w:rPr>
          <w:u w:val="none"/>
        </w:rPr>
      </w:pPr>
      <w:bookmarkStart w:id="151" w:name="_Hlk133412580"/>
      <w:r>
        <w:rPr>
          <w:rFonts w:hint="eastAsia"/>
          <w:u w:val="none"/>
        </w:rPr>
        <w:t>针对重大疫情等突发公共卫生事件，建立以“镇</w:t>
      </w:r>
      <w:r>
        <w:rPr>
          <w:rFonts w:hint="eastAsia" w:eastAsia="仿宋_GB2312"/>
          <w:u w:val="none"/>
          <w:lang w:eastAsia="zh-CN"/>
        </w:rPr>
        <w:t>－</w:t>
      </w:r>
      <w:r>
        <w:rPr>
          <w:u w:val="none"/>
        </w:rPr>
        <w:t>村</w:t>
      </w:r>
      <w:r>
        <w:rPr>
          <w:rFonts w:hint="eastAsia"/>
          <w:u w:val="none"/>
        </w:rPr>
        <w:t>”</w:t>
      </w:r>
      <w:r>
        <w:rPr>
          <w:u w:val="none"/>
        </w:rPr>
        <w:t>防控分区联防联控机制，落实分级响应、分区管控措施和要求</w:t>
      </w:r>
      <w:r>
        <w:rPr>
          <w:rFonts w:hint="eastAsia"/>
          <w:u w:val="none"/>
        </w:rPr>
        <w:t>，形成镇村两级医疗应急防疫体系。利用镇域内的文体中心、学校等公共服务设施作为应急关键设施。各村基层防控以自然屯为单元划定防疫片区，建设以村卫生室为核心的卫生服务功能。</w:t>
      </w:r>
    </w:p>
    <w:bookmarkEnd w:id="151"/>
    <w:p w14:paraId="7C64EF67">
      <w:pPr>
        <w:pStyle w:val="4"/>
        <w:bidi w:val="0"/>
        <w:ind w:left="0" w:leftChars="0" w:firstLine="420" w:firstLineChars="0"/>
        <w:rPr>
          <w:rFonts w:hint="eastAsia"/>
          <w:color w:val="auto"/>
          <w:u w:val="none"/>
          <w:lang w:val="en-US" w:eastAsia="zh-CN"/>
        </w:rPr>
      </w:pPr>
      <w:bookmarkStart w:id="152" w:name="_Hlk131266047"/>
      <w:r>
        <w:rPr>
          <w:rFonts w:hint="eastAsia"/>
          <w:color w:val="auto"/>
          <w:u w:val="none"/>
          <w:lang w:val="en-US" w:eastAsia="zh-CN"/>
        </w:rPr>
        <w:t>重大危险源管控</w:t>
      </w:r>
    </w:p>
    <w:bookmarkEnd w:id="152"/>
    <w:p w14:paraId="47414851">
      <w:pPr>
        <w:keepNext w:val="0"/>
        <w:keepLines w:val="0"/>
        <w:pageBreakBefore w:val="0"/>
        <w:widowControl w:val="0"/>
        <w:kinsoku/>
        <w:overflowPunct/>
        <w:topLinePunct w:val="0"/>
        <w:autoSpaceDE/>
        <w:autoSpaceDN/>
        <w:bidi w:val="0"/>
        <w:spacing w:line="600" w:lineRule="exact"/>
        <w:textAlignment w:val="auto"/>
        <w:rPr>
          <w:rFonts w:hint="eastAsia"/>
          <w:u w:val="none"/>
          <w:lang w:bidi="ar"/>
        </w:rPr>
      </w:pPr>
      <w:bookmarkStart w:id="153" w:name="_Hlk131266057"/>
      <w:bookmarkStart w:id="154" w:name="_Hlk131412776"/>
      <w:r>
        <w:rPr>
          <w:rFonts w:hint="eastAsia"/>
          <w:u w:val="none"/>
          <w:lang w:bidi="ar"/>
        </w:rPr>
        <w:t>加强加油站、天然气储气站等重大危险源的安全管理，合理设置重大危险源的安全距离，降低危险源的事故风险。</w:t>
      </w:r>
    </w:p>
    <w:p w14:paraId="4789EA66">
      <w:pPr>
        <w:pStyle w:val="6"/>
        <w:bidi w:val="0"/>
        <w:rPr>
          <w:rFonts w:hint="eastAsia"/>
          <w:lang w:eastAsia="zh-CN"/>
        </w:rPr>
      </w:pPr>
      <w:r>
        <w:rPr>
          <w:rFonts w:hint="eastAsia"/>
          <w:lang w:eastAsia="zh-CN"/>
        </w:rPr>
        <w:drawing>
          <wp:inline distT="0" distB="0" distL="114300" distR="114300">
            <wp:extent cx="5441315" cy="3850005"/>
            <wp:effectExtent l="0" t="0" r="6985" b="17145"/>
            <wp:docPr id="17" name="图片 17" descr="210522106古城镇15综合防灾减灾规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210522106古城镇15综合防灾减灾规划图"/>
                    <pic:cNvPicPr>
                      <a:picLocks noChangeAspect="1"/>
                    </pic:cNvPicPr>
                  </pic:nvPicPr>
                  <pic:blipFill>
                    <a:blip r:embed="rId27"/>
                    <a:stretch>
                      <a:fillRect/>
                    </a:stretch>
                  </pic:blipFill>
                  <pic:spPr>
                    <a:xfrm>
                      <a:off x="0" y="0"/>
                      <a:ext cx="5441315" cy="3850005"/>
                    </a:xfrm>
                    <a:prstGeom prst="rect">
                      <a:avLst/>
                    </a:prstGeom>
                  </pic:spPr>
                </pic:pic>
              </a:graphicData>
            </a:graphic>
          </wp:inline>
        </w:drawing>
      </w:r>
    </w:p>
    <w:p w14:paraId="6687AAA0">
      <w:pPr>
        <w:rPr>
          <w:rFonts w:hint="eastAsia"/>
          <w:lang w:eastAsia="zh-CN"/>
        </w:rPr>
      </w:pPr>
    </w:p>
    <w:p w14:paraId="7B4D1C7B">
      <w:pPr>
        <w:pStyle w:val="6"/>
        <w:bidi w:val="0"/>
        <w:rPr>
          <w:rFonts w:hint="eastAsia"/>
          <w:lang w:eastAsia="zh-CN"/>
        </w:rPr>
      </w:pPr>
      <w:r>
        <w:rPr>
          <w:rFonts w:hint="eastAsia"/>
          <w:lang w:eastAsia="zh-CN"/>
        </w:rPr>
        <w:drawing>
          <wp:inline distT="0" distB="0" distL="114300" distR="114300">
            <wp:extent cx="5441315" cy="3850005"/>
            <wp:effectExtent l="0" t="0" r="6985" b="17145"/>
            <wp:docPr id="28" name="图片 28" descr="210522106古城镇39城镇开发边界范围综合防灾减灾规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210522106古城镇39城镇开发边界范围综合防灾减灾规划图"/>
                    <pic:cNvPicPr>
                      <a:picLocks noChangeAspect="1"/>
                    </pic:cNvPicPr>
                  </pic:nvPicPr>
                  <pic:blipFill>
                    <a:blip r:embed="rId28"/>
                    <a:stretch>
                      <a:fillRect/>
                    </a:stretch>
                  </pic:blipFill>
                  <pic:spPr>
                    <a:xfrm>
                      <a:off x="0" y="0"/>
                      <a:ext cx="5441315" cy="3850005"/>
                    </a:xfrm>
                    <a:prstGeom prst="rect">
                      <a:avLst/>
                    </a:prstGeom>
                  </pic:spPr>
                </pic:pic>
              </a:graphicData>
            </a:graphic>
          </wp:inline>
        </w:drawing>
      </w:r>
    </w:p>
    <w:bookmarkEnd w:id="153"/>
    <w:bookmarkEnd w:id="154"/>
    <w:p w14:paraId="2E8015AE">
      <w:pPr>
        <w:pStyle w:val="2"/>
        <w:spacing w:before="360" w:after="360"/>
        <w:rPr>
          <w:rFonts w:hint="eastAsia" w:ascii="方正小标宋简体" w:hAnsi="方正小标宋简体" w:eastAsia="方正小标宋简体" w:cs="方正小标宋简体"/>
          <w:color w:val="auto"/>
          <w:u w:val="none"/>
          <w:lang w:val="en-US" w:eastAsia="zh-CN"/>
        </w:rPr>
      </w:pPr>
      <w:bookmarkStart w:id="155" w:name="_Toc5211"/>
      <w:bookmarkStart w:id="156" w:name="_Toc32510"/>
      <w:r>
        <w:rPr>
          <w:rFonts w:hint="eastAsia" w:ascii="方正小标宋简体" w:hAnsi="方正小标宋简体" w:eastAsia="方正小标宋简体" w:cs="方正小标宋简体"/>
          <w:color w:val="auto"/>
          <w:u w:val="none"/>
          <w:lang w:val="en-US" w:eastAsia="zh-CN"/>
        </w:rPr>
        <w:t>生态修复</w:t>
      </w:r>
      <w:bookmarkEnd w:id="120"/>
      <w:r>
        <w:rPr>
          <w:rFonts w:hint="eastAsia" w:ascii="方正小标宋简体" w:hAnsi="方正小标宋简体" w:eastAsia="方正小标宋简体" w:cs="方正小标宋简体"/>
          <w:color w:val="auto"/>
          <w:u w:val="none"/>
          <w:lang w:val="en-US" w:eastAsia="zh-CN"/>
        </w:rPr>
        <w:t>和国土综合整治</w:t>
      </w:r>
      <w:bookmarkEnd w:id="155"/>
      <w:bookmarkEnd w:id="156"/>
    </w:p>
    <w:p w14:paraId="02CC8E47">
      <w:pPr>
        <w:pStyle w:val="3"/>
        <w:bidi w:val="0"/>
        <w:ind w:left="0" w:leftChars="0" w:firstLine="420" w:firstLineChars="0"/>
        <w:rPr>
          <w:rFonts w:hint="eastAsia" w:ascii="黑体" w:hAnsi="黑体" w:eastAsia="黑体" w:cs="黑体"/>
          <w:u w:val="none"/>
          <w:lang w:val="en-US" w:eastAsia="zh-CN"/>
        </w:rPr>
      </w:pPr>
      <w:bookmarkStart w:id="157" w:name="_Toc152937219"/>
      <w:bookmarkStart w:id="158" w:name="_Toc22897"/>
      <w:bookmarkStart w:id="159" w:name="_Toc1277"/>
      <w:r>
        <w:rPr>
          <w:rFonts w:hint="eastAsia" w:ascii="黑体" w:hAnsi="黑体" w:eastAsia="黑体" w:cs="黑体"/>
          <w:u w:val="none"/>
          <w:lang w:val="en-US" w:eastAsia="zh-CN"/>
        </w:rPr>
        <w:t>生态修复</w:t>
      </w:r>
      <w:bookmarkEnd w:id="157"/>
      <w:bookmarkEnd w:id="158"/>
      <w:bookmarkEnd w:id="159"/>
    </w:p>
    <w:p w14:paraId="7C7AFA01">
      <w:pPr>
        <w:pStyle w:val="4"/>
        <w:bidi w:val="0"/>
        <w:ind w:left="0" w:leftChars="0" w:firstLine="420" w:firstLineChars="0"/>
        <w:rPr>
          <w:rFonts w:hint="eastAsia"/>
          <w:color w:val="auto"/>
          <w:u w:val="none"/>
          <w:lang w:val="en-US" w:eastAsia="zh-CN"/>
        </w:rPr>
      </w:pPr>
      <w:r>
        <w:rPr>
          <w:rFonts w:hint="eastAsia"/>
          <w:color w:val="auto"/>
          <w:u w:val="none"/>
          <w:lang w:val="en-US" w:eastAsia="zh-CN"/>
        </w:rPr>
        <w:t>生态修复目标任务</w:t>
      </w:r>
    </w:p>
    <w:p w14:paraId="14D5EBC2">
      <w:pPr>
        <w:keepNext w:val="0"/>
        <w:keepLines w:val="0"/>
        <w:pageBreakBefore w:val="0"/>
        <w:widowControl w:val="0"/>
        <w:kinsoku/>
        <w:overflowPunct/>
        <w:topLinePunct w:val="0"/>
        <w:autoSpaceDE/>
        <w:autoSpaceDN/>
        <w:bidi w:val="0"/>
        <w:spacing w:line="600" w:lineRule="exact"/>
        <w:textAlignment w:val="auto"/>
        <w:rPr>
          <w:rFonts w:hint="eastAsia" w:ascii="Times New Roman" w:hAnsi="Times New Roman" w:cs="Times New Roman"/>
          <w:u w:val="none"/>
          <w:lang w:bidi="ar"/>
        </w:rPr>
      </w:pPr>
      <w:r>
        <w:rPr>
          <w:rFonts w:hint="eastAsia" w:ascii="Times New Roman" w:hAnsi="Times New Roman" w:cs="Times New Roman"/>
          <w:u w:val="none"/>
          <w:lang w:bidi="ar"/>
        </w:rPr>
        <w:t>全面贯彻落实习近平生态文明思想，坚持人与自然和谐共生基本方略，促进自然生态保护修复，提高资源环境承载能力，最终从整体上构建安全和谐、开放、协调、富有竞争力和可持续发展。</w:t>
      </w:r>
    </w:p>
    <w:p w14:paraId="6DC2318A">
      <w:pPr>
        <w:pStyle w:val="4"/>
        <w:bidi w:val="0"/>
        <w:ind w:left="0" w:leftChars="0" w:firstLine="420" w:firstLineChars="0"/>
        <w:rPr>
          <w:rFonts w:hint="eastAsia"/>
          <w:color w:val="auto"/>
          <w:u w:val="none"/>
          <w:lang w:val="en-US" w:eastAsia="zh-CN"/>
        </w:rPr>
      </w:pPr>
      <w:r>
        <w:rPr>
          <w:rFonts w:hint="eastAsia"/>
          <w:color w:val="auto"/>
          <w:u w:val="none"/>
          <w:lang w:val="en-US" w:eastAsia="zh-CN"/>
        </w:rPr>
        <w:t>山水林田湖草一体化生态修复</w:t>
      </w:r>
    </w:p>
    <w:p w14:paraId="4DF36096">
      <w:pPr>
        <w:keepNext w:val="0"/>
        <w:keepLines w:val="0"/>
        <w:pageBreakBefore w:val="0"/>
        <w:widowControl w:val="0"/>
        <w:kinsoku/>
        <w:overflowPunct/>
        <w:topLinePunct w:val="0"/>
        <w:autoSpaceDE/>
        <w:autoSpaceDN/>
        <w:bidi w:val="0"/>
        <w:spacing w:line="600" w:lineRule="exact"/>
        <w:textAlignment w:val="auto"/>
        <w:rPr>
          <w:u w:val="none"/>
          <w:lang w:bidi="ar"/>
        </w:rPr>
      </w:pPr>
      <w:r>
        <w:rPr>
          <w:rFonts w:hint="eastAsia"/>
          <w:u w:val="none"/>
          <w:lang w:bidi="ar"/>
        </w:rPr>
        <w:t>为解决山水林田湖草沙各自然要素存在的问题，使生态环境质量得到有效改善，生态功能支撑和生态涵养明显增强，生态系统服务与保障功能、生态廊道系统功能得到提升，划定山水林田湖草沙一体化生态修复重点区域，并设置重点工程。</w:t>
      </w:r>
    </w:p>
    <w:p w14:paraId="0CCD323D">
      <w:pPr>
        <w:keepNext w:val="0"/>
        <w:keepLines w:val="0"/>
        <w:pageBreakBefore w:val="0"/>
        <w:widowControl w:val="0"/>
        <w:kinsoku/>
        <w:overflowPunct/>
        <w:topLinePunct w:val="0"/>
        <w:autoSpaceDE/>
        <w:autoSpaceDN/>
        <w:bidi w:val="0"/>
        <w:spacing w:line="600" w:lineRule="exact"/>
        <w:textAlignment w:val="auto"/>
        <w:rPr>
          <w:u w:val="none"/>
          <w:lang w:bidi="ar"/>
        </w:rPr>
      </w:pPr>
      <w:r>
        <w:rPr>
          <w:rFonts w:hint="eastAsia"/>
          <w:u w:val="none"/>
          <w:lang w:bidi="ar"/>
        </w:rPr>
        <w:t>森林生态修复工程。对于生态系统服务功能极重要的区域采取以保护保育、自然恢复为主的生态修复工程，并因地制宜实施补植及退化林修复等工程，以保护森林物种多样性和森林生态系统的生态稳定性为重点，大力推进天然林及生态公益林的保育工程、森林可持续经营工程，推进实施封山育林，全面提高森林的涵养水源能力。</w:t>
      </w:r>
    </w:p>
    <w:p w14:paraId="370CF62C">
      <w:pPr>
        <w:keepNext w:val="0"/>
        <w:keepLines w:val="0"/>
        <w:pageBreakBefore w:val="0"/>
        <w:widowControl w:val="0"/>
        <w:kinsoku/>
        <w:overflowPunct/>
        <w:topLinePunct w:val="0"/>
        <w:autoSpaceDE/>
        <w:autoSpaceDN/>
        <w:bidi w:val="0"/>
        <w:spacing w:line="600" w:lineRule="exact"/>
        <w:textAlignment w:val="auto"/>
        <w:rPr>
          <w:u w:val="none"/>
          <w:lang w:bidi="ar"/>
        </w:rPr>
      </w:pPr>
      <w:r>
        <w:rPr>
          <w:rFonts w:hint="eastAsia"/>
          <w:u w:val="none"/>
          <w:lang w:bidi="ar"/>
        </w:rPr>
        <w:t>水土流失生态修复工程。根据水土流失情况和特点，贯彻绿色发展理念，将工程措施、生物措施和农业措施相结合，实施水土保持重点工程，加强重点区域及山洪地质灾害易发区的水土流失防治。</w:t>
      </w:r>
    </w:p>
    <w:p w14:paraId="074CCFAD">
      <w:pPr>
        <w:keepNext w:val="0"/>
        <w:keepLines w:val="0"/>
        <w:pageBreakBefore w:val="0"/>
        <w:widowControl w:val="0"/>
        <w:kinsoku/>
        <w:overflowPunct/>
        <w:topLinePunct w:val="0"/>
        <w:autoSpaceDE/>
        <w:autoSpaceDN/>
        <w:bidi w:val="0"/>
        <w:spacing w:line="600" w:lineRule="exact"/>
        <w:textAlignment w:val="auto"/>
        <w:rPr>
          <w:u w:val="none"/>
          <w:lang w:bidi="ar"/>
        </w:rPr>
      </w:pPr>
      <w:r>
        <w:rPr>
          <w:rFonts w:hint="eastAsia"/>
          <w:u w:val="none"/>
          <w:lang w:bidi="ar"/>
        </w:rPr>
        <w:t>水环境和水生态修复工程。严格控制污染源，实施河道治理工程、水源地保护工程。做好防洪堤修建工作，建立河长制，负责组织领导相应河流的管理和保护工作。实施农田防护林建设，河道及堤防岸坡治理、人工湿地建设等治理措施，推进水系连通及农村水系综合整治，保障河道水质达标，促进生态修复，保障农村灌溉安全。</w:t>
      </w:r>
    </w:p>
    <w:p w14:paraId="28C7E396">
      <w:pPr>
        <w:keepNext w:val="0"/>
        <w:keepLines w:val="0"/>
        <w:pageBreakBefore w:val="0"/>
        <w:widowControl w:val="0"/>
        <w:kinsoku/>
        <w:overflowPunct/>
        <w:topLinePunct w:val="0"/>
        <w:autoSpaceDE/>
        <w:autoSpaceDN/>
        <w:bidi w:val="0"/>
        <w:spacing w:line="600" w:lineRule="exact"/>
        <w:textAlignment w:val="auto"/>
        <w:rPr>
          <w:u w:val="none"/>
          <w:lang w:bidi="ar"/>
        </w:rPr>
      </w:pPr>
      <w:r>
        <w:rPr>
          <w:rFonts w:hint="eastAsia"/>
          <w:u w:val="none"/>
          <w:lang w:bidi="ar"/>
        </w:rPr>
        <w:t>湿地生态修复工程。通过实施湿地恢复与综合治理工程，改善湿地生态质量，提高湿地生态系统完整性和稳定性。推进小微湿地建设，开展湿地公园建设，打造生态景观水系，改善河流水质。</w:t>
      </w:r>
    </w:p>
    <w:p w14:paraId="1772ACC3">
      <w:pPr>
        <w:pStyle w:val="4"/>
        <w:bidi w:val="0"/>
        <w:ind w:left="0" w:leftChars="0" w:firstLine="420" w:firstLineChars="0"/>
        <w:rPr>
          <w:rFonts w:hint="eastAsia"/>
          <w:color w:val="auto"/>
          <w:u w:val="none"/>
          <w:lang w:val="en-US" w:eastAsia="zh-CN"/>
        </w:rPr>
      </w:pPr>
      <w:r>
        <w:rPr>
          <w:rFonts w:hint="eastAsia"/>
          <w:color w:val="auto"/>
          <w:u w:val="none"/>
          <w:lang w:val="en-US" w:eastAsia="zh-CN"/>
        </w:rPr>
        <w:t>土壤污染生态修复</w:t>
      </w:r>
    </w:p>
    <w:p w14:paraId="255A8251">
      <w:pPr>
        <w:keepNext w:val="0"/>
        <w:keepLines w:val="0"/>
        <w:pageBreakBefore w:val="0"/>
        <w:widowControl w:val="0"/>
        <w:kinsoku/>
        <w:overflowPunct/>
        <w:topLinePunct w:val="0"/>
        <w:autoSpaceDE/>
        <w:autoSpaceDN/>
        <w:bidi w:val="0"/>
        <w:spacing w:line="600" w:lineRule="exact"/>
        <w:textAlignment w:val="auto"/>
        <w:rPr>
          <w:u w:val="none"/>
        </w:rPr>
      </w:pPr>
      <w:r>
        <w:rPr>
          <w:u w:val="none"/>
        </w:rPr>
        <w:t>加强土地污染防治，积极推进污染土地阻控修复，严格落实重金属总量控制制度，新、改、扩建涉重金属重点行业建设项目，污染物排放实施等量或倍量替代，加强重点企业土壤环境监管，土壤污染重点监管单位要严格控制有毒有害物质排放，落实土壤污染隐患排查和自行监测制度，及时采取技术管理措施消除隐患。土壤污染地区建设农田生态沟渠、污水净化池等设施，净化地表径流及农田灌排水，开展典型流域农业面源污染综合治理。加强重金属污染土地治理，优化种植结构。</w:t>
      </w:r>
    </w:p>
    <w:p w14:paraId="3FC1678D">
      <w:pPr>
        <w:keepNext w:val="0"/>
        <w:keepLines w:val="0"/>
        <w:pageBreakBefore w:val="0"/>
        <w:widowControl w:val="0"/>
        <w:kinsoku/>
        <w:overflowPunct/>
        <w:topLinePunct w:val="0"/>
        <w:autoSpaceDE/>
        <w:autoSpaceDN/>
        <w:bidi w:val="0"/>
        <w:spacing w:line="600" w:lineRule="exact"/>
        <w:textAlignment w:val="auto"/>
        <w:rPr>
          <w:u w:val="none"/>
        </w:rPr>
      </w:pPr>
    </w:p>
    <w:p w14:paraId="1C463039">
      <w:pPr>
        <w:pStyle w:val="4"/>
        <w:bidi w:val="0"/>
        <w:ind w:left="0" w:leftChars="0" w:firstLine="420" w:firstLineChars="0"/>
        <w:rPr>
          <w:rFonts w:hint="eastAsia"/>
          <w:color w:val="auto"/>
          <w:u w:val="none"/>
          <w:lang w:val="en-US" w:eastAsia="zh-CN"/>
        </w:rPr>
      </w:pPr>
      <w:r>
        <w:rPr>
          <w:rFonts w:hint="eastAsia"/>
          <w:color w:val="auto"/>
          <w:u w:val="none"/>
          <w:lang w:val="en-US" w:eastAsia="zh-CN"/>
        </w:rPr>
        <w:t>矿山生态修复</w:t>
      </w:r>
    </w:p>
    <w:p w14:paraId="4BB4C988">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lang w:bidi="ar"/>
        </w:rPr>
        <w:t>有序实施工矿废弃地复垦工程，积极推进矿山生态修复工程，结合各矿山立地条件等因素，按照自然恢复、辅助再生、生态重塑、转型利用等模式对已关闭和废弃遗留矿山进行分类修复。正在生产矿山，采取“边开采边治理，谁开采谁治理”的原则，要求采矿权人对其造成的矿山地质环境破坏及时治理。开展矿山采空区地面塌陷、水土环境污染和矿山固体废弃物占用损毁土地的矿山地质环境治理，促进矿山地质环境得到明显改善。</w:t>
      </w:r>
    </w:p>
    <w:p w14:paraId="71A4438A">
      <w:pPr>
        <w:pStyle w:val="4"/>
        <w:bidi w:val="0"/>
        <w:ind w:left="0" w:leftChars="0" w:firstLine="420" w:firstLineChars="0"/>
        <w:rPr>
          <w:rFonts w:hint="eastAsia"/>
          <w:color w:val="auto"/>
          <w:u w:val="none"/>
          <w:lang w:val="en-US" w:eastAsia="zh-CN"/>
        </w:rPr>
      </w:pPr>
      <w:r>
        <w:rPr>
          <w:rFonts w:hint="eastAsia"/>
          <w:color w:val="auto"/>
          <w:u w:val="none"/>
          <w:lang w:val="en-US" w:eastAsia="zh-CN"/>
        </w:rPr>
        <w:t>重大自然灾害生态修复</w:t>
      </w:r>
    </w:p>
    <w:p w14:paraId="45BFFCDE">
      <w:pPr>
        <w:keepNext w:val="0"/>
        <w:keepLines w:val="0"/>
        <w:pageBreakBefore w:val="0"/>
        <w:widowControl w:val="0"/>
        <w:kinsoku/>
        <w:overflowPunct/>
        <w:topLinePunct w:val="0"/>
        <w:autoSpaceDE/>
        <w:autoSpaceDN/>
        <w:bidi w:val="0"/>
        <w:spacing w:line="600" w:lineRule="exact"/>
        <w:textAlignment w:val="auto"/>
        <w:rPr>
          <w:color w:val="2E75B6" w:themeColor="accent5" w:themeShade="BF"/>
          <w:u w:val="none"/>
        </w:rPr>
      </w:pPr>
      <w:r>
        <w:rPr>
          <w:rFonts w:hint="eastAsia"/>
          <w:u w:val="none"/>
        </w:rPr>
        <w:t>对</w:t>
      </w:r>
      <w:r>
        <w:rPr>
          <w:u w:val="none"/>
        </w:rPr>
        <w:t>重大自然灾害损毁土地</w:t>
      </w:r>
      <w:r>
        <w:rPr>
          <w:rFonts w:hint="eastAsia"/>
          <w:u w:val="none"/>
        </w:rPr>
        <w:t>进行</w:t>
      </w:r>
      <w:r>
        <w:rPr>
          <w:u w:val="none"/>
        </w:rPr>
        <w:t>评价</w:t>
      </w:r>
      <w:r>
        <w:rPr>
          <w:rFonts w:hint="eastAsia"/>
          <w:u w:val="none"/>
        </w:rPr>
        <w:t>并</w:t>
      </w:r>
      <w:r>
        <w:rPr>
          <w:u w:val="none"/>
        </w:rPr>
        <w:t>分类，对可复垦利用的土地，</w:t>
      </w:r>
      <w:r>
        <w:rPr>
          <w:rFonts w:hint="eastAsia"/>
          <w:u w:val="none"/>
        </w:rPr>
        <w:t>实施</w:t>
      </w:r>
      <w:r>
        <w:rPr>
          <w:u w:val="none"/>
        </w:rPr>
        <w:t>复垦</w:t>
      </w:r>
      <w:r>
        <w:rPr>
          <w:rFonts w:hint="eastAsia"/>
          <w:u w:val="none"/>
        </w:rPr>
        <w:t>工程</w:t>
      </w:r>
      <w:r>
        <w:rPr>
          <w:u w:val="none"/>
        </w:rPr>
        <w:t>。加强耕地抗灾能力建设，减少耕地灾毁数量。</w:t>
      </w:r>
      <w:r>
        <w:rPr>
          <w:rFonts w:hint="eastAsia"/>
          <w:u w:val="none"/>
        </w:rPr>
        <w:t>采取工程措施对损毁土地内的田、水、路及受损的生态环境等进行整治和恢复，使损毁土地恢复生态功能。</w:t>
      </w:r>
    </w:p>
    <w:p w14:paraId="7154B4AD">
      <w:pPr>
        <w:pStyle w:val="3"/>
        <w:bidi w:val="0"/>
        <w:ind w:left="0" w:leftChars="0" w:firstLine="420" w:firstLineChars="0"/>
        <w:rPr>
          <w:rFonts w:hint="eastAsia" w:ascii="黑体" w:hAnsi="黑体" w:eastAsia="黑体" w:cs="黑体"/>
          <w:u w:val="none"/>
          <w:lang w:val="en-US" w:eastAsia="zh-CN"/>
        </w:rPr>
      </w:pPr>
      <w:bookmarkStart w:id="160" w:name="_Toc32501"/>
      <w:bookmarkStart w:id="161" w:name="_Toc24846"/>
      <w:bookmarkStart w:id="162" w:name="_Toc152937220"/>
      <w:r>
        <w:rPr>
          <w:rFonts w:hint="eastAsia" w:ascii="黑体" w:hAnsi="黑体" w:eastAsia="黑体" w:cs="黑体"/>
          <w:u w:val="none"/>
          <w:lang w:val="en-US" w:eastAsia="zh-CN"/>
        </w:rPr>
        <w:t>国土综合整治</w:t>
      </w:r>
      <w:bookmarkEnd w:id="160"/>
      <w:bookmarkEnd w:id="161"/>
      <w:bookmarkEnd w:id="162"/>
    </w:p>
    <w:p w14:paraId="59A43D7E">
      <w:pPr>
        <w:pStyle w:val="4"/>
        <w:bidi w:val="0"/>
        <w:ind w:left="0" w:leftChars="0" w:firstLine="420" w:firstLineChars="0"/>
        <w:rPr>
          <w:rFonts w:hint="eastAsia"/>
          <w:color w:val="auto"/>
          <w:u w:val="none"/>
          <w:lang w:val="en-US" w:eastAsia="zh-CN"/>
        </w:rPr>
      </w:pPr>
      <w:r>
        <w:rPr>
          <w:rFonts w:hint="eastAsia"/>
          <w:color w:val="auto"/>
          <w:u w:val="none"/>
          <w:lang w:val="en-US" w:eastAsia="zh-CN"/>
        </w:rPr>
        <w:t>建设用地综合整治</w:t>
      </w:r>
    </w:p>
    <w:p w14:paraId="0CD7F34D">
      <w:pPr>
        <w:keepNext w:val="0"/>
        <w:keepLines w:val="0"/>
        <w:pageBreakBefore w:val="0"/>
        <w:widowControl w:val="0"/>
        <w:kinsoku/>
        <w:overflowPunct/>
        <w:topLinePunct w:val="0"/>
        <w:autoSpaceDE/>
        <w:autoSpaceDN/>
        <w:bidi w:val="0"/>
        <w:spacing w:line="600" w:lineRule="exact"/>
        <w:textAlignment w:val="auto"/>
        <w:rPr>
          <w:rFonts w:cs="仿宋_GB2312"/>
          <w:szCs w:val="32"/>
          <w:u w:val="none"/>
          <w:lang w:bidi="ar"/>
        </w:rPr>
      </w:pPr>
      <w:r>
        <w:rPr>
          <w:rFonts w:hint="eastAsia" w:cs="仿宋_GB2312"/>
          <w:szCs w:val="32"/>
          <w:u w:val="none"/>
          <w:lang w:bidi="ar"/>
        </w:rPr>
        <w:t>实施“严控总量、盘活存量、精准调控、提质增效”的建设用地优化策略。推进城镇更新治理进程，以旧居住用地、旧产业用地、旧村用地、其他用地等为重点对象，促进低效建设用地开发再利用。推动城镇分类整治、盘活低效及存量建设用地、违法建设综合治理，增加建设用地面积。提升土地节约集约利用率，提高建设用地地均产值。</w:t>
      </w:r>
    </w:p>
    <w:p w14:paraId="539D935C">
      <w:pPr>
        <w:keepNext w:val="0"/>
        <w:keepLines w:val="0"/>
        <w:pageBreakBefore w:val="0"/>
        <w:widowControl w:val="0"/>
        <w:kinsoku/>
        <w:overflowPunct/>
        <w:topLinePunct w:val="0"/>
        <w:autoSpaceDE/>
        <w:autoSpaceDN/>
        <w:bidi w:val="0"/>
        <w:spacing w:line="600" w:lineRule="exact"/>
        <w:textAlignment w:val="auto"/>
        <w:rPr>
          <w:rFonts w:cs="仿宋_GB2312"/>
          <w:szCs w:val="32"/>
          <w:u w:val="none"/>
          <w:lang w:bidi="ar"/>
        </w:rPr>
      </w:pPr>
      <w:r>
        <w:rPr>
          <w:rFonts w:hint="eastAsia" w:cs="仿宋_GB2312"/>
          <w:szCs w:val="32"/>
          <w:u w:val="none"/>
          <w:lang w:bidi="ar"/>
        </w:rPr>
        <w:t>积极推进低效建设用地利用，大力挖掘城镇用地潜力。推动集中成片开发，将边角地等难以独立开发的零星土地一并纳入整治范围。实施城镇更新，突出镇中心区的更新治理，优化提升镇中心区功能，完善各项基础设施建设，实现土地集约利用水平明显提高。</w:t>
      </w:r>
    </w:p>
    <w:p w14:paraId="5F2B07B6">
      <w:pPr>
        <w:keepNext w:val="0"/>
        <w:keepLines w:val="0"/>
        <w:pageBreakBefore w:val="0"/>
        <w:widowControl w:val="0"/>
        <w:kinsoku/>
        <w:overflowPunct/>
        <w:topLinePunct w:val="0"/>
        <w:autoSpaceDE/>
        <w:autoSpaceDN/>
        <w:bidi w:val="0"/>
        <w:spacing w:line="600" w:lineRule="exact"/>
        <w:textAlignment w:val="auto"/>
        <w:rPr>
          <w:rFonts w:cs="仿宋_GB2312"/>
          <w:szCs w:val="32"/>
          <w:u w:val="none"/>
          <w:lang w:bidi="ar"/>
        </w:rPr>
      </w:pPr>
      <w:r>
        <w:rPr>
          <w:rFonts w:hint="eastAsia" w:cs="仿宋_GB2312"/>
          <w:szCs w:val="32"/>
          <w:u w:val="none"/>
          <w:lang w:bidi="ar"/>
        </w:rPr>
        <w:t>积极盘活存量建设用地。统筹推进存量建设用地盘活利用，挖掘地下空间利用潜力，充分发挥土地交易平台作用，实现存量建设用地高效利用。鼓励原土地使用权人通过自主、联合等方式盘活利用，进一步提高节约集约用地水平，为经济社会高质量发展提供有效保障。探索农村集体建设用地流转，盘活农村闲置建设用地，促进农村建设用地集中布置。</w:t>
      </w:r>
    </w:p>
    <w:p w14:paraId="10D3C269">
      <w:pPr>
        <w:keepNext w:val="0"/>
        <w:keepLines w:val="0"/>
        <w:pageBreakBefore w:val="0"/>
        <w:widowControl w:val="0"/>
        <w:kinsoku/>
        <w:overflowPunct/>
        <w:topLinePunct w:val="0"/>
        <w:autoSpaceDE/>
        <w:autoSpaceDN/>
        <w:bidi w:val="0"/>
        <w:spacing w:line="600" w:lineRule="exact"/>
        <w:textAlignment w:val="auto"/>
        <w:rPr>
          <w:rFonts w:cs="仿宋_GB2312"/>
          <w:szCs w:val="32"/>
          <w:u w:val="none"/>
          <w:lang w:bidi="ar"/>
        </w:rPr>
      </w:pPr>
      <w:r>
        <w:rPr>
          <w:rFonts w:hint="eastAsia" w:cs="仿宋_GB2312"/>
          <w:szCs w:val="32"/>
          <w:u w:val="none"/>
          <w:lang w:bidi="ar"/>
        </w:rPr>
        <w:t>积极增加流量建设用地。以国土空间规划为引领统筹推进全域国土综合整治，逐步增加城乡建设用地增减挂钩、工矿废弃地复垦利用和城镇低效用地再开发等流量指标，保障建设用地供给。摸清低效建设用地和存量建设用地规模及位置，落实增减挂钩、增存挂钩制度，优化建设用地空间布局，促进国土资源集约、高效利用。</w:t>
      </w:r>
    </w:p>
    <w:p w14:paraId="26D60233">
      <w:pPr>
        <w:keepNext w:val="0"/>
        <w:keepLines w:val="0"/>
        <w:pageBreakBefore w:val="0"/>
        <w:widowControl w:val="0"/>
        <w:kinsoku/>
        <w:overflowPunct/>
        <w:topLinePunct w:val="0"/>
        <w:autoSpaceDE/>
        <w:autoSpaceDN/>
        <w:bidi w:val="0"/>
        <w:spacing w:line="600" w:lineRule="exact"/>
        <w:textAlignment w:val="auto"/>
        <w:rPr>
          <w:rFonts w:cs="仿宋_GB2312"/>
          <w:szCs w:val="32"/>
          <w:u w:val="none"/>
          <w:lang w:bidi="ar"/>
        </w:rPr>
      </w:pPr>
      <w:r>
        <w:rPr>
          <w:rFonts w:hint="eastAsia" w:cs="仿宋_GB2312"/>
          <w:szCs w:val="32"/>
          <w:u w:val="none"/>
          <w:lang w:bidi="ar"/>
        </w:rPr>
        <w:t>农村建设用地整理。充分尊重农民意愿，开展农村建设用地整理，推进城乡建设用地增减挂钩，优先保障农民安置、配套和完善村庄的道路交通、给水排水、电力电讯、污水及垃圾处理等基础设施和教育、医疗卫生、文化等公共服务设施，保障人居环境建设。腾出的建设用地指标优先用于支持农村一二三产业融合发展和乡村振兴，并因地制宜，适度增加耕地面积。规划期间在古城镇域范围重点挖潜村庄内部低效、闲置建设用地，提高建设用地节约集约利用程度，提升农村建设用地质量。</w:t>
      </w:r>
    </w:p>
    <w:p w14:paraId="7B1F2003">
      <w:pPr>
        <w:pStyle w:val="4"/>
        <w:bidi w:val="0"/>
        <w:ind w:left="0" w:leftChars="0" w:firstLine="420" w:firstLineChars="0"/>
        <w:rPr>
          <w:rFonts w:hint="eastAsia"/>
          <w:color w:val="auto"/>
          <w:u w:val="none"/>
          <w:lang w:val="en-US" w:eastAsia="zh-CN"/>
        </w:rPr>
      </w:pPr>
      <w:r>
        <w:rPr>
          <w:rFonts w:hint="eastAsia"/>
          <w:color w:val="auto"/>
          <w:u w:val="none"/>
          <w:lang w:val="en-US" w:eastAsia="zh-CN"/>
        </w:rPr>
        <w:t>用地综合整治</w:t>
      </w:r>
    </w:p>
    <w:p w14:paraId="741C09D9">
      <w:pPr>
        <w:keepNext w:val="0"/>
        <w:keepLines w:val="0"/>
        <w:pageBreakBefore w:val="0"/>
        <w:widowControl w:val="0"/>
        <w:kinsoku/>
        <w:overflowPunct/>
        <w:topLinePunct w:val="0"/>
        <w:autoSpaceDE/>
        <w:autoSpaceDN/>
        <w:bidi w:val="0"/>
        <w:spacing w:line="600" w:lineRule="exact"/>
        <w:textAlignment w:val="auto"/>
        <w:rPr>
          <w:rFonts w:cs="仿宋_GB2312"/>
          <w:szCs w:val="32"/>
          <w:u w:val="none"/>
          <w:lang w:bidi="ar"/>
        </w:rPr>
      </w:pPr>
      <w:r>
        <w:rPr>
          <w:rFonts w:hint="eastAsia" w:cs="仿宋_GB2312"/>
          <w:szCs w:val="32"/>
          <w:u w:val="none"/>
          <w:lang w:bidi="ar"/>
        </w:rPr>
        <w:t>统筹推进古城镇全域全要素的国土综合整治及生态系统保护和修复工作，布置农用地整理、农村建设用地整理、宜耕后备资源开发、农村生态环境修复等重点建设工程，整体推进乡村地区耕地质量提升、建设用地集约利用、山水林田湖草沙系统保护修复工作实施。</w:t>
      </w:r>
    </w:p>
    <w:p w14:paraId="72B2C649">
      <w:pPr>
        <w:keepNext w:val="0"/>
        <w:keepLines w:val="0"/>
        <w:pageBreakBefore w:val="0"/>
        <w:widowControl w:val="0"/>
        <w:kinsoku/>
        <w:overflowPunct/>
        <w:topLinePunct w:val="0"/>
        <w:autoSpaceDE/>
        <w:autoSpaceDN/>
        <w:bidi w:val="0"/>
        <w:spacing w:line="600" w:lineRule="exact"/>
        <w:textAlignment w:val="auto"/>
        <w:rPr>
          <w:rFonts w:cs="仿宋_GB2312"/>
          <w:szCs w:val="32"/>
          <w:u w:val="none"/>
          <w:lang w:bidi="ar"/>
        </w:rPr>
      </w:pPr>
      <w:r>
        <w:rPr>
          <w:rFonts w:hint="eastAsia" w:cs="仿宋_GB2312"/>
          <w:szCs w:val="32"/>
          <w:u w:val="none"/>
          <w:lang w:bidi="ar"/>
        </w:rPr>
        <w:t>农用地整理。统筹推进高标准农田建设、旱改水、坡耕地整治、撂荒耕地整治、退化土壤改良修复等工程，完善农田基础设施条件，全面提升耕地质量，增加有效耕地面积，促进农业机械化、规模化，增强抵御自然灾害能力，提高农业综合生产能力，增加粮食产量，改善农田生态环境。规划农用地整理项目包括高标准农田建设工程和旱改水工程等。大力实施高标准农田建设工程。规划至2035年，全域永久基本农田全部建成高标准农田。</w:t>
      </w:r>
    </w:p>
    <w:p w14:paraId="4F6DD37B">
      <w:pPr>
        <w:keepNext w:val="0"/>
        <w:keepLines w:val="0"/>
        <w:pageBreakBefore w:val="0"/>
        <w:widowControl w:val="0"/>
        <w:kinsoku/>
        <w:overflowPunct/>
        <w:topLinePunct w:val="0"/>
        <w:autoSpaceDE/>
        <w:autoSpaceDN/>
        <w:bidi w:val="0"/>
        <w:spacing w:line="600" w:lineRule="exact"/>
        <w:textAlignment w:val="auto"/>
        <w:rPr>
          <w:rFonts w:cs="仿宋_GB2312"/>
          <w:szCs w:val="32"/>
          <w:u w:val="none"/>
          <w:lang w:bidi="ar"/>
        </w:rPr>
      </w:pPr>
      <w:r>
        <w:rPr>
          <w:rFonts w:hint="eastAsia" w:cs="仿宋_GB2312"/>
          <w:szCs w:val="32"/>
          <w:u w:val="none"/>
          <w:lang w:bidi="ar"/>
        </w:rPr>
        <w:t>宜耕后备资源开发。在保护生态环境的前提下，依据土地适宜性条件，有序推进古城镇宜耕后备资源开发，通过工程措施，将项目区开垦成为高产田、稳产田，以增加有效耕地面积，提升粮食产量，保障粮食安全，控制土壤退化，涵养水源、防止水土流失，促进生态环境的可持续发展。本次规划布置宜耕后备资源开发工程，工程实施后，确保耕地面积有增加，质量有保障。</w:t>
      </w:r>
    </w:p>
    <w:p w14:paraId="4357045A">
      <w:pPr>
        <w:keepNext w:val="0"/>
        <w:keepLines w:val="0"/>
        <w:pageBreakBefore w:val="0"/>
        <w:widowControl w:val="0"/>
        <w:kinsoku/>
        <w:overflowPunct/>
        <w:topLinePunct w:val="0"/>
        <w:autoSpaceDE/>
        <w:autoSpaceDN/>
        <w:bidi w:val="0"/>
        <w:spacing w:line="600" w:lineRule="exact"/>
        <w:textAlignment w:val="auto"/>
        <w:rPr>
          <w:rFonts w:cs="仿宋_GB2312"/>
          <w:color w:val="2E75B6" w:themeColor="accent5" w:themeShade="BF"/>
          <w:szCs w:val="32"/>
          <w:u w:val="none"/>
          <w:lang w:bidi="ar"/>
        </w:rPr>
      </w:pPr>
      <w:r>
        <w:rPr>
          <w:rFonts w:hint="eastAsia" w:cs="仿宋_GB2312"/>
          <w:szCs w:val="32"/>
          <w:u w:val="none"/>
          <w:lang w:bidi="ar"/>
        </w:rPr>
        <w:t>农村生态环境修复。尊重和保护村域内原有的地形地貌，全面推进农村环境整治，加大农村面源污染整治力度。完善交通设施两侧生态廊道，实施道路绿化工程，实施中小河流治理工程，推进安全饮水工程，优化农村水系、林网、绿道等生态空间，促进人与自然和谐共生。规划到2035年，古城镇各村屯均实施农村生态环境修复工程。</w:t>
      </w:r>
    </w:p>
    <w:bookmarkEnd w:id="121"/>
    <w:bookmarkEnd w:id="122"/>
    <w:p w14:paraId="7C4ED565">
      <w:pPr>
        <w:pStyle w:val="2"/>
        <w:spacing w:before="360" w:after="360"/>
        <w:rPr>
          <w:rFonts w:hint="eastAsia" w:ascii="方正小标宋简体" w:hAnsi="方正小标宋简体" w:eastAsia="方正小标宋简体" w:cs="方正小标宋简体"/>
          <w:color w:val="auto"/>
          <w:u w:val="none"/>
          <w:lang w:val="en-US" w:eastAsia="zh-CN"/>
        </w:rPr>
      </w:pPr>
      <w:bookmarkStart w:id="163" w:name="_Toc10506"/>
      <w:bookmarkStart w:id="164" w:name="_Toc870"/>
      <w:r>
        <w:rPr>
          <w:rFonts w:hint="eastAsia" w:ascii="方正小标宋简体" w:hAnsi="方正小标宋简体" w:eastAsia="方正小标宋简体" w:cs="方正小标宋简体"/>
          <w:color w:val="auto"/>
          <w:u w:val="none"/>
          <w:lang w:val="en-US" w:eastAsia="zh-CN"/>
        </w:rPr>
        <w:t>镇中心区功能布局与规划管控</w:t>
      </w:r>
      <w:bookmarkEnd w:id="123"/>
      <w:bookmarkEnd w:id="163"/>
      <w:bookmarkEnd w:id="164"/>
    </w:p>
    <w:p w14:paraId="775D88B0">
      <w:pPr>
        <w:pStyle w:val="3"/>
        <w:bidi w:val="0"/>
        <w:ind w:left="0" w:leftChars="0" w:firstLine="420" w:firstLineChars="0"/>
        <w:rPr>
          <w:rFonts w:hint="eastAsia" w:ascii="黑体" w:hAnsi="黑体" w:eastAsia="黑体" w:cs="黑体"/>
          <w:u w:val="none"/>
          <w:lang w:val="en-US" w:eastAsia="zh-CN"/>
        </w:rPr>
      </w:pPr>
      <w:bookmarkStart w:id="165" w:name="_Toc152937209"/>
      <w:bookmarkStart w:id="166" w:name="_Toc23862"/>
      <w:bookmarkStart w:id="167" w:name="_Toc2452"/>
      <w:r>
        <w:rPr>
          <w:rFonts w:hint="eastAsia" w:ascii="黑体" w:hAnsi="黑体" w:eastAsia="黑体" w:cs="黑体"/>
          <w:u w:val="none"/>
          <w:lang w:val="en-US" w:eastAsia="zh-CN"/>
        </w:rPr>
        <w:t>用地结构和布局</w:t>
      </w:r>
      <w:bookmarkEnd w:id="165"/>
      <w:bookmarkEnd w:id="166"/>
      <w:bookmarkEnd w:id="167"/>
    </w:p>
    <w:p w14:paraId="5A51B1A9">
      <w:pPr>
        <w:pStyle w:val="4"/>
        <w:bidi w:val="0"/>
        <w:ind w:left="0" w:leftChars="0" w:firstLine="420" w:firstLineChars="0"/>
        <w:rPr>
          <w:rFonts w:hint="eastAsia"/>
          <w:color w:val="auto"/>
          <w:u w:val="none"/>
          <w:lang w:val="en-US" w:eastAsia="zh-CN"/>
        </w:rPr>
      </w:pPr>
      <w:r>
        <w:rPr>
          <w:rFonts w:hint="eastAsia"/>
          <w:color w:val="auto"/>
          <w:u w:val="none"/>
          <w:lang w:val="en-US" w:eastAsia="zh-CN"/>
        </w:rPr>
        <w:t>发展方向</w:t>
      </w:r>
    </w:p>
    <w:p w14:paraId="0B1985A0">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从古城镇社会经济发展的实际需要出发，充分把握节约土地的原则，有序引导古城镇中心区空间发展，镇中心区沿新府路两侧南北向发展，以镇中心区中部为城镇发展的主体，逐步形成集行政、商贸、居住、文化于一体的综合发展核心。</w:t>
      </w:r>
      <w:bookmarkStart w:id="168" w:name="_Toc381764"/>
    </w:p>
    <w:p w14:paraId="6D280DCF">
      <w:pPr>
        <w:pStyle w:val="4"/>
        <w:bidi w:val="0"/>
        <w:ind w:left="0" w:leftChars="0" w:firstLine="420" w:firstLineChars="0"/>
        <w:rPr>
          <w:rFonts w:hint="eastAsia"/>
          <w:color w:val="auto"/>
          <w:u w:val="none"/>
          <w:lang w:val="en-US" w:eastAsia="zh-CN"/>
        </w:rPr>
      </w:pPr>
      <w:r>
        <w:rPr>
          <w:rFonts w:hint="eastAsia"/>
          <w:color w:val="auto"/>
          <w:u w:val="none"/>
          <w:lang w:val="en-US" w:eastAsia="zh-CN"/>
        </w:rPr>
        <w:t>空间格局</w:t>
      </w:r>
      <w:bookmarkEnd w:id="168"/>
    </w:p>
    <w:p w14:paraId="34A6B15D">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古城镇中心区道路网为空间布局结构的基本骨架。以此骨架为依托，形成“一轴、两翼、一心、多组团”的空间布局结构。</w:t>
      </w:r>
    </w:p>
    <w:p w14:paraId="416B97FF">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“一轴”指以新府路形成的主要发展轴线。</w:t>
      </w:r>
    </w:p>
    <w:p w14:paraId="03AAAAE6">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“两翼”指新府路两侧形成的功能集聚区。</w:t>
      </w:r>
    </w:p>
    <w:p w14:paraId="0AB7BF32">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“一心”指政府及周边设施形成的综合服务中心。</w:t>
      </w:r>
    </w:p>
    <w:p w14:paraId="157C5239">
      <w:pPr>
        <w:keepNext w:val="0"/>
        <w:keepLines w:val="0"/>
        <w:pageBreakBefore w:val="0"/>
        <w:widowControl w:val="0"/>
        <w:kinsoku/>
        <w:overflowPunct/>
        <w:topLinePunct w:val="0"/>
        <w:autoSpaceDE/>
        <w:autoSpaceDN/>
        <w:bidi w:val="0"/>
        <w:spacing w:line="600" w:lineRule="exact"/>
        <w:textAlignment w:val="auto"/>
        <w:rPr>
          <w:rFonts w:hint="eastAsia"/>
          <w:u w:val="none"/>
        </w:rPr>
      </w:pPr>
      <w:r>
        <w:rPr>
          <w:rFonts w:hint="eastAsia"/>
          <w:u w:val="none"/>
        </w:rPr>
        <w:t>“多组团”分别指镇中心区中部的商业服务业组团；北部、中部、南部的居民生活服务组团；中部、南部的产业发展组团。</w:t>
      </w:r>
    </w:p>
    <w:p w14:paraId="6FDC9714">
      <w:pPr>
        <w:pStyle w:val="6"/>
        <w:bidi w:val="0"/>
        <w:rPr>
          <w:rFonts w:hint="eastAsia"/>
        </w:rPr>
      </w:pPr>
      <w:r>
        <w:rPr>
          <w:rFonts w:hint="eastAsia"/>
          <w:lang w:eastAsia="zh-CN"/>
        </w:rPr>
        <w:drawing>
          <wp:inline distT="0" distB="0" distL="114300" distR="114300">
            <wp:extent cx="5441315" cy="3850005"/>
            <wp:effectExtent l="0" t="0" r="6985" b="17145"/>
            <wp:docPr id="20" name="图片 20" descr="210522106古城镇31城镇开发边界范围国土空间规划分区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210522106古城镇31城镇开发边界范围国土空间规划分区图"/>
                    <pic:cNvPicPr>
                      <a:picLocks noChangeAspect="1"/>
                    </pic:cNvPicPr>
                  </pic:nvPicPr>
                  <pic:blipFill>
                    <a:blip r:embed="rId29"/>
                    <a:stretch>
                      <a:fillRect/>
                    </a:stretch>
                  </pic:blipFill>
                  <pic:spPr>
                    <a:xfrm>
                      <a:off x="0" y="0"/>
                      <a:ext cx="5441315" cy="3850005"/>
                    </a:xfrm>
                    <a:prstGeom prst="rect">
                      <a:avLst/>
                    </a:prstGeom>
                  </pic:spPr>
                </pic:pic>
              </a:graphicData>
            </a:graphic>
          </wp:inline>
        </w:drawing>
      </w:r>
    </w:p>
    <w:p w14:paraId="5D6B1FC9">
      <w:pPr>
        <w:pStyle w:val="4"/>
        <w:bidi w:val="0"/>
        <w:ind w:left="0" w:leftChars="0" w:firstLine="420" w:firstLineChars="0"/>
        <w:rPr>
          <w:rFonts w:hint="eastAsia"/>
          <w:color w:val="auto"/>
          <w:u w:val="none"/>
          <w:lang w:val="en-US" w:eastAsia="zh-CN"/>
        </w:rPr>
      </w:pPr>
      <w:r>
        <w:rPr>
          <w:rFonts w:hint="eastAsia"/>
          <w:color w:val="auto"/>
          <w:u w:val="none"/>
          <w:lang w:val="en-US" w:eastAsia="zh-CN"/>
        </w:rPr>
        <w:t>用地结构布局</w:t>
      </w:r>
    </w:p>
    <w:p w14:paraId="71AF3C01">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古城镇中心区规划建设用地66.04公顷，以居住用地、公共管理与公共服务用地、商业服务业用地、工矿用地、仓储用地为主。未来用地结构优化方向要进一步促进产城融合，合理确定各类建设用地的比例。</w:t>
      </w:r>
    </w:p>
    <w:p w14:paraId="6A9DF855">
      <w:pPr>
        <w:keepNext w:val="0"/>
        <w:keepLines w:val="0"/>
        <w:pageBreakBefore w:val="0"/>
        <w:widowControl w:val="0"/>
        <w:kinsoku/>
        <w:overflowPunct/>
        <w:topLinePunct w:val="0"/>
        <w:autoSpaceDE/>
        <w:autoSpaceDN/>
        <w:bidi w:val="0"/>
        <w:spacing w:line="600" w:lineRule="exact"/>
        <w:textAlignment w:val="auto"/>
        <w:rPr>
          <w:rFonts w:hint="eastAsia"/>
          <w:u w:val="none"/>
        </w:rPr>
      </w:pPr>
      <w:r>
        <w:rPr>
          <w:rFonts w:hint="eastAsia"/>
          <w:u w:val="none"/>
        </w:rPr>
        <w:t>科学调控居住用地规模，增加商业用地、公共管理与公共服务用地规模，集聚综合服务、商贸服务等功能。保障市政道路和公用设施等用地需求，完善城镇路网结构，提升空间组织效能。重点保障供水、排水、供电、供热、环卫、消防等设施用地，提高基础设施建设水平。提升公园绿地和开敞空间用地比重，提高城镇环境品质。</w:t>
      </w:r>
    </w:p>
    <w:p w14:paraId="27F22F6F">
      <w:pPr>
        <w:pStyle w:val="6"/>
        <w:bidi w:val="0"/>
        <w:rPr>
          <w:rFonts w:hint="eastAsia"/>
          <w:lang w:eastAsia="zh-CN"/>
        </w:rPr>
      </w:pPr>
    </w:p>
    <w:p w14:paraId="701A399B">
      <w:pPr>
        <w:pStyle w:val="6"/>
        <w:bidi w:val="0"/>
        <w:rPr>
          <w:rFonts w:hint="eastAsia"/>
          <w:lang w:eastAsia="zh-CN"/>
        </w:rPr>
      </w:pPr>
      <w:r>
        <w:rPr>
          <w:rFonts w:hint="eastAsia"/>
          <w:lang w:eastAsia="zh-CN"/>
        </w:rPr>
        <w:drawing>
          <wp:inline distT="0" distB="0" distL="114300" distR="114300">
            <wp:extent cx="5441315" cy="3850005"/>
            <wp:effectExtent l="0" t="0" r="6985" b="17145"/>
            <wp:docPr id="21" name="图片 21" descr="210522106古城镇32城镇开发边界范围国土空间用地规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210522106古城镇32城镇开发边界范围国土空间用地规划图"/>
                    <pic:cNvPicPr>
                      <a:picLocks noChangeAspect="1"/>
                    </pic:cNvPicPr>
                  </pic:nvPicPr>
                  <pic:blipFill>
                    <a:blip r:embed="rId30"/>
                    <a:stretch>
                      <a:fillRect/>
                    </a:stretch>
                  </pic:blipFill>
                  <pic:spPr>
                    <a:xfrm>
                      <a:off x="0" y="0"/>
                      <a:ext cx="5441315" cy="3850005"/>
                    </a:xfrm>
                    <a:prstGeom prst="rect">
                      <a:avLst/>
                    </a:prstGeom>
                  </pic:spPr>
                </pic:pic>
              </a:graphicData>
            </a:graphic>
          </wp:inline>
        </w:drawing>
      </w:r>
    </w:p>
    <w:p w14:paraId="03F14081">
      <w:pPr>
        <w:keepNext w:val="0"/>
        <w:keepLines w:val="0"/>
        <w:pageBreakBefore w:val="0"/>
        <w:widowControl w:val="0"/>
        <w:kinsoku/>
        <w:wordWrap/>
        <w:overflowPunct/>
        <w:topLinePunct w:val="0"/>
        <w:autoSpaceDE/>
        <w:autoSpaceDN/>
        <w:bidi w:val="0"/>
        <w:adjustRightInd w:val="0"/>
        <w:snapToGrid w:val="0"/>
        <w:spacing w:after="219" w:afterLines="50" w:line="600" w:lineRule="exact"/>
        <w:ind w:firstLine="0" w:firstLineChars="0"/>
        <w:jc w:val="center"/>
        <w:textAlignment w:val="auto"/>
        <w:outlineLvl w:val="9"/>
        <w:rPr>
          <w:rFonts w:hint="eastAsia" w:ascii="黑体" w:hAnsi="黑体" w:eastAsia="黑体" w:cs="黑体"/>
          <w:b w:val="0"/>
          <w:bCs w:val="0"/>
          <w:color w:val="000000"/>
          <w:u w:val="none"/>
        </w:rPr>
      </w:pPr>
      <w:bookmarkStart w:id="169" w:name="_Toc29714"/>
      <w:bookmarkStart w:id="170" w:name="_Toc11542"/>
      <w:r>
        <w:rPr>
          <w:rFonts w:hint="eastAsia" w:ascii="黑体" w:hAnsi="黑体" w:eastAsia="黑体" w:cs="黑体"/>
          <w:b w:val="0"/>
          <w:bCs w:val="0"/>
          <w:color w:val="000000"/>
          <w:u w:val="none"/>
          <w:lang w:val="en-US" w:eastAsia="zh-CN"/>
        </w:rPr>
        <w:t>街道</w:t>
      </w:r>
      <w:r>
        <w:rPr>
          <w:rFonts w:hint="eastAsia" w:ascii="黑体" w:hAnsi="黑体" w:eastAsia="黑体" w:cs="黑体"/>
          <w:b w:val="0"/>
          <w:bCs w:val="0"/>
          <w:color w:val="000000"/>
          <w:u w:val="none"/>
          <w:lang w:eastAsia="zh-CN"/>
        </w:rPr>
        <w:t>中心区</w:t>
      </w:r>
      <w:r>
        <w:rPr>
          <w:rFonts w:hint="eastAsia" w:ascii="黑体" w:hAnsi="黑体" w:eastAsia="黑体" w:cs="黑体"/>
          <w:b w:val="0"/>
          <w:bCs w:val="0"/>
          <w:color w:val="000000"/>
          <w:u w:val="none"/>
        </w:rPr>
        <w:t>城镇建设用地结构调整表</w:t>
      </w:r>
      <w:bookmarkEnd w:id="169"/>
      <w:bookmarkEnd w:id="170"/>
    </w:p>
    <w:p w14:paraId="7EB8E60A">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right"/>
        <w:textAlignment w:val="auto"/>
        <w:rPr>
          <w:rFonts w:hint="eastAsia" w:ascii="仿宋_GB2312" w:hAnsi="宋体" w:cs="宋体"/>
          <w:color w:val="auto"/>
          <w:spacing w:val="-1"/>
          <w:sz w:val="21"/>
          <w:szCs w:val="21"/>
          <w:u w:val="none"/>
          <w:lang w:bidi="ar"/>
        </w:rPr>
      </w:pPr>
      <w:r>
        <w:rPr>
          <w:rFonts w:hint="eastAsia" w:ascii="仿宋_GB2312" w:hAnsi="宋体" w:cs="宋体"/>
          <w:color w:val="auto"/>
          <w:spacing w:val="-1"/>
          <w:sz w:val="21"/>
          <w:szCs w:val="21"/>
          <w:u w:val="none"/>
          <w:lang w:bidi="ar"/>
        </w:rPr>
        <w:t>单位：公顷、%</w:t>
      </w:r>
    </w:p>
    <w:tbl>
      <w:tblPr>
        <w:tblStyle w:val="22"/>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2561"/>
        <w:gridCol w:w="1324"/>
        <w:gridCol w:w="1324"/>
        <w:gridCol w:w="1324"/>
        <w:gridCol w:w="1325"/>
      </w:tblGrid>
      <w:tr w14:paraId="6D511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46" w:type="dxa"/>
            <w:vMerge w:val="restart"/>
            <w:vAlign w:val="center"/>
          </w:tcPr>
          <w:p w14:paraId="754AC3FF">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sz w:val="21"/>
                <w:szCs w:val="21"/>
                <w:highlight w:val="none"/>
                <w:u w:val="none"/>
                <w14:ligatures w14:val="standardContextual"/>
              </w:rPr>
            </w:pPr>
            <w:r>
              <w:rPr>
                <w:rFonts w:hint="default" w:ascii="Times New Roman" w:hAnsi="Times New Roman" w:eastAsia="仿宋_GB2312" w:cs="Times New Roman"/>
                <w:b/>
                <w:bCs/>
                <w:color w:val="auto"/>
                <w:sz w:val="21"/>
                <w:szCs w:val="21"/>
                <w:highlight w:val="none"/>
                <w:u w:val="none"/>
                <w14:ligatures w14:val="standardContextual"/>
              </w:rPr>
              <w:t>序号</w:t>
            </w:r>
          </w:p>
        </w:tc>
        <w:tc>
          <w:tcPr>
            <w:tcW w:w="2561" w:type="dxa"/>
            <w:vMerge w:val="restart"/>
            <w:noWrap/>
            <w:vAlign w:val="center"/>
          </w:tcPr>
          <w:p w14:paraId="7A87F7EE">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sz w:val="21"/>
                <w:szCs w:val="21"/>
                <w:highlight w:val="none"/>
                <w:u w:val="none"/>
                <w14:ligatures w14:val="standardContextual"/>
              </w:rPr>
            </w:pPr>
            <w:r>
              <w:rPr>
                <w:rFonts w:hint="default" w:ascii="Times New Roman" w:hAnsi="Times New Roman" w:eastAsia="仿宋_GB2312" w:cs="Times New Roman"/>
                <w:b/>
                <w:bCs/>
                <w:color w:val="auto"/>
                <w:sz w:val="21"/>
                <w:szCs w:val="21"/>
                <w:highlight w:val="none"/>
                <w:u w:val="none"/>
                <w14:ligatures w14:val="standardContextual"/>
              </w:rPr>
              <w:t>分类</w:t>
            </w:r>
          </w:p>
        </w:tc>
        <w:tc>
          <w:tcPr>
            <w:tcW w:w="2648" w:type="dxa"/>
            <w:gridSpan w:val="2"/>
            <w:noWrap/>
            <w:vAlign w:val="center"/>
          </w:tcPr>
          <w:p w14:paraId="70D6CF73">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eastAsia" w:ascii="Times New Roman" w:hAnsi="Times New Roman" w:eastAsia="仿宋_GB2312" w:cs="Times New Roman"/>
                <w:b/>
                <w:bCs/>
                <w:color w:val="auto"/>
                <w:sz w:val="21"/>
                <w:szCs w:val="21"/>
                <w:highlight w:val="none"/>
                <w:u w:val="none"/>
                <w:lang w:eastAsia="zh-CN"/>
                <w14:ligatures w14:val="standardContextual"/>
              </w:rPr>
            </w:pPr>
            <w:r>
              <w:rPr>
                <w:rFonts w:hint="default" w:ascii="Times New Roman" w:hAnsi="Times New Roman" w:eastAsia="仿宋_GB2312" w:cs="Times New Roman"/>
                <w:b/>
                <w:bCs/>
                <w:color w:val="auto"/>
                <w:sz w:val="21"/>
                <w:szCs w:val="21"/>
                <w:highlight w:val="none"/>
                <w:u w:val="none"/>
                <w14:ligatures w14:val="standardContextual"/>
              </w:rPr>
              <w:t>规划基期年（2020年</w:t>
            </w:r>
            <w:r>
              <w:rPr>
                <w:rFonts w:hint="eastAsia" w:ascii="Times New Roman" w:hAnsi="Times New Roman" w:cs="Times New Roman"/>
                <w:b/>
                <w:bCs/>
                <w:color w:val="auto"/>
                <w:sz w:val="21"/>
                <w:szCs w:val="21"/>
                <w:highlight w:val="none"/>
                <w:u w:val="none"/>
                <w:lang w:eastAsia="zh-CN"/>
                <w14:ligatures w14:val="standardContextual"/>
              </w:rPr>
              <w:t>)</w:t>
            </w:r>
          </w:p>
        </w:tc>
        <w:tc>
          <w:tcPr>
            <w:tcW w:w="2649" w:type="dxa"/>
            <w:gridSpan w:val="2"/>
            <w:noWrap/>
            <w:vAlign w:val="center"/>
          </w:tcPr>
          <w:p w14:paraId="6E520237">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eastAsia" w:ascii="Times New Roman" w:hAnsi="Times New Roman" w:eastAsia="仿宋_GB2312" w:cs="Times New Roman"/>
                <w:b/>
                <w:bCs/>
                <w:color w:val="auto"/>
                <w:sz w:val="21"/>
                <w:szCs w:val="21"/>
                <w:highlight w:val="none"/>
                <w:u w:val="none"/>
                <w:lang w:eastAsia="zh-CN"/>
                <w14:ligatures w14:val="standardContextual"/>
              </w:rPr>
            </w:pPr>
            <w:r>
              <w:rPr>
                <w:rFonts w:hint="default" w:ascii="Times New Roman" w:hAnsi="Times New Roman" w:eastAsia="仿宋_GB2312" w:cs="Times New Roman"/>
                <w:b/>
                <w:bCs/>
                <w:color w:val="auto"/>
                <w:sz w:val="21"/>
                <w:szCs w:val="21"/>
                <w:highlight w:val="none"/>
                <w:u w:val="none"/>
                <w14:ligatures w14:val="standardContextual"/>
              </w:rPr>
              <w:t>规划目标年（2035年</w:t>
            </w:r>
            <w:r>
              <w:rPr>
                <w:rFonts w:hint="eastAsia" w:ascii="Times New Roman" w:hAnsi="Times New Roman" w:cs="Times New Roman"/>
                <w:b/>
                <w:bCs/>
                <w:color w:val="auto"/>
                <w:sz w:val="21"/>
                <w:szCs w:val="21"/>
                <w:highlight w:val="none"/>
                <w:u w:val="none"/>
                <w:lang w:eastAsia="zh-CN"/>
                <w14:ligatures w14:val="standardContextual"/>
              </w:rPr>
              <w:t>)</w:t>
            </w:r>
          </w:p>
        </w:tc>
      </w:tr>
      <w:tr w14:paraId="681A8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46" w:type="dxa"/>
            <w:vMerge w:val="continue"/>
            <w:vAlign w:val="center"/>
          </w:tcPr>
          <w:p w14:paraId="4CB6BEF7">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b/>
                <w:bCs/>
                <w:color w:val="auto"/>
                <w:sz w:val="21"/>
                <w:szCs w:val="21"/>
                <w:highlight w:val="none"/>
                <w:u w:val="none"/>
                <w14:ligatures w14:val="standardContextual"/>
              </w:rPr>
            </w:pPr>
          </w:p>
        </w:tc>
        <w:tc>
          <w:tcPr>
            <w:tcW w:w="2561" w:type="dxa"/>
            <w:vMerge w:val="continue"/>
            <w:noWrap/>
            <w:vAlign w:val="center"/>
          </w:tcPr>
          <w:p w14:paraId="63DEB721">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eastAsia="仿宋_GB2312" w:cs="Times New Roman"/>
                <w:b/>
                <w:bCs/>
                <w:color w:val="auto"/>
                <w:sz w:val="21"/>
                <w:szCs w:val="21"/>
                <w:highlight w:val="none"/>
                <w:u w:val="none"/>
                <w14:ligatures w14:val="standardContextual"/>
              </w:rPr>
            </w:pPr>
          </w:p>
        </w:tc>
        <w:tc>
          <w:tcPr>
            <w:tcW w:w="1324" w:type="dxa"/>
            <w:noWrap/>
            <w:vAlign w:val="center"/>
          </w:tcPr>
          <w:p w14:paraId="10C8AEA7">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sz w:val="21"/>
                <w:szCs w:val="21"/>
                <w:highlight w:val="none"/>
                <w:u w:val="none"/>
                <w14:ligatures w14:val="standardContextual"/>
              </w:rPr>
            </w:pPr>
            <w:r>
              <w:rPr>
                <w:rFonts w:hint="default" w:ascii="Times New Roman" w:hAnsi="Times New Roman" w:eastAsia="仿宋_GB2312" w:cs="Times New Roman"/>
                <w:b/>
                <w:bCs/>
                <w:color w:val="auto"/>
                <w:sz w:val="21"/>
                <w:szCs w:val="21"/>
                <w:highlight w:val="none"/>
                <w:u w:val="none"/>
                <w14:ligatures w14:val="standardContextual"/>
              </w:rPr>
              <w:t>面积</w:t>
            </w:r>
          </w:p>
        </w:tc>
        <w:tc>
          <w:tcPr>
            <w:tcW w:w="1324" w:type="dxa"/>
            <w:noWrap/>
            <w:vAlign w:val="center"/>
          </w:tcPr>
          <w:p w14:paraId="1A541015">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sz w:val="21"/>
                <w:szCs w:val="21"/>
                <w:highlight w:val="none"/>
                <w:u w:val="none"/>
                <w14:ligatures w14:val="standardContextual"/>
              </w:rPr>
            </w:pPr>
            <w:r>
              <w:rPr>
                <w:rFonts w:hint="default" w:ascii="Times New Roman" w:hAnsi="Times New Roman" w:eastAsia="仿宋_GB2312" w:cs="Times New Roman"/>
                <w:b/>
                <w:bCs/>
                <w:color w:val="auto"/>
                <w:sz w:val="21"/>
                <w:szCs w:val="21"/>
                <w:highlight w:val="none"/>
                <w:u w:val="none"/>
                <w14:ligatures w14:val="standardContextual"/>
              </w:rPr>
              <w:t>比重</w:t>
            </w:r>
          </w:p>
        </w:tc>
        <w:tc>
          <w:tcPr>
            <w:tcW w:w="1324" w:type="dxa"/>
            <w:noWrap/>
            <w:vAlign w:val="center"/>
          </w:tcPr>
          <w:p w14:paraId="28B0E5C9">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sz w:val="21"/>
                <w:szCs w:val="21"/>
                <w:highlight w:val="none"/>
                <w:u w:val="none"/>
                <w14:ligatures w14:val="standardContextual"/>
              </w:rPr>
            </w:pPr>
            <w:r>
              <w:rPr>
                <w:rFonts w:hint="default" w:ascii="Times New Roman" w:hAnsi="Times New Roman" w:eastAsia="仿宋_GB2312" w:cs="Times New Roman"/>
                <w:b/>
                <w:bCs/>
                <w:color w:val="auto"/>
                <w:sz w:val="21"/>
                <w:szCs w:val="21"/>
                <w:highlight w:val="none"/>
                <w:u w:val="none"/>
                <w14:ligatures w14:val="standardContextual"/>
              </w:rPr>
              <w:t>面积</w:t>
            </w:r>
          </w:p>
        </w:tc>
        <w:tc>
          <w:tcPr>
            <w:tcW w:w="1325" w:type="dxa"/>
            <w:noWrap/>
            <w:vAlign w:val="center"/>
          </w:tcPr>
          <w:p w14:paraId="215EF1FF">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sz w:val="21"/>
                <w:szCs w:val="21"/>
                <w:highlight w:val="none"/>
                <w:u w:val="none"/>
                <w14:ligatures w14:val="standardContextual"/>
              </w:rPr>
            </w:pPr>
            <w:r>
              <w:rPr>
                <w:rFonts w:hint="default" w:ascii="Times New Roman" w:hAnsi="Times New Roman" w:eastAsia="仿宋_GB2312" w:cs="Times New Roman"/>
                <w:b/>
                <w:bCs/>
                <w:color w:val="auto"/>
                <w:sz w:val="21"/>
                <w:szCs w:val="21"/>
                <w:highlight w:val="none"/>
                <w:u w:val="none"/>
                <w14:ligatures w14:val="standardContextual"/>
              </w:rPr>
              <w:t>比重</w:t>
            </w:r>
          </w:p>
        </w:tc>
      </w:tr>
      <w:tr w14:paraId="68F27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46" w:type="dxa"/>
            <w:vAlign w:val="center"/>
          </w:tcPr>
          <w:p w14:paraId="4E027F82">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1"/>
                <w:highlight w:val="none"/>
                <w:u w:val="none"/>
                <w14:ligatures w14:val="standardContextual"/>
              </w:rPr>
            </w:pPr>
            <w:r>
              <w:rPr>
                <w:rFonts w:hint="default" w:ascii="Times New Roman" w:hAnsi="Times New Roman" w:eastAsia="仿宋_GB2312" w:cs="Times New Roman"/>
                <w:color w:val="auto"/>
                <w:sz w:val="21"/>
                <w:szCs w:val="21"/>
                <w:highlight w:val="none"/>
                <w:u w:val="none"/>
                <w14:ligatures w14:val="standardContextual"/>
              </w:rPr>
              <w:t>1</w:t>
            </w:r>
          </w:p>
        </w:tc>
        <w:tc>
          <w:tcPr>
            <w:tcW w:w="2561" w:type="dxa"/>
            <w:noWrap/>
            <w:vAlign w:val="center"/>
          </w:tcPr>
          <w:p w14:paraId="695DA904">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1"/>
                <w:highlight w:val="none"/>
                <w:u w:val="none"/>
                <w14:ligatures w14:val="standardContextual"/>
              </w:rPr>
            </w:pPr>
            <w:r>
              <w:rPr>
                <w:rFonts w:hint="default" w:ascii="Times New Roman" w:hAnsi="Times New Roman" w:eastAsia="仿宋_GB2312" w:cs="Times New Roman"/>
                <w:color w:val="auto"/>
                <w:sz w:val="21"/>
                <w:szCs w:val="21"/>
                <w:highlight w:val="none"/>
                <w:u w:val="none"/>
                <w14:ligatures w14:val="standardContextual"/>
              </w:rPr>
              <w:t>耕地</w:t>
            </w:r>
          </w:p>
        </w:tc>
        <w:tc>
          <w:tcPr>
            <w:tcW w:w="1324" w:type="dxa"/>
            <w:noWrap/>
            <w:vAlign w:val="bottom"/>
          </w:tcPr>
          <w:p w14:paraId="0EFDF0C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4.60</w:t>
            </w:r>
          </w:p>
        </w:tc>
        <w:tc>
          <w:tcPr>
            <w:tcW w:w="1324" w:type="dxa"/>
            <w:noWrap/>
            <w:vAlign w:val="bottom"/>
          </w:tcPr>
          <w:p w14:paraId="175444E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6.97</w:t>
            </w:r>
          </w:p>
        </w:tc>
        <w:tc>
          <w:tcPr>
            <w:tcW w:w="1324" w:type="dxa"/>
            <w:noWrap/>
            <w:vAlign w:val="bottom"/>
          </w:tcPr>
          <w:p w14:paraId="4788686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0.00</w:t>
            </w:r>
          </w:p>
        </w:tc>
        <w:tc>
          <w:tcPr>
            <w:tcW w:w="1325" w:type="dxa"/>
            <w:noWrap/>
            <w:vAlign w:val="bottom"/>
          </w:tcPr>
          <w:p w14:paraId="4E53786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0.00</w:t>
            </w:r>
          </w:p>
        </w:tc>
      </w:tr>
      <w:tr w14:paraId="0BEDA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46" w:type="dxa"/>
            <w:vAlign w:val="center"/>
          </w:tcPr>
          <w:p w14:paraId="1AF888E2">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1"/>
                <w:highlight w:val="none"/>
                <w:u w:val="none"/>
                <w14:ligatures w14:val="standardContextual"/>
              </w:rPr>
            </w:pPr>
            <w:r>
              <w:rPr>
                <w:rFonts w:hint="default" w:ascii="Times New Roman" w:hAnsi="Times New Roman" w:eastAsia="仿宋_GB2312" w:cs="Times New Roman"/>
                <w:color w:val="auto"/>
                <w:sz w:val="21"/>
                <w:szCs w:val="21"/>
                <w:highlight w:val="none"/>
                <w:u w:val="none"/>
                <w14:ligatures w14:val="standardContextual"/>
              </w:rPr>
              <w:t>2</w:t>
            </w:r>
          </w:p>
        </w:tc>
        <w:tc>
          <w:tcPr>
            <w:tcW w:w="2561" w:type="dxa"/>
            <w:noWrap/>
            <w:vAlign w:val="center"/>
          </w:tcPr>
          <w:p w14:paraId="6A8F2EA1">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1"/>
                <w:highlight w:val="none"/>
                <w:u w:val="none"/>
                <w14:ligatures w14:val="standardContextual"/>
              </w:rPr>
            </w:pPr>
            <w:r>
              <w:rPr>
                <w:rFonts w:hint="default" w:ascii="Times New Roman" w:hAnsi="Times New Roman" w:eastAsia="仿宋_GB2312" w:cs="Times New Roman"/>
                <w:color w:val="auto"/>
                <w:sz w:val="21"/>
                <w:szCs w:val="21"/>
                <w:highlight w:val="none"/>
                <w:u w:val="none"/>
                <w14:ligatures w14:val="standardContextual"/>
              </w:rPr>
              <w:t>林地</w:t>
            </w:r>
          </w:p>
        </w:tc>
        <w:tc>
          <w:tcPr>
            <w:tcW w:w="1324" w:type="dxa"/>
            <w:noWrap/>
            <w:vAlign w:val="bottom"/>
          </w:tcPr>
          <w:p w14:paraId="15437C5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0.05</w:t>
            </w:r>
          </w:p>
        </w:tc>
        <w:tc>
          <w:tcPr>
            <w:tcW w:w="1324" w:type="dxa"/>
            <w:noWrap/>
            <w:vAlign w:val="bottom"/>
          </w:tcPr>
          <w:p w14:paraId="5002252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0.07</w:t>
            </w:r>
          </w:p>
        </w:tc>
        <w:tc>
          <w:tcPr>
            <w:tcW w:w="1324" w:type="dxa"/>
            <w:noWrap/>
            <w:vAlign w:val="bottom"/>
          </w:tcPr>
          <w:p w14:paraId="15C86A1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0.00</w:t>
            </w:r>
          </w:p>
        </w:tc>
        <w:tc>
          <w:tcPr>
            <w:tcW w:w="1325" w:type="dxa"/>
            <w:noWrap/>
            <w:vAlign w:val="bottom"/>
          </w:tcPr>
          <w:p w14:paraId="28BBC8E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0.00</w:t>
            </w:r>
          </w:p>
        </w:tc>
      </w:tr>
      <w:tr w14:paraId="4443B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46" w:type="dxa"/>
            <w:vAlign w:val="center"/>
          </w:tcPr>
          <w:p w14:paraId="5839BB82">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1"/>
                <w:highlight w:val="none"/>
                <w:u w:val="none"/>
                <w:lang w:eastAsia="zh-CN"/>
                <w14:ligatures w14:val="standardContextual"/>
              </w:rPr>
            </w:pPr>
            <w:r>
              <w:rPr>
                <w:rFonts w:hint="eastAsia" w:ascii="Times New Roman" w:hAnsi="Times New Roman" w:cs="Times New Roman"/>
                <w:color w:val="auto"/>
                <w:sz w:val="21"/>
                <w:szCs w:val="21"/>
                <w:highlight w:val="none"/>
                <w:u w:val="none"/>
                <w:lang w:val="en-US" w:eastAsia="zh-CN"/>
                <w14:ligatures w14:val="standardContextual"/>
              </w:rPr>
              <w:t>3</w:t>
            </w:r>
          </w:p>
        </w:tc>
        <w:tc>
          <w:tcPr>
            <w:tcW w:w="2561" w:type="dxa"/>
            <w:noWrap/>
            <w:vAlign w:val="center"/>
          </w:tcPr>
          <w:p w14:paraId="04BC75F8">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1"/>
                <w:highlight w:val="none"/>
                <w:u w:val="none"/>
                <w14:ligatures w14:val="standardContextual"/>
              </w:rPr>
            </w:pPr>
            <w:r>
              <w:rPr>
                <w:rFonts w:hint="default" w:ascii="Times New Roman" w:hAnsi="Times New Roman" w:eastAsia="仿宋_GB2312" w:cs="Times New Roman"/>
                <w:color w:val="auto"/>
                <w:sz w:val="21"/>
                <w:szCs w:val="21"/>
                <w:highlight w:val="none"/>
                <w:u w:val="none"/>
                <w14:ligatures w14:val="standardContextual"/>
              </w:rPr>
              <w:t>农业设施建设用地</w:t>
            </w:r>
          </w:p>
        </w:tc>
        <w:tc>
          <w:tcPr>
            <w:tcW w:w="1324" w:type="dxa"/>
            <w:noWrap/>
            <w:vAlign w:val="bottom"/>
          </w:tcPr>
          <w:p w14:paraId="7B20EA3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0.10</w:t>
            </w:r>
          </w:p>
        </w:tc>
        <w:tc>
          <w:tcPr>
            <w:tcW w:w="1324" w:type="dxa"/>
            <w:noWrap/>
            <w:vAlign w:val="bottom"/>
          </w:tcPr>
          <w:p w14:paraId="613C04F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0.15</w:t>
            </w:r>
          </w:p>
        </w:tc>
        <w:tc>
          <w:tcPr>
            <w:tcW w:w="1324" w:type="dxa"/>
            <w:noWrap/>
            <w:vAlign w:val="bottom"/>
          </w:tcPr>
          <w:p w14:paraId="30885E5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0.00</w:t>
            </w:r>
          </w:p>
        </w:tc>
        <w:tc>
          <w:tcPr>
            <w:tcW w:w="1325" w:type="dxa"/>
            <w:noWrap/>
            <w:vAlign w:val="bottom"/>
          </w:tcPr>
          <w:p w14:paraId="0EDC238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0.00</w:t>
            </w:r>
          </w:p>
        </w:tc>
      </w:tr>
      <w:tr w14:paraId="0CAD6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46" w:type="dxa"/>
            <w:vAlign w:val="center"/>
          </w:tcPr>
          <w:p w14:paraId="0A7736C1">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1"/>
                <w:highlight w:val="none"/>
                <w:u w:val="none"/>
                <w:lang w:eastAsia="zh-CN"/>
                <w14:ligatures w14:val="standardContextual"/>
              </w:rPr>
            </w:pPr>
            <w:r>
              <w:rPr>
                <w:rFonts w:hint="eastAsia" w:ascii="Times New Roman" w:hAnsi="Times New Roman" w:cs="Times New Roman"/>
                <w:color w:val="auto"/>
                <w:sz w:val="21"/>
                <w:szCs w:val="21"/>
                <w:highlight w:val="none"/>
                <w:u w:val="none"/>
                <w:lang w:val="en-US" w:eastAsia="zh-CN"/>
                <w14:ligatures w14:val="standardContextual"/>
              </w:rPr>
              <w:t>4</w:t>
            </w:r>
          </w:p>
        </w:tc>
        <w:tc>
          <w:tcPr>
            <w:tcW w:w="2561" w:type="dxa"/>
            <w:noWrap/>
            <w:vAlign w:val="center"/>
          </w:tcPr>
          <w:p w14:paraId="18173592">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1"/>
                <w:highlight w:val="none"/>
                <w:u w:val="none"/>
                <w14:ligatures w14:val="standardContextual"/>
              </w:rPr>
            </w:pPr>
            <w:r>
              <w:rPr>
                <w:rFonts w:hint="default" w:ascii="Times New Roman" w:hAnsi="Times New Roman" w:eastAsia="仿宋_GB2312" w:cs="Times New Roman"/>
                <w:color w:val="auto"/>
                <w:sz w:val="21"/>
                <w:szCs w:val="21"/>
                <w:highlight w:val="none"/>
                <w:u w:val="none"/>
                <w14:ligatures w14:val="standardContextual"/>
              </w:rPr>
              <w:t>居住用地</w:t>
            </w:r>
          </w:p>
        </w:tc>
        <w:tc>
          <w:tcPr>
            <w:tcW w:w="1324" w:type="dxa"/>
            <w:noWrap/>
            <w:vAlign w:val="bottom"/>
          </w:tcPr>
          <w:p w14:paraId="1E53199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34.01</w:t>
            </w:r>
          </w:p>
        </w:tc>
        <w:tc>
          <w:tcPr>
            <w:tcW w:w="1324" w:type="dxa"/>
            <w:noWrap/>
            <w:vAlign w:val="bottom"/>
          </w:tcPr>
          <w:p w14:paraId="3F9C31B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51.49</w:t>
            </w:r>
          </w:p>
        </w:tc>
        <w:tc>
          <w:tcPr>
            <w:tcW w:w="1324" w:type="dxa"/>
            <w:noWrap/>
            <w:vAlign w:val="bottom"/>
          </w:tcPr>
          <w:p w14:paraId="563CD5B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36.07</w:t>
            </w:r>
          </w:p>
        </w:tc>
        <w:tc>
          <w:tcPr>
            <w:tcW w:w="1325" w:type="dxa"/>
            <w:noWrap/>
            <w:vAlign w:val="bottom"/>
          </w:tcPr>
          <w:p w14:paraId="3A5C5A2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54.61</w:t>
            </w:r>
          </w:p>
        </w:tc>
      </w:tr>
      <w:tr w14:paraId="1F4A0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46" w:type="dxa"/>
            <w:vAlign w:val="center"/>
          </w:tcPr>
          <w:p w14:paraId="0222B4DC">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1"/>
                <w:highlight w:val="none"/>
                <w:u w:val="none"/>
                <w:lang w:eastAsia="zh-CN"/>
                <w14:ligatures w14:val="standardContextual"/>
              </w:rPr>
            </w:pPr>
            <w:r>
              <w:rPr>
                <w:rFonts w:hint="eastAsia" w:ascii="Times New Roman" w:hAnsi="Times New Roman" w:cs="Times New Roman"/>
                <w:color w:val="auto"/>
                <w:sz w:val="21"/>
                <w:szCs w:val="21"/>
                <w:highlight w:val="none"/>
                <w:u w:val="none"/>
                <w:lang w:val="en-US" w:eastAsia="zh-CN"/>
                <w14:ligatures w14:val="standardContextual"/>
              </w:rPr>
              <w:t>5</w:t>
            </w:r>
          </w:p>
        </w:tc>
        <w:tc>
          <w:tcPr>
            <w:tcW w:w="2561" w:type="dxa"/>
            <w:noWrap/>
            <w:vAlign w:val="center"/>
          </w:tcPr>
          <w:p w14:paraId="20BE9326">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1"/>
                <w:highlight w:val="none"/>
                <w:u w:val="none"/>
                <w14:ligatures w14:val="standardContextual"/>
              </w:rPr>
            </w:pPr>
            <w:r>
              <w:rPr>
                <w:rFonts w:hint="default" w:ascii="Times New Roman" w:hAnsi="Times New Roman" w:eastAsia="仿宋_GB2312" w:cs="Times New Roman"/>
                <w:color w:val="auto"/>
                <w:sz w:val="21"/>
                <w:szCs w:val="21"/>
                <w:highlight w:val="none"/>
                <w:u w:val="none"/>
                <w14:ligatures w14:val="standardContextual"/>
              </w:rPr>
              <w:t>公共管理与公共服务用地</w:t>
            </w:r>
          </w:p>
        </w:tc>
        <w:tc>
          <w:tcPr>
            <w:tcW w:w="1324" w:type="dxa"/>
            <w:noWrap/>
            <w:vAlign w:val="bottom"/>
          </w:tcPr>
          <w:p w14:paraId="378EDF1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4.16</w:t>
            </w:r>
          </w:p>
        </w:tc>
        <w:tc>
          <w:tcPr>
            <w:tcW w:w="1324" w:type="dxa"/>
            <w:noWrap/>
            <w:vAlign w:val="bottom"/>
          </w:tcPr>
          <w:p w14:paraId="5133485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6.30</w:t>
            </w:r>
          </w:p>
        </w:tc>
        <w:tc>
          <w:tcPr>
            <w:tcW w:w="1324" w:type="dxa"/>
            <w:noWrap/>
            <w:vAlign w:val="bottom"/>
          </w:tcPr>
          <w:p w14:paraId="548F705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4.26</w:t>
            </w:r>
          </w:p>
        </w:tc>
        <w:tc>
          <w:tcPr>
            <w:tcW w:w="1325" w:type="dxa"/>
            <w:noWrap/>
            <w:vAlign w:val="bottom"/>
          </w:tcPr>
          <w:p w14:paraId="4517557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6.45</w:t>
            </w:r>
          </w:p>
        </w:tc>
      </w:tr>
      <w:tr w14:paraId="4A028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46" w:type="dxa"/>
            <w:vAlign w:val="center"/>
          </w:tcPr>
          <w:p w14:paraId="0671ABBB">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1"/>
                <w:highlight w:val="none"/>
                <w:u w:val="none"/>
                <w:lang w:eastAsia="zh-CN"/>
                <w14:ligatures w14:val="standardContextual"/>
              </w:rPr>
            </w:pPr>
            <w:r>
              <w:rPr>
                <w:rFonts w:hint="eastAsia" w:ascii="Times New Roman" w:hAnsi="Times New Roman" w:cs="Times New Roman"/>
                <w:color w:val="auto"/>
                <w:sz w:val="21"/>
                <w:szCs w:val="21"/>
                <w:highlight w:val="none"/>
                <w:u w:val="none"/>
                <w:lang w:val="en-US" w:eastAsia="zh-CN"/>
                <w14:ligatures w14:val="standardContextual"/>
              </w:rPr>
              <w:t>6</w:t>
            </w:r>
          </w:p>
        </w:tc>
        <w:tc>
          <w:tcPr>
            <w:tcW w:w="2561" w:type="dxa"/>
            <w:noWrap/>
            <w:vAlign w:val="center"/>
          </w:tcPr>
          <w:p w14:paraId="65D0A168">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1"/>
                <w:highlight w:val="none"/>
                <w:u w:val="none"/>
                <w14:ligatures w14:val="standardContextual"/>
              </w:rPr>
            </w:pPr>
            <w:r>
              <w:rPr>
                <w:rFonts w:hint="default" w:ascii="Times New Roman" w:hAnsi="Times New Roman" w:eastAsia="仿宋_GB2312" w:cs="Times New Roman"/>
                <w:color w:val="auto"/>
                <w:sz w:val="21"/>
                <w:szCs w:val="21"/>
                <w:highlight w:val="none"/>
                <w:u w:val="none"/>
                <w14:ligatures w14:val="standardContextual"/>
              </w:rPr>
              <w:t>商业服务业用地</w:t>
            </w:r>
          </w:p>
        </w:tc>
        <w:tc>
          <w:tcPr>
            <w:tcW w:w="1324" w:type="dxa"/>
            <w:noWrap/>
            <w:vAlign w:val="bottom"/>
          </w:tcPr>
          <w:p w14:paraId="4C32309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0.81</w:t>
            </w:r>
          </w:p>
        </w:tc>
        <w:tc>
          <w:tcPr>
            <w:tcW w:w="1324" w:type="dxa"/>
            <w:noWrap/>
            <w:vAlign w:val="bottom"/>
          </w:tcPr>
          <w:p w14:paraId="04C8BE0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1.23</w:t>
            </w:r>
          </w:p>
        </w:tc>
        <w:tc>
          <w:tcPr>
            <w:tcW w:w="1324" w:type="dxa"/>
            <w:noWrap/>
            <w:vAlign w:val="bottom"/>
          </w:tcPr>
          <w:p w14:paraId="606F159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3.30</w:t>
            </w:r>
          </w:p>
        </w:tc>
        <w:tc>
          <w:tcPr>
            <w:tcW w:w="1325" w:type="dxa"/>
            <w:noWrap/>
            <w:vAlign w:val="bottom"/>
          </w:tcPr>
          <w:p w14:paraId="3A9DD1C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5.00</w:t>
            </w:r>
          </w:p>
        </w:tc>
      </w:tr>
      <w:tr w14:paraId="0587F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46" w:type="dxa"/>
            <w:vAlign w:val="center"/>
          </w:tcPr>
          <w:p w14:paraId="1E47B3A5">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1"/>
                <w:highlight w:val="none"/>
                <w:u w:val="none"/>
                <w:lang w:eastAsia="zh-CN"/>
                <w14:ligatures w14:val="standardContextual"/>
              </w:rPr>
            </w:pPr>
            <w:r>
              <w:rPr>
                <w:rFonts w:hint="eastAsia" w:ascii="Times New Roman" w:hAnsi="Times New Roman" w:cs="Times New Roman"/>
                <w:color w:val="auto"/>
                <w:sz w:val="21"/>
                <w:szCs w:val="21"/>
                <w:highlight w:val="none"/>
                <w:u w:val="none"/>
                <w:lang w:val="en-US" w:eastAsia="zh-CN"/>
                <w14:ligatures w14:val="standardContextual"/>
              </w:rPr>
              <w:t>7</w:t>
            </w:r>
          </w:p>
        </w:tc>
        <w:tc>
          <w:tcPr>
            <w:tcW w:w="2561" w:type="dxa"/>
            <w:noWrap/>
            <w:vAlign w:val="center"/>
          </w:tcPr>
          <w:p w14:paraId="528A4B2F">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1"/>
                <w:highlight w:val="none"/>
                <w:u w:val="none"/>
                <w14:ligatures w14:val="standardContextual"/>
              </w:rPr>
            </w:pPr>
            <w:r>
              <w:rPr>
                <w:rFonts w:hint="default" w:ascii="Times New Roman" w:hAnsi="Times New Roman" w:eastAsia="仿宋_GB2312" w:cs="Times New Roman"/>
                <w:color w:val="auto"/>
                <w:sz w:val="21"/>
                <w:szCs w:val="21"/>
                <w:highlight w:val="none"/>
                <w:u w:val="none"/>
                <w14:ligatures w14:val="standardContextual"/>
              </w:rPr>
              <w:t>公用设施用地</w:t>
            </w:r>
          </w:p>
        </w:tc>
        <w:tc>
          <w:tcPr>
            <w:tcW w:w="1324" w:type="dxa"/>
            <w:noWrap/>
            <w:vAlign w:val="bottom"/>
          </w:tcPr>
          <w:p w14:paraId="09E429D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0.20</w:t>
            </w:r>
          </w:p>
        </w:tc>
        <w:tc>
          <w:tcPr>
            <w:tcW w:w="1324" w:type="dxa"/>
            <w:noWrap/>
            <w:vAlign w:val="bottom"/>
          </w:tcPr>
          <w:p w14:paraId="035D274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0.30</w:t>
            </w:r>
          </w:p>
        </w:tc>
        <w:tc>
          <w:tcPr>
            <w:tcW w:w="1324" w:type="dxa"/>
            <w:noWrap/>
            <w:vAlign w:val="bottom"/>
          </w:tcPr>
          <w:p w14:paraId="6F9D57D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0.20</w:t>
            </w:r>
          </w:p>
        </w:tc>
        <w:tc>
          <w:tcPr>
            <w:tcW w:w="1325" w:type="dxa"/>
            <w:noWrap/>
            <w:vAlign w:val="bottom"/>
          </w:tcPr>
          <w:p w14:paraId="1ABB7E4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0.30</w:t>
            </w:r>
          </w:p>
        </w:tc>
      </w:tr>
      <w:tr w14:paraId="56C04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46" w:type="dxa"/>
            <w:vAlign w:val="center"/>
          </w:tcPr>
          <w:p w14:paraId="2E3A918E">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1"/>
                <w:highlight w:val="none"/>
                <w:u w:val="none"/>
                <w:lang w:val="en-US" w:eastAsia="zh-CN"/>
                <w14:ligatures w14:val="standardContextual"/>
              </w:rPr>
            </w:pPr>
            <w:r>
              <w:rPr>
                <w:rFonts w:hint="eastAsia" w:ascii="Times New Roman" w:hAnsi="Times New Roman" w:cs="Times New Roman"/>
                <w:color w:val="auto"/>
                <w:sz w:val="21"/>
                <w:szCs w:val="21"/>
                <w:highlight w:val="none"/>
                <w:u w:val="none"/>
                <w:lang w:val="en-US" w:eastAsia="zh-CN"/>
                <w14:ligatures w14:val="standardContextual"/>
              </w:rPr>
              <w:t>8</w:t>
            </w:r>
          </w:p>
        </w:tc>
        <w:tc>
          <w:tcPr>
            <w:tcW w:w="2561" w:type="dxa"/>
            <w:noWrap/>
            <w:vAlign w:val="center"/>
          </w:tcPr>
          <w:p w14:paraId="1DF903E4">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1"/>
                <w:highlight w:val="none"/>
                <w:u w:val="none"/>
                <w14:ligatures w14:val="standardContextual"/>
              </w:rPr>
            </w:pPr>
            <w:r>
              <w:rPr>
                <w:rFonts w:hint="default" w:ascii="Times New Roman" w:hAnsi="Times New Roman" w:eastAsia="仿宋_GB2312" w:cs="Times New Roman"/>
                <w:color w:val="auto"/>
                <w:sz w:val="21"/>
                <w:szCs w:val="21"/>
                <w:highlight w:val="none"/>
                <w:u w:val="none"/>
                <w14:ligatures w14:val="standardContextual"/>
              </w:rPr>
              <w:t>绿地与开敞空间用地</w:t>
            </w:r>
          </w:p>
        </w:tc>
        <w:tc>
          <w:tcPr>
            <w:tcW w:w="1324" w:type="dxa"/>
            <w:noWrap/>
            <w:vAlign w:val="bottom"/>
          </w:tcPr>
          <w:p w14:paraId="1B42B43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0.52</w:t>
            </w:r>
          </w:p>
        </w:tc>
        <w:tc>
          <w:tcPr>
            <w:tcW w:w="1324" w:type="dxa"/>
            <w:noWrap/>
            <w:vAlign w:val="bottom"/>
          </w:tcPr>
          <w:p w14:paraId="7F8C8DB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0.78</w:t>
            </w:r>
          </w:p>
        </w:tc>
        <w:tc>
          <w:tcPr>
            <w:tcW w:w="1324" w:type="dxa"/>
            <w:noWrap/>
            <w:vAlign w:val="bottom"/>
          </w:tcPr>
          <w:p w14:paraId="4AF3703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0.52</w:t>
            </w:r>
          </w:p>
        </w:tc>
        <w:tc>
          <w:tcPr>
            <w:tcW w:w="1325" w:type="dxa"/>
            <w:noWrap/>
            <w:vAlign w:val="bottom"/>
          </w:tcPr>
          <w:p w14:paraId="2A68D0A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0.78</w:t>
            </w:r>
          </w:p>
        </w:tc>
      </w:tr>
      <w:tr w14:paraId="0D38F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46" w:type="dxa"/>
            <w:vAlign w:val="center"/>
          </w:tcPr>
          <w:p w14:paraId="296518FB">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eastAsia" w:ascii="Times New Roman" w:hAnsi="Times New Roman" w:eastAsia="仿宋_GB2312" w:cs="Times New Roman"/>
                <w:color w:val="auto"/>
                <w:sz w:val="21"/>
                <w:szCs w:val="21"/>
                <w:highlight w:val="none"/>
                <w:u w:val="none"/>
                <w:lang w:eastAsia="zh-CN"/>
                <w14:ligatures w14:val="standardContextual"/>
              </w:rPr>
            </w:pPr>
            <w:r>
              <w:rPr>
                <w:rFonts w:hint="eastAsia" w:ascii="Times New Roman" w:hAnsi="Times New Roman" w:cs="Times New Roman"/>
                <w:color w:val="auto"/>
                <w:sz w:val="21"/>
                <w:szCs w:val="21"/>
                <w:highlight w:val="none"/>
                <w:u w:val="none"/>
                <w:lang w:val="en-US" w:eastAsia="zh-CN"/>
                <w14:ligatures w14:val="standardContextual"/>
              </w:rPr>
              <w:t>9</w:t>
            </w:r>
          </w:p>
        </w:tc>
        <w:tc>
          <w:tcPr>
            <w:tcW w:w="2561" w:type="dxa"/>
            <w:noWrap/>
            <w:vAlign w:val="center"/>
          </w:tcPr>
          <w:p w14:paraId="3F498A04">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1"/>
                <w:highlight w:val="none"/>
                <w:u w:val="none"/>
                <w14:ligatures w14:val="standardContextual"/>
              </w:rPr>
            </w:pPr>
            <w:r>
              <w:rPr>
                <w:rFonts w:hint="default" w:ascii="Times New Roman" w:hAnsi="Times New Roman" w:eastAsia="仿宋_GB2312" w:cs="Times New Roman"/>
                <w:color w:val="auto"/>
                <w:sz w:val="21"/>
                <w:szCs w:val="21"/>
                <w:highlight w:val="none"/>
                <w:u w:val="none"/>
                <w14:ligatures w14:val="standardContextual"/>
              </w:rPr>
              <w:t>工矿用地</w:t>
            </w:r>
          </w:p>
        </w:tc>
        <w:tc>
          <w:tcPr>
            <w:tcW w:w="1324" w:type="dxa"/>
            <w:noWrap/>
            <w:vAlign w:val="bottom"/>
          </w:tcPr>
          <w:p w14:paraId="3324410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3.70</w:t>
            </w:r>
          </w:p>
        </w:tc>
        <w:tc>
          <w:tcPr>
            <w:tcW w:w="1324" w:type="dxa"/>
            <w:noWrap/>
            <w:vAlign w:val="bottom"/>
          </w:tcPr>
          <w:p w14:paraId="1438DCB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5.60</w:t>
            </w:r>
          </w:p>
        </w:tc>
        <w:tc>
          <w:tcPr>
            <w:tcW w:w="1324" w:type="dxa"/>
            <w:noWrap/>
            <w:vAlign w:val="bottom"/>
          </w:tcPr>
          <w:p w14:paraId="428B1F4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3.63</w:t>
            </w:r>
          </w:p>
        </w:tc>
        <w:tc>
          <w:tcPr>
            <w:tcW w:w="1325" w:type="dxa"/>
            <w:noWrap/>
            <w:vAlign w:val="bottom"/>
          </w:tcPr>
          <w:p w14:paraId="15AD42F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5.50</w:t>
            </w:r>
          </w:p>
        </w:tc>
      </w:tr>
      <w:tr w14:paraId="5C6CF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46" w:type="dxa"/>
            <w:vAlign w:val="center"/>
          </w:tcPr>
          <w:p w14:paraId="0C44000E">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1"/>
                <w:highlight w:val="none"/>
                <w:u w:val="none"/>
                <w:lang w:eastAsia="zh-CN"/>
                <w14:ligatures w14:val="standardContextual"/>
              </w:rPr>
            </w:pPr>
            <w:r>
              <w:rPr>
                <w:rFonts w:hint="default" w:ascii="Times New Roman" w:hAnsi="Times New Roman" w:eastAsia="仿宋_GB2312" w:cs="Times New Roman"/>
                <w:color w:val="auto"/>
                <w:sz w:val="21"/>
                <w:szCs w:val="21"/>
                <w:highlight w:val="none"/>
                <w:u w:val="none"/>
                <w14:ligatures w14:val="standardContextual"/>
              </w:rPr>
              <w:t>1</w:t>
            </w:r>
            <w:r>
              <w:rPr>
                <w:rFonts w:hint="eastAsia" w:ascii="Times New Roman" w:hAnsi="Times New Roman" w:cs="Times New Roman"/>
                <w:color w:val="auto"/>
                <w:sz w:val="21"/>
                <w:szCs w:val="21"/>
                <w:highlight w:val="none"/>
                <w:u w:val="none"/>
                <w:lang w:val="en-US" w:eastAsia="zh-CN"/>
                <w14:ligatures w14:val="standardContextual"/>
              </w:rPr>
              <w:t>0</w:t>
            </w:r>
          </w:p>
        </w:tc>
        <w:tc>
          <w:tcPr>
            <w:tcW w:w="2561" w:type="dxa"/>
            <w:noWrap/>
            <w:vAlign w:val="center"/>
          </w:tcPr>
          <w:p w14:paraId="5ECEF39A">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1"/>
                <w:highlight w:val="none"/>
                <w:u w:val="none"/>
                <w14:ligatures w14:val="standardContextual"/>
              </w:rPr>
            </w:pPr>
            <w:r>
              <w:rPr>
                <w:rFonts w:hint="default" w:ascii="Times New Roman" w:hAnsi="Times New Roman" w:eastAsia="仿宋_GB2312" w:cs="Times New Roman"/>
                <w:color w:val="auto"/>
                <w:sz w:val="21"/>
                <w:szCs w:val="21"/>
                <w:highlight w:val="none"/>
                <w:u w:val="none"/>
                <w14:ligatures w14:val="standardContextual"/>
              </w:rPr>
              <w:t>交通运输用地</w:t>
            </w:r>
          </w:p>
        </w:tc>
        <w:tc>
          <w:tcPr>
            <w:tcW w:w="1324" w:type="dxa"/>
            <w:noWrap/>
            <w:vAlign w:val="bottom"/>
          </w:tcPr>
          <w:p w14:paraId="68D8C48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17.90</w:t>
            </w:r>
          </w:p>
        </w:tc>
        <w:tc>
          <w:tcPr>
            <w:tcW w:w="1324" w:type="dxa"/>
            <w:noWrap/>
            <w:vAlign w:val="bottom"/>
          </w:tcPr>
          <w:p w14:paraId="6B48227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27.11</w:t>
            </w:r>
          </w:p>
        </w:tc>
        <w:tc>
          <w:tcPr>
            <w:tcW w:w="1324" w:type="dxa"/>
            <w:noWrap/>
            <w:vAlign w:val="bottom"/>
          </w:tcPr>
          <w:p w14:paraId="4906F57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18.07</w:t>
            </w:r>
          </w:p>
        </w:tc>
        <w:tc>
          <w:tcPr>
            <w:tcW w:w="1325" w:type="dxa"/>
            <w:noWrap/>
            <w:vAlign w:val="bottom"/>
          </w:tcPr>
          <w:p w14:paraId="58FF7F5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27.37</w:t>
            </w:r>
          </w:p>
        </w:tc>
      </w:tr>
      <w:tr w14:paraId="68395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07" w:type="dxa"/>
            <w:gridSpan w:val="2"/>
            <w:vAlign w:val="center"/>
          </w:tcPr>
          <w:p w14:paraId="1A6D574A">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color w:val="auto"/>
                <w:sz w:val="21"/>
                <w:szCs w:val="21"/>
                <w:highlight w:val="none"/>
                <w:u w:val="none"/>
                <w14:ligatures w14:val="standardContextual"/>
              </w:rPr>
            </w:pPr>
            <w:r>
              <w:rPr>
                <w:rFonts w:hint="default" w:ascii="Times New Roman" w:hAnsi="Times New Roman" w:eastAsia="仿宋_GB2312" w:cs="Times New Roman"/>
                <w:color w:val="auto"/>
                <w:sz w:val="21"/>
                <w:szCs w:val="21"/>
                <w:highlight w:val="none"/>
                <w:u w:val="none"/>
                <w14:ligatures w14:val="standardContextual"/>
              </w:rPr>
              <w:t>合计</w:t>
            </w:r>
          </w:p>
        </w:tc>
        <w:tc>
          <w:tcPr>
            <w:tcW w:w="1324" w:type="dxa"/>
            <w:noWrap/>
            <w:vAlign w:val="bottom"/>
          </w:tcPr>
          <w:p w14:paraId="55770F3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66.04</w:t>
            </w:r>
          </w:p>
        </w:tc>
        <w:tc>
          <w:tcPr>
            <w:tcW w:w="1324" w:type="dxa"/>
            <w:noWrap/>
            <w:vAlign w:val="bottom"/>
          </w:tcPr>
          <w:p w14:paraId="360D990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100.00</w:t>
            </w:r>
          </w:p>
        </w:tc>
        <w:tc>
          <w:tcPr>
            <w:tcW w:w="1324" w:type="dxa"/>
            <w:noWrap/>
            <w:vAlign w:val="bottom"/>
          </w:tcPr>
          <w:p w14:paraId="03A1061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66.04</w:t>
            </w:r>
          </w:p>
        </w:tc>
        <w:tc>
          <w:tcPr>
            <w:tcW w:w="1325" w:type="dxa"/>
            <w:noWrap/>
            <w:vAlign w:val="bottom"/>
          </w:tcPr>
          <w:p w14:paraId="66BB60B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仿宋_GB2312" w:cs="Times New Roman"/>
                <w:color w:val="auto"/>
                <w:sz w:val="21"/>
                <w:szCs w:val="21"/>
                <w:u w:val="none"/>
                <w:lang w:val="en-US" w:eastAsia="zh-CN"/>
                <w14:ligatures w14:val="standardContextual"/>
              </w:rPr>
            </w:pPr>
            <w:r>
              <w:rPr>
                <w:rFonts w:hint="default" w:ascii="Times New Roman" w:hAnsi="Times New Roman" w:eastAsia="仿宋_GB2312" w:cs="Times New Roman"/>
                <w:color w:val="auto"/>
                <w:sz w:val="21"/>
                <w:szCs w:val="21"/>
                <w:u w:val="none"/>
                <w:lang w:val="en-US" w:eastAsia="zh-CN"/>
                <w14:ligatures w14:val="standardContextual"/>
              </w:rPr>
              <w:t>100.00</w:t>
            </w:r>
          </w:p>
        </w:tc>
      </w:tr>
    </w:tbl>
    <w:p w14:paraId="494CCC64">
      <w:pPr>
        <w:pStyle w:val="3"/>
        <w:bidi w:val="0"/>
        <w:ind w:left="0" w:leftChars="0" w:firstLine="420" w:firstLineChars="0"/>
        <w:rPr>
          <w:rFonts w:hint="eastAsia" w:ascii="黑体" w:hAnsi="黑体" w:eastAsia="黑体" w:cs="黑体"/>
          <w:u w:val="none"/>
          <w:lang w:val="en-US" w:eastAsia="zh-CN"/>
        </w:rPr>
      </w:pPr>
      <w:bookmarkStart w:id="171" w:name="_Toc8142"/>
      <w:bookmarkStart w:id="172" w:name="_Toc32681"/>
      <w:bookmarkStart w:id="173" w:name="_Toc152937210"/>
      <w:bookmarkStart w:id="174" w:name="_Toc133419347"/>
      <w:r>
        <w:rPr>
          <w:rFonts w:hint="eastAsia" w:ascii="黑体" w:hAnsi="黑体" w:eastAsia="黑体" w:cs="黑体"/>
          <w:u w:val="none"/>
          <w:lang w:val="en-US" w:eastAsia="zh-CN"/>
        </w:rPr>
        <w:t>绿地系统和开敞空间</w:t>
      </w:r>
      <w:bookmarkEnd w:id="171"/>
      <w:bookmarkEnd w:id="172"/>
      <w:bookmarkEnd w:id="173"/>
    </w:p>
    <w:p w14:paraId="2249E74E">
      <w:pPr>
        <w:pStyle w:val="4"/>
        <w:bidi w:val="0"/>
        <w:ind w:left="0" w:leftChars="0" w:firstLine="420" w:firstLineChars="0"/>
        <w:rPr>
          <w:rFonts w:hint="eastAsia"/>
          <w:color w:val="auto"/>
          <w:u w:val="none"/>
          <w:lang w:val="en-US" w:eastAsia="zh-CN"/>
        </w:rPr>
      </w:pPr>
      <w:bookmarkStart w:id="175" w:name="_Toc381767"/>
      <w:r>
        <w:rPr>
          <w:rFonts w:hint="eastAsia"/>
          <w:color w:val="auto"/>
          <w:u w:val="none"/>
          <w:lang w:val="en-US" w:eastAsia="zh-CN"/>
        </w:rPr>
        <w:t>绿地系统规划</w:t>
      </w:r>
    </w:p>
    <w:p w14:paraId="083B600D">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结合生态保护的要求，统筹安排公园绿地、防护绿地用地等，构建尺度宜人、富有活力、具有特色的城镇街巷、公园和滨水空间等绿地体系，推进共用共享，提高公共空间利用效率。至规划期末，绿地规模达到0.52公顷，占比0.7</w:t>
      </w:r>
      <w:r>
        <w:rPr>
          <w:rFonts w:hint="eastAsia" w:ascii="Times New Roman" w:eastAsia="仿宋_GB2312"/>
          <w:u w:val="none"/>
          <w:lang w:val="en-US" w:eastAsia="zh-CN"/>
        </w:rPr>
        <w:t>8</w:t>
      </w:r>
      <w:r>
        <w:rPr>
          <w:rFonts w:hint="eastAsia"/>
          <w:u w:val="none"/>
        </w:rPr>
        <w:t>%。</w:t>
      </w:r>
    </w:p>
    <w:p w14:paraId="68E0757D">
      <w:pPr>
        <w:pStyle w:val="4"/>
        <w:bidi w:val="0"/>
        <w:ind w:left="0" w:leftChars="0" w:firstLine="420" w:firstLineChars="0"/>
        <w:rPr>
          <w:rFonts w:hint="eastAsia"/>
          <w:color w:val="auto"/>
          <w:u w:val="none"/>
          <w:lang w:val="en-US" w:eastAsia="zh-CN"/>
        </w:rPr>
      </w:pPr>
      <w:r>
        <w:rPr>
          <w:rFonts w:hint="eastAsia"/>
          <w:color w:val="auto"/>
          <w:u w:val="none"/>
          <w:lang w:val="en-US" w:eastAsia="zh-CN"/>
        </w:rPr>
        <w:t>公园绿地</w:t>
      </w:r>
    </w:p>
    <w:p w14:paraId="0608210B">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规划利用空闲地、边角地规划公园绿地，为城镇居民提供便捷可达、充足友好的游憩休闲空间，并确保与相互干扰的功能区保持防护隔离。</w:t>
      </w:r>
    </w:p>
    <w:p w14:paraId="00E8544E">
      <w:pPr>
        <w:pStyle w:val="4"/>
        <w:bidi w:val="0"/>
        <w:ind w:left="0" w:leftChars="0" w:firstLine="420" w:firstLineChars="0"/>
        <w:rPr>
          <w:rFonts w:hint="eastAsia"/>
          <w:color w:val="auto"/>
          <w:u w:val="none"/>
          <w:lang w:val="en-US" w:eastAsia="zh-CN"/>
        </w:rPr>
      </w:pPr>
      <w:r>
        <w:rPr>
          <w:rFonts w:hint="eastAsia"/>
          <w:color w:val="auto"/>
          <w:u w:val="none"/>
          <w:lang w:val="en-US" w:eastAsia="zh-CN"/>
        </w:rPr>
        <w:t>防护绿地</w:t>
      </w:r>
    </w:p>
    <w:p w14:paraId="6BF6D561">
      <w:pPr>
        <w:keepNext w:val="0"/>
        <w:keepLines w:val="0"/>
        <w:pageBreakBefore w:val="0"/>
        <w:widowControl w:val="0"/>
        <w:kinsoku/>
        <w:overflowPunct/>
        <w:topLinePunct w:val="0"/>
        <w:autoSpaceDE/>
        <w:autoSpaceDN/>
        <w:bidi w:val="0"/>
        <w:spacing w:line="600" w:lineRule="exact"/>
        <w:textAlignment w:val="auto"/>
        <w:rPr>
          <w:u w:val="none"/>
        </w:rPr>
      </w:pPr>
      <w:bookmarkStart w:id="176" w:name="_Hlk131091474"/>
      <w:r>
        <w:rPr>
          <w:rFonts w:hint="eastAsia"/>
          <w:u w:val="none"/>
        </w:rPr>
        <w:t>加强公路沿线、工业区卫生隔离带等防护绿带的控制和建设，构建安全连续的防护绿地空间骨架。利用道路断面特征，在绿化带内和人行道两侧布置乔、灌、草相结合的植被。</w:t>
      </w:r>
      <w:bookmarkEnd w:id="176"/>
    </w:p>
    <w:bookmarkEnd w:id="175"/>
    <w:p w14:paraId="7764C80C">
      <w:pPr>
        <w:pStyle w:val="4"/>
        <w:bidi w:val="0"/>
        <w:ind w:left="0" w:leftChars="0" w:firstLine="420" w:firstLineChars="0"/>
        <w:rPr>
          <w:rFonts w:hint="eastAsia"/>
          <w:color w:val="auto"/>
          <w:u w:val="none"/>
          <w:lang w:val="en-US" w:eastAsia="zh-CN"/>
        </w:rPr>
      </w:pPr>
      <w:r>
        <w:rPr>
          <w:rFonts w:hint="eastAsia"/>
          <w:color w:val="auto"/>
          <w:u w:val="none"/>
          <w:lang w:val="en-US" w:eastAsia="zh-CN"/>
        </w:rPr>
        <w:t>其他绿地</w:t>
      </w:r>
    </w:p>
    <w:p w14:paraId="705B699F">
      <w:pPr>
        <w:keepNext w:val="0"/>
        <w:keepLines w:val="0"/>
        <w:pageBreakBefore w:val="0"/>
        <w:widowControl w:val="0"/>
        <w:kinsoku/>
        <w:overflowPunct/>
        <w:topLinePunct w:val="0"/>
        <w:autoSpaceDE/>
        <w:autoSpaceDN/>
        <w:bidi w:val="0"/>
        <w:spacing w:line="600" w:lineRule="exact"/>
        <w:textAlignment w:val="auto"/>
        <w:rPr>
          <w:u w:val="none"/>
        </w:rPr>
      </w:pPr>
      <w:bookmarkStart w:id="177" w:name="_Hlk129182003"/>
      <w:r>
        <w:rPr>
          <w:rFonts w:hint="eastAsia"/>
          <w:u w:val="none"/>
        </w:rPr>
        <w:t>与居住片区公共活动中心相结合布置居住片区内部绿地。宅旁绿地应满足环境美化与居住区的卫生防护和通风采光等功能要求。加快推进机关、学校、医院和工矿企业、事业单位的庭院绿化全覆盖。市政设施附属绿地应以卫生防护功能为主，同时结合市政设施类型选择绿化方式，打造绿地景观。</w:t>
      </w:r>
    </w:p>
    <w:p w14:paraId="7DEFDCF0">
      <w:pPr>
        <w:pStyle w:val="4"/>
        <w:bidi w:val="0"/>
        <w:ind w:left="0" w:leftChars="0" w:firstLine="420" w:firstLineChars="0"/>
        <w:rPr>
          <w:rFonts w:hint="eastAsia"/>
          <w:color w:val="auto"/>
          <w:u w:val="none"/>
          <w:lang w:val="en-US" w:eastAsia="zh-CN"/>
        </w:rPr>
      </w:pPr>
      <w:r>
        <w:rPr>
          <w:rFonts w:hint="eastAsia"/>
          <w:color w:val="auto"/>
          <w:u w:val="none"/>
          <w:lang w:val="en-US" w:eastAsia="zh-CN"/>
        </w:rPr>
        <w:t>河流水系</w:t>
      </w:r>
    </w:p>
    <w:p w14:paraId="75FBDDD8">
      <w:pPr>
        <w:keepNext w:val="0"/>
        <w:keepLines w:val="0"/>
        <w:pageBreakBefore w:val="0"/>
        <w:widowControl w:val="0"/>
        <w:kinsoku/>
        <w:overflowPunct/>
        <w:topLinePunct w:val="0"/>
        <w:autoSpaceDE/>
        <w:autoSpaceDN/>
        <w:bidi w:val="0"/>
        <w:spacing w:line="600" w:lineRule="exact"/>
        <w:textAlignment w:val="auto"/>
        <w:rPr>
          <w:u w:val="none"/>
        </w:rPr>
      </w:pPr>
      <w:bookmarkStart w:id="178" w:name="_Hlk131412270"/>
      <w:r>
        <w:rPr>
          <w:u w:val="none"/>
        </w:rPr>
        <w:t>严格保护自然河流水系本底，避免</w:t>
      </w:r>
      <w:r>
        <w:rPr>
          <w:rFonts w:hint="eastAsia"/>
          <w:u w:val="none"/>
        </w:rPr>
        <w:t>城镇</w:t>
      </w:r>
      <w:r>
        <w:rPr>
          <w:u w:val="none"/>
        </w:rPr>
        <w:t>建设过程中与水争地、破坏水系现象。保障</w:t>
      </w:r>
      <w:r>
        <w:rPr>
          <w:rFonts w:hint="eastAsia"/>
          <w:u w:val="none"/>
        </w:rPr>
        <w:t>城镇</w:t>
      </w:r>
      <w:r>
        <w:rPr>
          <w:u w:val="none"/>
        </w:rPr>
        <w:t>防洪除涝安全，推进河道综合治理，促进水生态建设，提升</w:t>
      </w:r>
      <w:r>
        <w:rPr>
          <w:rFonts w:hint="eastAsia"/>
          <w:u w:val="none"/>
        </w:rPr>
        <w:t>城镇</w:t>
      </w:r>
      <w:r>
        <w:rPr>
          <w:u w:val="none"/>
        </w:rPr>
        <w:t>涉水景观。滨水岸线规划与道路交通相结合，强化滨水空间的交通可达性。</w:t>
      </w:r>
      <w:bookmarkEnd w:id="178"/>
    </w:p>
    <w:p w14:paraId="4347BC92">
      <w:pPr>
        <w:keepNext w:val="0"/>
        <w:keepLines w:val="0"/>
        <w:pageBreakBefore w:val="0"/>
        <w:widowControl w:val="0"/>
        <w:kinsoku/>
        <w:overflowPunct/>
        <w:topLinePunct w:val="0"/>
        <w:autoSpaceDE/>
        <w:autoSpaceDN/>
        <w:bidi w:val="0"/>
        <w:spacing w:line="600" w:lineRule="exact"/>
        <w:textAlignment w:val="auto"/>
        <w:rPr>
          <w:u w:val="none"/>
        </w:rPr>
      </w:pPr>
    </w:p>
    <w:p w14:paraId="5A7A8EA5">
      <w:pPr>
        <w:pStyle w:val="4"/>
        <w:bidi w:val="0"/>
        <w:ind w:left="0" w:leftChars="0" w:firstLine="420" w:firstLineChars="0"/>
        <w:rPr>
          <w:rFonts w:hint="eastAsia"/>
          <w:color w:val="auto"/>
          <w:u w:val="none"/>
          <w:lang w:val="en-US" w:eastAsia="zh-CN"/>
        </w:rPr>
      </w:pPr>
      <w:r>
        <w:rPr>
          <w:rFonts w:hint="eastAsia"/>
          <w:color w:val="auto"/>
          <w:u w:val="none"/>
          <w:lang w:val="en-US" w:eastAsia="zh-CN"/>
        </w:rPr>
        <w:t>公共开敞空间</w:t>
      </w:r>
    </w:p>
    <w:p w14:paraId="2ABF2E6D">
      <w:pPr>
        <w:keepNext w:val="0"/>
        <w:keepLines w:val="0"/>
        <w:pageBreakBefore w:val="0"/>
        <w:widowControl w:val="0"/>
        <w:kinsoku/>
        <w:overflowPunct/>
        <w:topLinePunct w:val="0"/>
        <w:autoSpaceDE/>
        <w:autoSpaceDN/>
        <w:bidi w:val="0"/>
        <w:spacing w:line="600" w:lineRule="exact"/>
        <w:textAlignment w:val="auto"/>
        <w:rPr>
          <w:rFonts w:hint="eastAsia"/>
          <w:u w:val="none"/>
        </w:rPr>
      </w:pPr>
      <w:bookmarkStart w:id="179" w:name="_Hlk131091622"/>
      <w:r>
        <w:rPr>
          <w:rFonts w:hint="eastAsia"/>
          <w:u w:val="none"/>
        </w:rPr>
        <w:t>构建多层次、多类型的开放空间体系，强化公共空间的贯通性与网络化，为居民提供舒适、便捷、无障碍的休闲活动场所。规划古城镇建立以沿河休闲景观带为骨架，微绿地为补充的公共开敞空间体系，实现空间的有效整合与优化配置，提升公共空间的环境品质与服务功能，</w:t>
      </w:r>
      <w:r>
        <w:rPr>
          <w:u w:val="none"/>
        </w:rPr>
        <w:t>加强无障碍设施、休息座椅、智慧信息服务配套设施配置，</w:t>
      </w:r>
      <w:r>
        <w:rPr>
          <w:rFonts w:hint="eastAsia"/>
          <w:u w:val="none"/>
        </w:rPr>
        <w:t>为居民、游客创造更加宜居的城镇环境。</w:t>
      </w:r>
    </w:p>
    <w:p w14:paraId="2633E82C">
      <w:pPr>
        <w:pStyle w:val="6"/>
        <w:bidi w:val="0"/>
        <w:rPr>
          <w:rFonts w:hint="eastAsia"/>
          <w:lang w:eastAsia="zh-CN"/>
        </w:rPr>
      </w:pPr>
      <w:r>
        <w:rPr>
          <w:rFonts w:hint="eastAsia"/>
          <w:lang w:eastAsia="zh-CN"/>
        </w:rPr>
        <w:drawing>
          <wp:inline distT="0" distB="0" distL="114300" distR="114300">
            <wp:extent cx="5441315" cy="3850005"/>
            <wp:effectExtent l="0" t="0" r="6985" b="17145"/>
            <wp:docPr id="24" name="图片 24" descr="210522106古城镇35城镇开发边界范围绿地系统和开敞空间规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210522106古城镇35城镇开发边界范围绿地系统和开敞空间规划图"/>
                    <pic:cNvPicPr>
                      <a:picLocks noChangeAspect="1"/>
                    </pic:cNvPicPr>
                  </pic:nvPicPr>
                  <pic:blipFill>
                    <a:blip r:embed="rId31"/>
                    <a:stretch>
                      <a:fillRect/>
                    </a:stretch>
                  </pic:blipFill>
                  <pic:spPr>
                    <a:xfrm>
                      <a:off x="0" y="0"/>
                      <a:ext cx="5441315" cy="3850005"/>
                    </a:xfrm>
                    <a:prstGeom prst="rect">
                      <a:avLst/>
                    </a:prstGeom>
                  </pic:spPr>
                </pic:pic>
              </a:graphicData>
            </a:graphic>
          </wp:inline>
        </w:drawing>
      </w:r>
    </w:p>
    <w:p w14:paraId="0364E750">
      <w:pPr>
        <w:pStyle w:val="3"/>
        <w:bidi w:val="0"/>
        <w:ind w:left="0" w:leftChars="0" w:firstLine="420" w:firstLineChars="0"/>
        <w:rPr>
          <w:rFonts w:hint="eastAsia" w:ascii="黑体" w:hAnsi="黑体" w:eastAsia="黑体" w:cs="黑体"/>
          <w:u w:val="none"/>
          <w:lang w:val="en-US" w:eastAsia="zh-CN"/>
        </w:rPr>
      </w:pPr>
      <w:bookmarkStart w:id="180" w:name="_Toc21180"/>
      <w:bookmarkStart w:id="181" w:name="_Toc6046"/>
      <w:r>
        <w:rPr>
          <w:rFonts w:hint="eastAsia" w:ascii="黑体" w:hAnsi="黑体" w:eastAsia="黑体" w:cs="黑体"/>
          <w:u w:val="none"/>
          <w:lang w:val="en-US" w:eastAsia="zh-CN"/>
        </w:rPr>
        <w:t>景观风貌塑造</w:t>
      </w:r>
      <w:bookmarkEnd w:id="180"/>
      <w:bookmarkEnd w:id="181"/>
    </w:p>
    <w:p w14:paraId="510AA820">
      <w:pPr>
        <w:pStyle w:val="4"/>
        <w:bidi w:val="0"/>
        <w:ind w:left="0" w:leftChars="0" w:firstLine="420" w:firstLineChars="0"/>
        <w:rPr>
          <w:rFonts w:hint="eastAsia"/>
          <w:color w:val="auto"/>
          <w:u w:val="none"/>
          <w:lang w:val="en-US" w:eastAsia="zh-CN"/>
        </w:rPr>
      </w:pPr>
      <w:r>
        <w:rPr>
          <w:rFonts w:hint="eastAsia"/>
          <w:color w:val="auto"/>
          <w:u w:val="none"/>
          <w:lang w:val="en-US" w:eastAsia="zh-CN"/>
        </w:rPr>
        <w:t>景观风貌控制及引导</w:t>
      </w:r>
    </w:p>
    <w:p w14:paraId="20E0B915">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规划以周边农田、山体、河流等生态环境为背景，结合用地布局形成宜居生活风貌区和现代工业风貌区。其中宜居生活风貌区以构建生态宜居典范为目标，延续现状城镇空间尺度与肌理，强化秩序感。现代工业风貌区突出现代工业园区形象，形成简洁、高效的片区印象。</w:t>
      </w:r>
    </w:p>
    <w:p w14:paraId="68290BDB">
      <w:pPr>
        <w:pStyle w:val="4"/>
        <w:bidi w:val="0"/>
        <w:ind w:left="0" w:leftChars="0" w:firstLine="420" w:firstLineChars="0"/>
        <w:rPr>
          <w:rFonts w:hint="eastAsia"/>
          <w:color w:val="auto"/>
          <w:u w:val="none"/>
          <w:lang w:val="en-US" w:eastAsia="zh-CN"/>
        </w:rPr>
      </w:pPr>
      <w:r>
        <w:rPr>
          <w:rFonts w:hint="eastAsia"/>
          <w:color w:val="auto"/>
          <w:u w:val="none"/>
          <w:lang w:val="en-US" w:eastAsia="zh-CN"/>
        </w:rPr>
        <w:t>建筑控制引导</w:t>
      </w:r>
    </w:p>
    <w:p w14:paraId="09B8B75D">
      <w:pPr>
        <w:keepNext w:val="0"/>
        <w:keepLines w:val="0"/>
        <w:pageBreakBefore w:val="0"/>
        <w:widowControl w:val="0"/>
        <w:kinsoku/>
        <w:overflowPunct/>
        <w:topLinePunct w:val="0"/>
        <w:autoSpaceDE/>
        <w:autoSpaceDN/>
        <w:bidi w:val="0"/>
        <w:spacing w:line="600" w:lineRule="exact"/>
        <w:textAlignment w:val="auto"/>
        <w:rPr>
          <w:color w:val="2E75B6" w:themeColor="accent5" w:themeShade="BF"/>
          <w:u w:val="none"/>
        </w:rPr>
      </w:pPr>
      <w:r>
        <w:rPr>
          <w:rFonts w:hint="eastAsia"/>
          <w:u w:val="none"/>
        </w:rPr>
        <w:t>对闲置建筑进行内部改造，植入新功能，对新建建筑色彩、风格、高度、材料等进行指引，选择适合地域特色的暖色调，保证新老建筑风格统一；结合房屋改造工程，并对违法建筑进行清除，对沿路建筑立面进行优化提升。建筑色彩结合不同地段的使用功能和景观要求进行综合设计，其中公共建筑色彩可相对活泼，体现其在城镇中的景观地位。</w:t>
      </w:r>
    </w:p>
    <w:p w14:paraId="0E5F265B">
      <w:pPr>
        <w:pStyle w:val="4"/>
        <w:bidi w:val="0"/>
        <w:ind w:left="0" w:leftChars="0" w:firstLine="420" w:firstLineChars="0"/>
        <w:rPr>
          <w:rFonts w:hint="eastAsia"/>
          <w:color w:val="auto"/>
          <w:u w:val="none"/>
          <w:lang w:val="en-US" w:eastAsia="zh-CN"/>
        </w:rPr>
      </w:pPr>
      <w:r>
        <w:rPr>
          <w:rFonts w:hint="eastAsia"/>
          <w:color w:val="auto"/>
          <w:u w:val="none"/>
          <w:lang w:val="en-US" w:eastAsia="zh-CN"/>
        </w:rPr>
        <w:t>街区界面引导</w:t>
      </w:r>
    </w:p>
    <w:p w14:paraId="734F340B">
      <w:pPr>
        <w:keepNext w:val="0"/>
        <w:keepLines w:val="0"/>
        <w:pageBreakBefore w:val="0"/>
        <w:widowControl w:val="0"/>
        <w:kinsoku/>
        <w:overflowPunct/>
        <w:topLinePunct w:val="0"/>
        <w:autoSpaceDE/>
        <w:autoSpaceDN/>
        <w:bidi w:val="0"/>
        <w:spacing w:line="600" w:lineRule="exact"/>
        <w:textAlignment w:val="auto"/>
        <w:rPr>
          <w:rFonts w:hint="eastAsia"/>
          <w:u w:val="none"/>
        </w:rPr>
      </w:pPr>
      <w:r>
        <w:rPr>
          <w:rFonts w:hint="eastAsia"/>
          <w:u w:val="none"/>
        </w:rPr>
        <w:t>规划控制新府路商业临街界面，优化街区环境品质，置换底商功能业态，同时对街区广告牌，景观小品等作风格规范，保证街区界面整洁有序。鼓励商家使用具有照明效果的灯箱广告，结合街区路灯等照明设施，创造夜间的良好氛围。</w:t>
      </w:r>
    </w:p>
    <w:p w14:paraId="1FAFA4F0">
      <w:pPr>
        <w:pStyle w:val="6"/>
        <w:bidi w:val="0"/>
        <w:rPr>
          <w:rFonts w:hint="eastAsia"/>
          <w:lang w:eastAsia="zh-CN"/>
        </w:rPr>
      </w:pPr>
      <w:r>
        <w:rPr>
          <w:rFonts w:hint="eastAsia"/>
          <w:lang w:eastAsia="zh-CN"/>
        </w:rPr>
        <w:drawing>
          <wp:inline distT="0" distB="0" distL="114300" distR="114300">
            <wp:extent cx="5441315" cy="3850005"/>
            <wp:effectExtent l="0" t="0" r="6985" b="17145"/>
            <wp:docPr id="22" name="图片 22" descr="210522106古城镇33城镇开发边界范围开发强度分区规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210522106古城镇33城镇开发边界范围开发强度分区规划图"/>
                    <pic:cNvPicPr>
                      <a:picLocks noChangeAspect="1"/>
                    </pic:cNvPicPr>
                  </pic:nvPicPr>
                  <pic:blipFill>
                    <a:blip r:embed="rId32"/>
                    <a:stretch>
                      <a:fillRect/>
                    </a:stretch>
                  </pic:blipFill>
                  <pic:spPr>
                    <a:xfrm>
                      <a:off x="0" y="0"/>
                      <a:ext cx="5441315" cy="3850005"/>
                    </a:xfrm>
                    <a:prstGeom prst="rect">
                      <a:avLst/>
                    </a:prstGeom>
                  </pic:spPr>
                </pic:pic>
              </a:graphicData>
            </a:graphic>
          </wp:inline>
        </w:drawing>
      </w:r>
    </w:p>
    <w:bookmarkEnd w:id="174"/>
    <w:bookmarkEnd w:id="177"/>
    <w:bookmarkEnd w:id="179"/>
    <w:p w14:paraId="408C72AC">
      <w:pPr>
        <w:pStyle w:val="3"/>
        <w:bidi w:val="0"/>
        <w:ind w:left="0" w:leftChars="0" w:firstLine="420" w:firstLineChars="0"/>
        <w:rPr>
          <w:rFonts w:hint="eastAsia" w:ascii="黑体" w:hAnsi="黑体" w:eastAsia="黑体" w:cs="黑体"/>
          <w:u w:val="none"/>
          <w:lang w:val="en-US" w:eastAsia="zh-CN"/>
        </w:rPr>
      </w:pPr>
      <w:bookmarkStart w:id="182" w:name="_Toc152937211"/>
      <w:bookmarkStart w:id="183" w:name="_Toc1084"/>
      <w:bookmarkStart w:id="184" w:name="_Toc8790"/>
      <w:r>
        <w:rPr>
          <w:rFonts w:hint="eastAsia" w:ascii="黑体" w:hAnsi="黑体" w:eastAsia="黑体" w:cs="黑体"/>
          <w:u w:val="none"/>
          <w:lang w:val="en-US" w:eastAsia="zh-CN"/>
        </w:rPr>
        <w:t>住房保障</w:t>
      </w:r>
      <w:bookmarkEnd w:id="182"/>
      <w:bookmarkEnd w:id="183"/>
      <w:bookmarkEnd w:id="184"/>
    </w:p>
    <w:p w14:paraId="671800E1">
      <w:pPr>
        <w:pStyle w:val="4"/>
        <w:bidi w:val="0"/>
        <w:ind w:left="0" w:leftChars="0" w:firstLine="420" w:firstLineChars="0"/>
        <w:rPr>
          <w:rFonts w:hint="eastAsia"/>
          <w:color w:val="auto"/>
          <w:u w:val="none"/>
          <w:lang w:val="en-US" w:eastAsia="zh-CN"/>
        </w:rPr>
      </w:pPr>
      <w:r>
        <w:rPr>
          <w:rFonts w:hint="eastAsia"/>
          <w:color w:val="auto"/>
          <w:u w:val="none"/>
          <w:lang w:val="en-US" w:eastAsia="zh-CN"/>
        </w:rPr>
        <w:t>居住用地规模和布局</w:t>
      </w:r>
    </w:p>
    <w:p w14:paraId="1EE6B41F">
      <w:pPr>
        <w:keepNext w:val="0"/>
        <w:keepLines w:val="0"/>
        <w:pageBreakBefore w:val="0"/>
        <w:widowControl w:val="0"/>
        <w:kinsoku/>
        <w:overflowPunct/>
        <w:topLinePunct w:val="0"/>
        <w:autoSpaceDE/>
        <w:autoSpaceDN/>
        <w:bidi w:val="0"/>
        <w:spacing w:line="600" w:lineRule="exact"/>
        <w:textAlignment w:val="auto"/>
        <w:rPr>
          <w:u w:val="none"/>
        </w:rPr>
      </w:pPr>
      <w:bookmarkStart w:id="185" w:name="_Hlk133418041"/>
      <w:r>
        <w:rPr>
          <w:rFonts w:hint="eastAsia"/>
          <w:u w:val="none"/>
        </w:rPr>
        <w:t>合理确定居住用地的规模和布局，加强旧居住片区更新改造，完善生活配套设施，改善人居环境，逐步推进新居住片区建设，有序增加新居住用地。</w:t>
      </w:r>
      <w:r>
        <w:rPr>
          <w:u w:val="none"/>
        </w:rPr>
        <w:t>至规划</w:t>
      </w:r>
      <w:r>
        <w:rPr>
          <w:rFonts w:hint="eastAsia"/>
          <w:u w:val="none"/>
        </w:rPr>
        <w:t>期末</w:t>
      </w:r>
      <w:r>
        <w:rPr>
          <w:u w:val="none"/>
        </w:rPr>
        <w:t>，</w:t>
      </w:r>
      <w:r>
        <w:rPr>
          <w:rFonts w:hint="eastAsia"/>
          <w:u w:val="none"/>
        </w:rPr>
        <w:t>居住用地</w:t>
      </w:r>
      <w:r>
        <w:rPr>
          <w:u w:val="none"/>
        </w:rPr>
        <w:t>面积约</w:t>
      </w:r>
      <w:r>
        <w:rPr>
          <w:rFonts w:hint="eastAsia" w:ascii="Times New Roman" w:eastAsia="仿宋_GB2312"/>
          <w:u w:val="none"/>
          <w:lang w:val="en-US" w:eastAsia="zh-CN"/>
        </w:rPr>
        <w:t>36.07</w:t>
      </w:r>
      <w:r>
        <w:rPr>
          <w:u w:val="none"/>
        </w:rPr>
        <w:t>公顷</w:t>
      </w:r>
      <w:r>
        <w:rPr>
          <w:rFonts w:hint="eastAsia"/>
          <w:u w:val="none"/>
        </w:rPr>
        <w:t>，占城镇建设用地的比重为</w:t>
      </w:r>
      <w:r>
        <w:rPr>
          <w:rFonts w:hint="eastAsia" w:ascii="Times New Roman" w:eastAsia="仿宋_GB2312"/>
          <w:u w:val="none"/>
          <w:lang w:val="en-US" w:eastAsia="zh-CN"/>
        </w:rPr>
        <w:t>54.61</w:t>
      </w:r>
      <w:r>
        <w:rPr>
          <w:rFonts w:hint="eastAsia"/>
          <w:u w:val="none"/>
        </w:rPr>
        <w:t>%。</w:t>
      </w:r>
      <w:bookmarkEnd w:id="185"/>
    </w:p>
    <w:p w14:paraId="1398D0D2">
      <w:pPr>
        <w:pStyle w:val="4"/>
        <w:bidi w:val="0"/>
        <w:ind w:left="0" w:leftChars="0" w:firstLine="420" w:firstLineChars="0"/>
        <w:rPr>
          <w:rFonts w:hint="eastAsia"/>
          <w:color w:val="auto"/>
          <w:u w:val="none"/>
          <w:lang w:val="en-US" w:eastAsia="zh-CN"/>
        </w:rPr>
      </w:pPr>
      <w:r>
        <w:rPr>
          <w:rFonts w:hint="eastAsia"/>
          <w:color w:val="auto"/>
          <w:u w:val="none"/>
          <w:lang w:val="en-US" w:eastAsia="zh-CN"/>
        </w:rPr>
        <w:t>住房保障建设</w:t>
      </w:r>
    </w:p>
    <w:p w14:paraId="688FCDAC">
      <w:pPr>
        <w:keepNext w:val="0"/>
        <w:keepLines w:val="0"/>
        <w:pageBreakBefore w:val="0"/>
        <w:widowControl w:val="0"/>
        <w:kinsoku/>
        <w:overflowPunct/>
        <w:topLinePunct w:val="0"/>
        <w:autoSpaceDE/>
        <w:autoSpaceDN/>
        <w:bidi w:val="0"/>
        <w:spacing w:line="600" w:lineRule="exact"/>
        <w:textAlignment w:val="auto"/>
        <w:rPr>
          <w:color w:val="2E75B6" w:themeColor="accent5" w:themeShade="BF"/>
          <w:u w:val="none"/>
        </w:rPr>
      </w:pPr>
      <w:bookmarkStart w:id="186" w:name="_Hlk131090464"/>
      <w:bookmarkStart w:id="187" w:name="_Hlk129180793"/>
      <w:r>
        <w:rPr>
          <w:rFonts w:hint="eastAsia"/>
          <w:u w:val="none"/>
        </w:rPr>
        <w:t>构建多主体供给、多渠道保障、租购并举的住房供应和保障体系。积极盘活存量资源，鼓励购买、改造、长期租赁存量商品住房，利用和改造剩余安置住房、棚改腾空房屋、闲置厂房、商业办公用房等，作为保障性住房房源。加强公租房供给，满足外来务工技术人员及高学历人才住房需求</w:t>
      </w:r>
      <w:bookmarkEnd w:id="186"/>
      <w:bookmarkEnd w:id="187"/>
      <w:bookmarkStart w:id="188" w:name="_Hlk131412016"/>
      <w:r>
        <w:rPr>
          <w:rFonts w:hint="eastAsia"/>
          <w:u w:val="none"/>
        </w:rPr>
        <w:t>。</w:t>
      </w:r>
      <w:bookmarkEnd w:id="188"/>
      <w:r>
        <w:rPr>
          <w:rFonts w:hint="eastAsia"/>
          <w:u w:val="none"/>
        </w:rPr>
        <w:t>逐步推进老旧小区改造和棚户区改造工程建设。近期满足镇中心区村民宅基地新建、改扩建需求。</w:t>
      </w:r>
    </w:p>
    <w:p w14:paraId="6FD220F7">
      <w:pPr>
        <w:pStyle w:val="3"/>
        <w:bidi w:val="0"/>
        <w:ind w:left="0" w:leftChars="0" w:firstLine="420" w:firstLineChars="0"/>
        <w:rPr>
          <w:rFonts w:hint="eastAsia" w:ascii="黑体" w:hAnsi="黑体" w:eastAsia="黑体" w:cs="黑体"/>
          <w:u w:val="none"/>
          <w:lang w:val="en-US" w:eastAsia="zh-CN"/>
        </w:rPr>
      </w:pPr>
      <w:bookmarkStart w:id="189" w:name="_Toc22754"/>
      <w:bookmarkStart w:id="190" w:name="_Toc20358"/>
      <w:r>
        <w:rPr>
          <w:rFonts w:hint="eastAsia" w:ascii="黑体" w:hAnsi="黑体" w:eastAsia="黑体" w:cs="黑体"/>
          <w:u w:val="none"/>
          <w:lang w:val="en-US" w:eastAsia="zh-CN"/>
        </w:rPr>
        <w:t>城镇更新</w:t>
      </w:r>
      <w:bookmarkEnd w:id="189"/>
      <w:bookmarkEnd w:id="190"/>
    </w:p>
    <w:p w14:paraId="6B4789A1">
      <w:pPr>
        <w:pStyle w:val="4"/>
        <w:bidi w:val="0"/>
        <w:ind w:left="0" w:leftChars="0" w:firstLine="420" w:firstLineChars="0"/>
        <w:rPr>
          <w:rFonts w:hint="eastAsia"/>
          <w:color w:val="auto"/>
          <w:u w:val="none"/>
          <w:lang w:val="en-US" w:eastAsia="zh-CN"/>
        </w:rPr>
      </w:pPr>
      <w:bookmarkStart w:id="191" w:name="_Toc133419348"/>
      <w:r>
        <w:rPr>
          <w:rFonts w:hint="eastAsia"/>
          <w:color w:val="auto"/>
          <w:u w:val="none"/>
          <w:lang w:val="en-US" w:eastAsia="zh-CN"/>
        </w:rPr>
        <w:t>城镇更新目标</w:t>
      </w:r>
    </w:p>
    <w:p w14:paraId="3277E6E4">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以盘活存量为重点，因地制宜推进实施城镇更新行动，补齐镇中心区发展短板，完善镇中心区设施配置，</w:t>
      </w:r>
      <w:r>
        <w:rPr>
          <w:u w:val="none"/>
        </w:rPr>
        <w:t>以保护历史文化、保障产业发展、旧区焕发新活力、完善公共服务等为目标，</w:t>
      </w:r>
      <w:r>
        <w:rPr>
          <w:rFonts w:hint="eastAsia"/>
          <w:u w:val="none"/>
        </w:rPr>
        <w:t>打造宜居宜业的现代化城镇。</w:t>
      </w:r>
    </w:p>
    <w:p w14:paraId="3CE186FB">
      <w:pPr>
        <w:pStyle w:val="4"/>
        <w:bidi w:val="0"/>
        <w:ind w:left="0" w:leftChars="0" w:firstLine="420" w:firstLineChars="0"/>
        <w:rPr>
          <w:rFonts w:hint="eastAsia"/>
          <w:color w:val="auto"/>
          <w:u w:val="none"/>
          <w:lang w:val="en-US" w:eastAsia="zh-CN"/>
        </w:rPr>
      </w:pPr>
      <w:r>
        <w:rPr>
          <w:rFonts w:hint="eastAsia"/>
          <w:color w:val="auto"/>
          <w:u w:val="none"/>
          <w:lang w:val="en-US" w:eastAsia="zh-CN"/>
        </w:rPr>
        <w:t>城镇更新片区划分</w:t>
      </w:r>
    </w:p>
    <w:p w14:paraId="33040FF8">
      <w:pPr>
        <w:keepNext w:val="0"/>
        <w:keepLines w:val="0"/>
        <w:pageBreakBefore w:val="0"/>
        <w:widowControl w:val="0"/>
        <w:kinsoku/>
        <w:overflowPunct/>
        <w:topLinePunct w:val="0"/>
        <w:autoSpaceDE/>
        <w:autoSpaceDN/>
        <w:bidi w:val="0"/>
        <w:spacing w:line="600" w:lineRule="exact"/>
        <w:textAlignment w:val="auto"/>
        <w:rPr>
          <w:u w:val="none"/>
        </w:rPr>
      </w:pPr>
      <w:r>
        <w:rPr>
          <w:u w:val="none"/>
        </w:rPr>
        <w:t>结合城镇空间、农业空间、生态空间及历史文化要素管控要求，综合考虑城</w:t>
      </w:r>
      <w:r>
        <w:rPr>
          <w:rFonts w:hint="eastAsia"/>
          <w:u w:val="none"/>
        </w:rPr>
        <w:t>镇</w:t>
      </w:r>
      <w:r>
        <w:rPr>
          <w:u w:val="none"/>
        </w:rPr>
        <w:t>物质形态、配套设施、基础支撑能力、生态环境等基础条件，划定</w:t>
      </w:r>
      <w:r>
        <w:rPr>
          <w:rFonts w:hint="eastAsia"/>
          <w:u w:val="none"/>
        </w:rPr>
        <w:t>城</w:t>
      </w:r>
      <w:r>
        <w:rPr>
          <w:u w:val="none"/>
        </w:rPr>
        <w:t>镇更新重点范围。针对</w:t>
      </w:r>
      <w:r>
        <w:rPr>
          <w:rFonts w:hint="eastAsia"/>
          <w:u w:val="none"/>
        </w:rPr>
        <w:t>镇中心区</w:t>
      </w:r>
      <w:r>
        <w:rPr>
          <w:u w:val="none"/>
        </w:rPr>
        <w:t>设施老化，增量空间不足、绿地缺失，着力解决发展中的突出问题，规划将更新对象分为老旧住区、低效工业仓储区、景观设施更新、拆旧新建组团四类，以</w:t>
      </w:r>
      <w:r>
        <w:rPr>
          <w:rFonts w:hint="eastAsia"/>
          <w:u w:val="none"/>
        </w:rPr>
        <w:t>城</w:t>
      </w:r>
      <w:r>
        <w:rPr>
          <w:u w:val="none"/>
        </w:rPr>
        <w:t>镇更新统筹协调城</w:t>
      </w:r>
      <w:r>
        <w:rPr>
          <w:rFonts w:hint="eastAsia"/>
          <w:u w:val="none"/>
        </w:rPr>
        <w:t>镇</w:t>
      </w:r>
      <w:r>
        <w:rPr>
          <w:u w:val="none"/>
        </w:rPr>
        <w:t>存量空间改造，充分发挥存量空间的经济、社会、文化和环境等多方面价值。</w:t>
      </w:r>
    </w:p>
    <w:p w14:paraId="3DE56D31">
      <w:pPr>
        <w:pStyle w:val="4"/>
        <w:bidi w:val="0"/>
        <w:ind w:left="0" w:leftChars="0" w:firstLine="420" w:firstLineChars="0"/>
        <w:rPr>
          <w:rFonts w:hint="eastAsia"/>
          <w:color w:val="auto"/>
          <w:u w:val="none"/>
          <w:lang w:val="en-US" w:eastAsia="zh-CN"/>
        </w:rPr>
      </w:pPr>
      <w:r>
        <w:rPr>
          <w:rFonts w:hint="eastAsia"/>
          <w:color w:val="auto"/>
          <w:u w:val="none"/>
          <w:lang w:val="en-US" w:eastAsia="zh-CN"/>
        </w:rPr>
        <w:t>城镇更新重要举措</w:t>
      </w:r>
    </w:p>
    <w:p w14:paraId="259AD14F">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推</w:t>
      </w:r>
      <w:bookmarkStart w:id="192" w:name="_Hlk131095094"/>
      <w:r>
        <w:rPr>
          <w:rFonts w:hint="eastAsia"/>
          <w:u w:val="none"/>
        </w:rPr>
        <w:t>进低效建设用地开发再利用，加快空间形态和功能的城市化转变。提质盘活老旧住区等低效建设用地。盘活镇中心区内现状部分闲置商业、工业等用房，优化功能布局，营造商业氛围，促使重新焕发活力。推进工业用地集约利用，盘活处置闲置和低效用地，缓解产业用地供需矛盾。以滨水空间更新改造为脉络，因地制宜开展见缝插绿、留白增绿，打造城镇优质蓝绿空间，推动城镇空间扩容、提质、升级。</w:t>
      </w:r>
      <w:bookmarkEnd w:id="192"/>
    </w:p>
    <w:p w14:paraId="3F5C9BBE">
      <w:pPr>
        <w:pStyle w:val="4"/>
        <w:bidi w:val="0"/>
        <w:ind w:left="0" w:leftChars="0" w:firstLine="420" w:firstLineChars="0"/>
        <w:rPr>
          <w:rFonts w:hint="eastAsia"/>
          <w:color w:val="auto"/>
          <w:u w:val="none"/>
          <w:lang w:val="en-US" w:eastAsia="zh-CN"/>
        </w:rPr>
      </w:pPr>
      <w:r>
        <w:rPr>
          <w:rFonts w:hint="eastAsia"/>
          <w:color w:val="auto"/>
          <w:u w:val="none"/>
          <w:lang w:val="en-US" w:eastAsia="zh-CN"/>
        </w:rPr>
        <w:t>城镇更新分类指引</w:t>
      </w:r>
    </w:p>
    <w:p w14:paraId="5ECF8BE8">
      <w:pPr>
        <w:keepNext w:val="0"/>
        <w:keepLines w:val="0"/>
        <w:pageBreakBefore w:val="0"/>
        <w:widowControl w:val="0"/>
        <w:kinsoku/>
        <w:overflowPunct/>
        <w:topLinePunct w:val="0"/>
        <w:autoSpaceDE/>
        <w:autoSpaceDN/>
        <w:bidi w:val="0"/>
        <w:spacing w:line="600" w:lineRule="exact"/>
        <w:jc w:val="left"/>
        <w:textAlignment w:val="auto"/>
        <w:rPr>
          <w:rFonts w:hint="eastAsia" w:ascii="仿宋_GB2312" w:hAnsi="仿宋_GB2312"/>
          <w:szCs w:val="24"/>
          <w:u w:val="none"/>
        </w:rPr>
      </w:pPr>
      <w:r>
        <w:rPr>
          <w:rFonts w:hint="eastAsia" w:ascii="仿宋_GB2312" w:hAnsi="仿宋_GB2312"/>
          <w:szCs w:val="24"/>
          <w:u w:val="none"/>
        </w:rPr>
        <w:t>老旧住区改造。实施老旧住区综合整治改造，根据居民意愿补充便民商业、养老服务等公共服务设施；利用空地、拆违腾退用地等增加停车位，或设置机械式停车设施等便民设施。</w:t>
      </w:r>
    </w:p>
    <w:p w14:paraId="5B3732D9">
      <w:pPr>
        <w:keepNext w:val="0"/>
        <w:keepLines w:val="0"/>
        <w:pageBreakBefore w:val="0"/>
        <w:widowControl w:val="0"/>
        <w:kinsoku/>
        <w:overflowPunct/>
        <w:topLinePunct w:val="0"/>
        <w:autoSpaceDE/>
        <w:autoSpaceDN/>
        <w:bidi w:val="0"/>
        <w:spacing w:line="600" w:lineRule="exact"/>
        <w:jc w:val="left"/>
        <w:textAlignment w:val="auto"/>
        <w:rPr>
          <w:rFonts w:hint="eastAsia" w:ascii="仿宋_GB2312" w:hAnsi="仿宋_GB2312"/>
          <w:szCs w:val="24"/>
          <w:u w:val="none"/>
        </w:rPr>
      </w:pPr>
      <w:r>
        <w:rPr>
          <w:rFonts w:hint="eastAsia" w:ascii="仿宋_GB2312" w:hAnsi="仿宋_GB2312"/>
          <w:szCs w:val="24"/>
          <w:u w:val="none"/>
        </w:rPr>
        <w:t>危旧房屋改建。对相关部门认定的危旧房屋，允许通过翻建、改建或适当扩建方式进行改造，具备条件的可适当增加建筑规模，实施成套化改造或增加便民服务设施等。鼓励社会资本参与改造，资金由政府、产权单位、居民、社会机构等多主体筹集。居民异地安置或货币安置后腾退的房屋，可作为租赁房等保障房使用。</w:t>
      </w:r>
    </w:p>
    <w:p w14:paraId="6FA69A6D">
      <w:pPr>
        <w:keepNext w:val="0"/>
        <w:keepLines w:val="0"/>
        <w:pageBreakBefore w:val="0"/>
        <w:widowControl w:val="0"/>
        <w:kinsoku/>
        <w:overflowPunct/>
        <w:topLinePunct w:val="0"/>
        <w:autoSpaceDE/>
        <w:autoSpaceDN/>
        <w:bidi w:val="0"/>
        <w:spacing w:line="600" w:lineRule="exact"/>
        <w:jc w:val="left"/>
        <w:textAlignment w:val="auto"/>
        <w:rPr>
          <w:rFonts w:hint="eastAsia" w:ascii="仿宋_GB2312" w:hAnsi="仿宋_GB2312"/>
          <w:szCs w:val="24"/>
          <w:u w:val="none"/>
        </w:rPr>
      </w:pPr>
      <w:r>
        <w:rPr>
          <w:rFonts w:hint="eastAsia" w:ascii="仿宋_GB2312" w:hAnsi="仿宋_GB2312"/>
          <w:szCs w:val="24"/>
          <w:u w:val="none"/>
        </w:rPr>
        <w:t>老旧厂房改造。鼓励利用老旧厂房发展新型基础设施、现代服务业等新型产业业态；鼓励利用老旧厂房补充公共服务设施。鼓励老工业厂区通过更新改造或用地置换的方式实施规划，增加道路、绿地、广场、应急避难场所等设施。</w:t>
      </w:r>
    </w:p>
    <w:p w14:paraId="657F4181">
      <w:pPr>
        <w:keepNext w:val="0"/>
        <w:keepLines w:val="0"/>
        <w:pageBreakBefore w:val="0"/>
        <w:widowControl w:val="0"/>
        <w:kinsoku/>
        <w:overflowPunct/>
        <w:topLinePunct w:val="0"/>
        <w:autoSpaceDE/>
        <w:autoSpaceDN/>
        <w:bidi w:val="0"/>
        <w:spacing w:line="600" w:lineRule="exact"/>
        <w:jc w:val="left"/>
        <w:textAlignment w:val="auto"/>
        <w:rPr>
          <w:rFonts w:hint="eastAsia" w:ascii="仿宋_GB2312" w:hAnsi="仿宋_GB2312"/>
          <w:szCs w:val="24"/>
          <w:u w:val="none"/>
          <w:lang w:eastAsia="zh-CN"/>
        </w:rPr>
      </w:pPr>
      <w:r>
        <w:rPr>
          <w:rFonts w:hint="eastAsia" w:ascii="仿宋_GB2312" w:hAnsi="仿宋_GB2312"/>
          <w:szCs w:val="24"/>
          <w:u w:val="none"/>
        </w:rPr>
        <w:t>其他类型改造。鼓励对公共空间进行改造提升，完善市政基础设施、公共服务设施、公共安全设施优化</w:t>
      </w:r>
      <w:r>
        <w:rPr>
          <w:rFonts w:hint="eastAsia" w:ascii="仿宋_GB2312" w:hAnsi="仿宋_GB2312"/>
          <w:szCs w:val="24"/>
          <w:u w:val="none"/>
          <w:lang w:eastAsia="zh-CN"/>
        </w:rPr>
        <w:t>。</w:t>
      </w:r>
    </w:p>
    <w:p w14:paraId="05162410">
      <w:pPr>
        <w:keepNext w:val="0"/>
        <w:keepLines w:val="0"/>
        <w:pageBreakBefore w:val="0"/>
        <w:widowControl w:val="0"/>
        <w:kinsoku/>
        <w:overflowPunct/>
        <w:topLinePunct w:val="0"/>
        <w:autoSpaceDE/>
        <w:autoSpaceDN/>
        <w:bidi w:val="0"/>
        <w:spacing w:line="600" w:lineRule="exact"/>
        <w:jc w:val="left"/>
        <w:textAlignment w:val="auto"/>
        <w:rPr>
          <w:rFonts w:hint="eastAsia" w:ascii="仿宋_GB2312" w:hAnsi="仿宋_GB2312"/>
          <w:szCs w:val="24"/>
          <w:u w:val="none"/>
          <w:lang w:eastAsia="zh-CN"/>
        </w:rPr>
      </w:pPr>
    </w:p>
    <w:p w14:paraId="62A166E2">
      <w:pPr>
        <w:pStyle w:val="3"/>
        <w:bidi w:val="0"/>
        <w:ind w:left="0" w:leftChars="0" w:firstLine="420" w:firstLineChars="0"/>
        <w:rPr>
          <w:rFonts w:hint="eastAsia" w:ascii="黑体" w:hAnsi="黑体" w:eastAsia="黑体" w:cs="黑体"/>
          <w:u w:val="none"/>
          <w:lang w:val="en-US" w:eastAsia="zh-CN"/>
        </w:rPr>
      </w:pPr>
      <w:bookmarkStart w:id="193" w:name="_Toc28280"/>
      <w:bookmarkStart w:id="194" w:name="_Toc27029"/>
      <w:bookmarkStart w:id="195" w:name="_Hlk129183451"/>
      <w:r>
        <w:rPr>
          <w:rFonts w:hint="eastAsia" w:ascii="黑体" w:hAnsi="黑体" w:eastAsia="黑体" w:cs="黑体"/>
          <w:u w:val="none"/>
          <w:lang w:val="en-US" w:eastAsia="zh-CN"/>
        </w:rPr>
        <w:t>公共服务设施</w:t>
      </w:r>
      <w:bookmarkEnd w:id="193"/>
      <w:bookmarkEnd w:id="194"/>
    </w:p>
    <w:p w14:paraId="64F4E376">
      <w:pPr>
        <w:pStyle w:val="4"/>
        <w:bidi w:val="0"/>
        <w:ind w:left="0" w:leftChars="0" w:firstLine="420" w:firstLineChars="0"/>
        <w:rPr>
          <w:rFonts w:hint="eastAsia"/>
          <w:color w:val="auto"/>
          <w:u w:val="none"/>
          <w:lang w:val="en-US" w:eastAsia="zh-CN"/>
        </w:rPr>
      </w:pPr>
      <w:r>
        <w:rPr>
          <w:rFonts w:hint="eastAsia"/>
          <w:color w:val="auto"/>
          <w:u w:val="none"/>
          <w:lang w:val="en-US" w:eastAsia="zh-CN"/>
        </w:rPr>
        <w:t>社区生活圈建设引导</w:t>
      </w:r>
    </w:p>
    <w:p w14:paraId="21C70D45">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打造镇中心区15分钟社区生活圈，强化生活圈内基本服务功能可达性，将生活圈作为功能资源配置和治理的基本单元，鼓励服务中心功能混合，一站式解决餐饮、社交、娱乐、健身以及学习办公等各方面。</w:t>
      </w:r>
    </w:p>
    <w:p w14:paraId="6C54DD04">
      <w:pPr>
        <w:pStyle w:val="4"/>
        <w:bidi w:val="0"/>
        <w:ind w:left="0" w:leftChars="0" w:firstLine="420" w:firstLineChars="0"/>
        <w:rPr>
          <w:rFonts w:hint="eastAsia"/>
          <w:color w:val="auto"/>
          <w:u w:val="none"/>
          <w:lang w:val="en-US" w:eastAsia="zh-CN"/>
        </w:rPr>
      </w:pPr>
      <w:r>
        <w:rPr>
          <w:rFonts w:hint="eastAsia"/>
          <w:color w:val="auto"/>
          <w:u w:val="none"/>
          <w:lang w:val="en-US" w:eastAsia="zh-CN"/>
        </w:rPr>
        <w:t>公共服务设施规划</w:t>
      </w:r>
    </w:p>
    <w:p w14:paraId="0EAFD133">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强化乡镇中心区综合服务辐射功能，完善文体、医疗和养老等公共服务设施配套建设，提升公共服务设施整体服务水平，加快推动高品质生活性服务业发展。</w:t>
      </w:r>
    </w:p>
    <w:p w14:paraId="09F956FD">
      <w:pPr>
        <w:keepNext w:val="0"/>
        <w:keepLines w:val="0"/>
        <w:pageBreakBefore w:val="0"/>
        <w:widowControl w:val="0"/>
        <w:kinsoku/>
        <w:overflowPunct/>
        <w:topLinePunct w:val="0"/>
        <w:autoSpaceDE/>
        <w:autoSpaceDN/>
        <w:bidi w:val="0"/>
        <w:spacing w:line="600" w:lineRule="exact"/>
        <w:textAlignment w:val="auto"/>
        <w:rPr>
          <w:u w:val="none"/>
        </w:rPr>
      </w:pPr>
      <w:bookmarkStart w:id="196" w:name="_Hlk131058273"/>
      <w:r>
        <w:rPr>
          <w:rFonts w:hint="eastAsia"/>
          <w:u w:val="none"/>
        </w:rPr>
        <w:t>行政管理设施。为满足服务半径的需求，规划保留原镇中心区镇政府、邮政所等设施，加强设施服务水平的提升，推动形成综合服务中心。</w:t>
      </w:r>
    </w:p>
    <w:p w14:paraId="3D8AE9FF">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教育设施。深化教育改革，全面提高教育质量，合理配置教育资源，改善学校办学条件。推进中小学优质特色化发展，助力实现教育资源均衡化、优质化。推进学前教育普及普惠发展。规划保留现状古城镇拐磨子学校。</w:t>
      </w:r>
    </w:p>
    <w:p w14:paraId="153FBD6C">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医疗卫生设施。规划在原有卫生所基础上提级改造，补齐短板，建成规模合理的综合性医疗设施，建设现代医疗卫生服务体系，完善妇幼健康服务模式。</w:t>
      </w:r>
    </w:p>
    <w:p w14:paraId="49528D49">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文体设施。鼓励社会力量建设小型化、多样化文化体育活动场所。注重室内外文化体育设施的建设。建设以“15分钟健身圈”为基础的全民健身设施网络，鼓励文体设施集中布置。学校文体场所和设施可结合对社会开放，提高学校文体设施利用率，也为居民提供高质量的娱乐健身场所。</w:t>
      </w:r>
    </w:p>
    <w:p w14:paraId="7F02F412">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社会福利设施。充分利用滨水景观、医疗资源，高质量构建全产业链健康养老产业体系。推进医养结合，支持养老机构设立医疗机构，医疗机构开展养老服务。巩固深化居家和社区养老服务改革试点成果，推进养老服务标准化，不断提高养老床位利用率。</w:t>
      </w:r>
    </w:p>
    <w:p w14:paraId="2F5A4C7A">
      <w:pPr>
        <w:keepNext w:val="0"/>
        <w:keepLines w:val="0"/>
        <w:pageBreakBefore w:val="0"/>
        <w:widowControl w:val="0"/>
        <w:kinsoku/>
        <w:overflowPunct/>
        <w:topLinePunct w:val="0"/>
        <w:autoSpaceDE/>
        <w:autoSpaceDN/>
        <w:bidi w:val="0"/>
        <w:spacing w:line="600" w:lineRule="exact"/>
        <w:textAlignment w:val="auto"/>
        <w:rPr>
          <w:rFonts w:hint="eastAsia"/>
          <w:u w:val="none"/>
        </w:rPr>
      </w:pPr>
      <w:r>
        <w:rPr>
          <w:rFonts w:hint="eastAsia"/>
          <w:u w:val="none"/>
        </w:rPr>
        <w:t>商业服务设施。提升镇中心区内的沿街商业服务业设施数量及服务水平，改善沿街商业对道路交通的影响。合理布设新商业设施，统筹安排加油、加气、电信、邮政、电力等公用设施营业网点，促进形成布局均衡、功能齐全的商业服务业网络。鼓励居民利用自有宅基地，发展农家院、便民商业等服务设施。</w:t>
      </w:r>
    </w:p>
    <w:p w14:paraId="7C38BCBE">
      <w:pPr>
        <w:pStyle w:val="6"/>
        <w:bidi w:val="0"/>
        <w:rPr>
          <w:rFonts w:hint="eastAsia"/>
          <w:lang w:eastAsia="zh-CN"/>
        </w:rPr>
      </w:pPr>
      <w:r>
        <w:rPr>
          <w:rFonts w:hint="eastAsia"/>
          <w:lang w:eastAsia="zh-CN"/>
        </w:rPr>
        <w:drawing>
          <wp:inline distT="0" distB="0" distL="114300" distR="114300">
            <wp:extent cx="5441315" cy="3850005"/>
            <wp:effectExtent l="0" t="0" r="6985" b="17145"/>
            <wp:docPr id="25" name="图片 25" descr="210522106古城镇36城镇开发边界范围公共服务设施体系规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210522106古城镇36城镇开发边界范围公共服务设施体系规划图"/>
                    <pic:cNvPicPr>
                      <a:picLocks noChangeAspect="1"/>
                    </pic:cNvPicPr>
                  </pic:nvPicPr>
                  <pic:blipFill>
                    <a:blip r:embed="rId33"/>
                    <a:stretch>
                      <a:fillRect/>
                    </a:stretch>
                  </pic:blipFill>
                  <pic:spPr>
                    <a:xfrm>
                      <a:off x="0" y="0"/>
                      <a:ext cx="5441315" cy="3850005"/>
                    </a:xfrm>
                    <a:prstGeom prst="rect">
                      <a:avLst/>
                    </a:prstGeom>
                  </pic:spPr>
                </pic:pic>
              </a:graphicData>
            </a:graphic>
          </wp:inline>
        </w:drawing>
      </w:r>
    </w:p>
    <w:bookmarkEnd w:id="196"/>
    <w:p w14:paraId="3634BA90">
      <w:pPr>
        <w:pStyle w:val="3"/>
        <w:bidi w:val="0"/>
        <w:ind w:left="0" w:leftChars="0" w:firstLine="420" w:firstLineChars="0"/>
        <w:rPr>
          <w:rFonts w:hint="eastAsia" w:ascii="黑体" w:hAnsi="黑体" w:eastAsia="黑体" w:cs="黑体"/>
          <w:u w:val="none"/>
          <w:lang w:val="en-US" w:eastAsia="zh-CN"/>
        </w:rPr>
      </w:pPr>
      <w:bookmarkStart w:id="197" w:name="_Toc12584"/>
      <w:bookmarkStart w:id="198" w:name="_Toc28319"/>
      <w:r>
        <w:rPr>
          <w:rFonts w:hint="eastAsia" w:ascii="黑体" w:hAnsi="黑体" w:eastAsia="黑体" w:cs="黑体"/>
          <w:u w:val="none"/>
          <w:lang w:val="en-US" w:eastAsia="zh-CN"/>
        </w:rPr>
        <w:t>道路交通设施</w:t>
      </w:r>
      <w:bookmarkEnd w:id="197"/>
      <w:bookmarkEnd w:id="198"/>
    </w:p>
    <w:p w14:paraId="1FE602C7">
      <w:pPr>
        <w:pStyle w:val="4"/>
        <w:bidi w:val="0"/>
        <w:ind w:left="0" w:leftChars="0" w:firstLine="420" w:firstLineChars="0"/>
        <w:rPr>
          <w:rFonts w:hint="eastAsia"/>
          <w:color w:val="auto"/>
          <w:u w:val="none"/>
          <w:lang w:val="en-US" w:eastAsia="zh-CN"/>
        </w:rPr>
      </w:pPr>
      <w:r>
        <w:rPr>
          <w:rFonts w:hint="eastAsia"/>
          <w:color w:val="auto"/>
          <w:u w:val="none"/>
          <w:lang w:val="en-US" w:eastAsia="zh-CN"/>
        </w:rPr>
        <w:t>道路系统优化</w:t>
      </w:r>
    </w:p>
    <w:p w14:paraId="56054550">
      <w:pPr>
        <w:keepNext w:val="0"/>
        <w:keepLines w:val="0"/>
        <w:pageBreakBefore w:val="0"/>
        <w:widowControl w:val="0"/>
        <w:kinsoku/>
        <w:overflowPunct/>
        <w:topLinePunct w:val="0"/>
        <w:autoSpaceDE/>
        <w:autoSpaceDN/>
        <w:bidi w:val="0"/>
        <w:spacing w:line="600" w:lineRule="exact"/>
        <w:textAlignment w:val="auto"/>
        <w:rPr>
          <w:u w:val="none"/>
        </w:rPr>
      </w:pPr>
      <w:bookmarkStart w:id="199" w:name="_Hlk131258654"/>
      <w:r>
        <w:rPr>
          <w:u w:val="none"/>
        </w:rPr>
        <w:t>构建过境通道和</w:t>
      </w:r>
      <w:r>
        <w:rPr>
          <w:rFonts w:hint="eastAsia"/>
          <w:u w:val="none"/>
        </w:rPr>
        <w:t>镇中心区内部</w:t>
      </w:r>
      <w:r>
        <w:rPr>
          <w:u w:val="none"/>
        </w:rPr>
        <w:t>道路系统相结合的路网模式。结合</w:t>
      </w:r>
      <w:r>
        <w:rPr>
          <w:rFonts w:hint="eastAsia"/>
          <w:u w:val="none"/>
        </w:rPr>
        <w:t>沿线两侧</w:t>
      </w:r>
      <w:r>
        <w:rPr>
          <w:u w:val="none"/>
        </w:rPr>
        <w:t>组团化的</w:t>
      </w:r>
      <w:r>
        <w:rPr>
          <w:rFonts w:hint="eastAsia"/>
          <w:u w:val="none"/>
        </w:rPr>
        <w:t>城镇</w:t>
      </w:r>
      <w:r>
        <w:rPr>
          <w:u w:val="none"/>
        </w:rPr>
        <w:t>布局，优化</w:t>
      </w:r>
      <w:r>
        <w:rPr>
          <w:rFonts w:hint="eastAsia"/>
          <w:u w:val="none"/>
        </w:rPr>
        <w:t>镇中心区</w:t>
      </w:r>
      <w:r>
        <w:rPr>
          <w:u w:val="none"/>
        </w:rPr>
        <w:t>道路网络结构，构建层次分明、级配合理、网络化、系统化的主次干道体系。以打通断头路、改善瓶颈路段为主，注重路网形态、间距与用地功能和土地使用强度相适应，差异化控制，充分发挥微循环交通组织，提升用地可达性。居住区遵从</w:t>
      </w:r>
      <w:r>
        <w:rPr>
          <w:rFonts w:hint="eastAsia"/>
          <w:u w:val="none"/>
        </w:rPr>
        <w:t>“</w:t>
      </w:r>
      <w:r>
        <w:rPr>
          <w:u w:val="none"/>
        </w:rPr>
        <w:t>小街区、密路网</w:t>
      </w:r>
      <w:r>
        <w:rPr>
          <w:rFonts w:hint="eastAsia"/>
          <w:u w:val="none"/>
        </w:rPr>
        <w:t>”</w:t>
      </w:r>
      <w:r>
        <w:rPr>
          <w:u w:val="none"/>
        </w:rPr>
        <w:t>理念，为慢行活动提供更多通道和便利，丰富街道公共活动空间，打造舒适宜居生活空间</w:t>
      </w:r>
      <w:bookmarkEnd w:id="199"/>
      <w:r>
        <w:rPr>
          <w:u w:val="none"/>
        </w:rPr>
        <w:t>。</w:t>
      </w:r>
    </w:p>
    <w:p w14:paraId="2340F0AC">
      <w:pPr>
        <w:pStyle w:val="4"/>
        <w:bidi w:val="0"/>
        <w:ind w:left="0" w:leftChars="0" w:firstLine="420" w:firstLineChars="0"/>
        <w:rPr>
          <w:rFonts w:hint="eastAsia"/>
          <w:color w:val="auto"/>
          <w:u w:val="none"/>
          <w:lang w:val="en-US" w:eastAsia="zh-CN"/>
        </w:rPr>
      </w:pPr>
      <w:r>
        <w:rPr>
          <w:rFonts w:hint="eastAsia"/>
          <w:color w:val="auto"/>
          <w:u w:val="none"/>
          <w:lang w:val="en-US" w:eastAsia="zh-CN"/>
        </w:rPr>
        <w:t>路网结构</w:t>
      </w:r>
    </w:p>
    <w:p w14:paraId="0D5DAB76">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镇中心区路网建设要满足车、人、公交和防灾救护等功能为主。通过合理功能布局、适度降低密度，合理有效的组织交通。避免大拆大建式的道路拓宽对镇中心区的整体影响；布置完善的道路设施，满足新建工业片区的交通需要。</w:t>
      </w:r>
    </w:p>
    <w:p w14:paraId="5D879173">
      <w:pPr>
        <w:keepNext w:val="0"/>
        <w:keepLines w:val="0"/>
        <w:pageBreakBefore w:val="0"/>
        <w:widowControl w:val="0"/>
        <w:kinsoku/>
        <w:overflowPunct/>
        <w:topLinePunct w:val="0"/>
        <w:autoSpaceDE/>
        <w:autoSpaceDN/>
        <w:bidi w:val="0"/>
        <w:spacing w:line="600" w:lineRule="exact"/>
        <w:textAlignment w:val="auto"/>
        <w:rPr>
          <w:rFonts w:hint="eastAsia"/>
          <w:u w:val="none"/>
        </w:rPr>
      </w:pPr>
      <w:r>
        <w:rPr>
          <w:rFonts w:hint="eastAsia"/>
          <w:u w:val="none"/>
        </w:rPr>
        <w:t>根据现状道路特点和城镇开发边界，搭建镇中心区道路系统。镇中心区道路由干路、支路、巷路等构成。其中，干路是各功能片区内部之间的联络干道，兼有集散交通和服务性功能。道路红线宽度8</w:t>
      </w:r>
      <w:r>
        <w:rPr>
          <w:rFonts w:hint="eastAsia" w:eastAsia="仿宋_GB2312"/>
          <w:u w:val="none"/>
          <w:lang w:eastAsia="zh-CN"/>
        </w:rPr>
        <w:t>—</w:t>
      </w:r>
      <w:r>
        <w:rPr>
          <w:rFonts w:hint="eastAsia"/>
          <w:u w:val="none"/>
        </w:rPr>
        <w:t>16米，新建干路道路红线宽度16米，现状不满足条件的位置，在允许的情况下适当考虑拓宽。支路是干路与街坊内部道路的连接线，道路红线宽度6</w:t>
      </w:r>
      <w:r>
        <w:rPr>
          <w:rFonts w:hint="eastAsia" w:eastAsia="仿宋_GB2312"/>
          <w:u w:val="none"/>
          <w:lang w:eastAsia="zh-CN"/>
        </w:rPr>
        <w:t>—</w:t>
      </w:r>
      <w:r>
        <w:rPr>
          <w:rFonts w:hint="eastAsia"/>
          <w:u w:val="none"/>
        </w:rPr>
        <w:t>10米，新建支路道路红线宽度10米，现状不满足条件的位置，在允许的情况下适当考虑拓宽。巷路是对干路和支路网络系统的完善和补充，道路红线宽度3.5</w:t>
      </w:r>
      <w:r>
        <w:rPr>
          <w:rFonts w:hint="eastAsia" w:eastAsia="仿宋_GB2312"/>
          <w:u w:val="none"/>
          <w:lang w:eastAsia="zh-CN"/>
        </w:rPr>
        <w:t>—</w:t>
      </w:r>
      <w:r>
        <w:rPr>
          <w:rFonts w:hint="eastAsia"/>
          <w:u w:val="none"/>
        </w:rPr>
        <w:t>6米，新建巷路道路红线宽度6米，现状不满足条件的位置，在允许的情况下适当考虑拓宽。镇</w:t>
      </w:r>
      <w:r>
        <w:rPr>
          <w:rFonts w:hint="eastAsia" w:eastAsia="仿宋_GB2312"/>
          <w:u w:val="none"/>
          <w:lang w:eastAsia="zh-CN"/>
        </w:rPr>
        <w:t>中心区</w:t>
      </w:r>
      <w:r>
        <w:rPr>
          <w:rFonts w:hint="eastAsia"/>
          <w:u w:val="none"/>
        </w:rPr>
        <w:t>道路断面均为一块板。</w:t>
      </w:r>
    </w:p>
    <w:p w14:paraId="34E3E2D6">
      <w:pPr>
        <w:pStyle w:val="4"/>
        <w:bidi w:val="0"/>
        <w:ind w:left="0" w:leftChars="0" w:firstLine="420" w:firstLineChars="0"/>
        <w:rPr>
          <w:rFonts w:hint="eastAsia"/>
          <w:color w:val="auto"/>
          <w:u w:val="none"/>
          <w:lang w:val="en-US" w:eastAsia="zh-CN"/>
        </w:rPr>
      </w:pPr>
      <w:r>
        <w:rPr>
          <w:rFonts w:hint="eastAsia"/>
          <w:color w:val="auto"/>
          <w:u w:val="none"/>
          <w:lang w:val="en-US" w:eastAsia="zh-CN"/>
        </w:rPr>
        <w:t>绿色出行</w:t>
      </w:r>
    </w:p>
    <w:p w14:paraId="25820176">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综合考虑城镇尺度、通勤距离、步行及非机动车出行比例等实际情况，优先打造安全、宜行的绿色交通体系，重点完善干路及滨河岸线两侧步行和自行车出行空间，鼓励绿色交通出行，提升慢行交通生活品质。</w:t>
      </w:r>
    </w:p>
    <w:p w14:paraId="077EDDEB">
      <w:pPr>
        <w:keepNext w:val="0"/>
        <w:keepLines w:val="0"/>
        <w:pageBreakBefore w:val="0"/>
        <w:widowControl w:val="0"/>
        <w:kinsoku/>
        <w:overflowPunct/>
        <w:topLinePunct w:val="0"/>
        <w:autoSpaceDE/>
        <w:autoSpaceDN/>
        <w:bidi w:val="0"/>
        <w:spacing w:line="600" w:lineRule="exact"/>
        <w:jc w:val="left"/>
        <w:textAlignment w:val="auto"/>
        <w:rPr>
          <w:rFonts w:hint="eastAsia" w:ascii="仿宋" w:hAnsi="仿宋" w:eastAsia="仿宋"/>
          <w:szCs w:val="24"/>
          <w:u w:val="none"/>
        </w:rPr>
      </w:pPr>
      <w:r>
        <w:rPr>
          <w:rFonts w:hint="eastAsia"/>
          <w:u w:val="none"/>
        </w:rPr>
        <w:t>根据用地性质和居民需求布设公交站、停保场及相关配套设施，便于运营调度提升公共交通服务水平。加强与慢行交通衔接换乘，步行短时间可达。持续推动城乡公交一</w:t>
      </w:r>
      <w:r>
        <w:rPr>
          <w:rFonts w:hint="eastAsia" w:ascii="仿宋" w:hAnsi="仿宋" w:eastAsia="仿宋"/>
          <w:szCs w:val="24"/>
          <w:u w:val="none"/>
        </w:rPr>
        <w:t>体化发展，推动城镇公交线路向周边村庄延伸，引领城镇发展。</w:t>
      </w:r>
    </w:p>
    <w:p w14:paraId="69C50359">
      <w:pPr>
        <w:pStyle w:val="6"/>
        <w:bidi w:val="0"/>
        <w:rPr>
          <w:rFonts w:hint="eastAsia"/>
          <w:lang w:eastAsia="zh-CN"/>
        </w:rPr>
      </w:pPr>
      <w:r>
        <w:rPr>
          <w:rFonts w:hint="eastAsia"/>
          <w:lang w:eastAsia="zh-CN"/>
        </w:rPr>
        <w:drawing>
          <wp:inline distT="0" distB="0" distL="114300" distR="114300">
            <wp:extent cx="5441315" cy="3850005"/>
            <wp:effectExtent l="0" t="0" r="6985" b="17145"/>
            <wp:docPr id="27" name="图片 27" descr="210522106古城镇38城镇开发边界范围道路交通规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210522106古城镇38城镇开发边界范围道路交通规划图"/>
                    <pic:cNvPicPr>
                      <a:picLocks noChangeAspect="1"/>
                    </pic:cNvPicPr>
                  </pic:nvPicPr>
                  <pic:blipFill>
                    <a:blip r:embed="rId34"/>
                    <a:stretch>
                      <a:fillRect/>
                    </a:stretch>
                  </pic:blipFill>
                  <pic:spPr>
                    <a:xfrm>
                      <a:off x="0" y="0"/>
                      <a:ext cx="5441315" cy="3850005"/>
                    </a:xfrm>
                    <a:prstGeom prst="rect">
                      <a:avLst/>
                    </a:prstGeom>
                  </pic:spPr>
                </pic:pic>
              </a:graphicData>
            </a:graphic>
          </wp:inline>
        </w:drawing>
      </w:r>
    </w:p>
    <w:p w14:paraId="29142FE1">
      <w:pPr>
        <w:pStyle w:val="3"/>
        <w:bidi w:val="0"/>
        <w:ind w:left="0" w:leftChars="0" w:firstLine="420" w:firstLineChars="0"/>
        <w:rPr>
          <w:rFonts w:hint="eastAsia" w:ascii="黑体" w:hAnsi="黑体" w:eastAsia="黑体" w:cs="黑体"/>
          <w:u w:val="none"/>
          <w:lang w:val="en-US" w:eastAsia="zh-CN"/>
        </w:rPr>
      </w:pPr>
      <w:bookmarkStart w:id="200" w:name="_Toc30948"/>
      <w:bookmarkStart w:id="201" w:name="_Toc26965"/>
      <w:r>
        <w:rPr>
          <w:rFonts w:hint="eastAsia" w:ascii="黑体" w:hAnsi="黑体" w:eastAsia="黑体" w:cs="黑体"/>
          <w:u w:val="none"/>
          <w:lang w:val="en-US" w:eastAsia="zh-CN"/>
        </w:rPr>
        <w:t>市政设施</w:t>
      </w:r>
      <w:bookmarkEnd w:id="200"/>
      <w:bookmarkEnd w:id="201"/>
    </w:p>
    <w:p w14:paraId="067D845D">
      <w:pPr>
        <w:pStyle w:val="4"/>
        <w:bidi w:val="0"/>
        <w:ind w:left="0" w:leftChars="0" w:firstLine="420" w:firstLineChars="0"/>
        <w:rPr>
          <w:rFonts w:hint="eastAsia"/>
          <w:color w:val="auto"/>
          <w:u w:val="none"/>
          <w:lang w:val="en-US" w:eastAsia="zh-CN"/>
        </w:rPr>
      </w:pPr>
      <w:r>
        <w:rPr>
          <w:rFonts w:hint="eastAsia"/>
          <w:color w:val="auto"/>
          <w:u w:val="none"/>
          <w:lang w:val="en-US" w:eastAsia="zh-CN"/>
        </w:rPr>
        <w:t>给水设施规划</w:t>
      </w:r>
    </w:p>
    <w:p w14:paraId="184B8B0D">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用水量预测。规划镇中心区人均综合用水量120L/d，至规划期末，镇中心区规划人口8000人，镇中心区用水总量960m³/d。</w:t>
      </w:r>
      <w:r>
        <w:rPr>
          <w:u w:val="none"/>
        </w:rPr>
        <w:t>规划集中供水普及率达到100%</w:t>
      </w:r>
      <w:r>
        <w:rPr>
          <w:rFonts w:hint="eastAsia"/>
          <w:u w:val="none"/>
        </w:rPr>
        <w:t>，镇中心区实现全天集中供水</w:t>
      </w:r>
      <w:r>
        <w:rPr>
          <w:u w:val="none"/>
        </w:rPr>
        <w:t>。镇</w:t>
      </w:r>
      <w:r>
        <w:rPr>
          <w:rFonts w:hint="eastAsia"/>
          <w:u w:val="none"/>
        </w:rPr>
        <w:t>中心</w:t>
      </w:r>
      <w:r>
        <w:rPr>
          <w:u w:val="none"/>
        </w:rPr>
        <w:t>区公共建筑用水量按居民生活用水量的25%计算。</w:t>
      </w:r>
      <w:r>
        <w:rPr>
          <w:rFonts w:hint="eastAsia"/>
          <w:u w:val="none"/>
        </w:rPr>
        <w:t>道路、绿化的浇洒用水和维修施工用水等市政用水，取综合生活用水量的</w:t>
      </w:r>
      <w:r>
        <w:rPr>
          <w:u w:val="none"/>
        </w:rPr>
        <w:t>12.5%。</w:t>
      </w:r>
      <w:r>
        <w:rPr>
          <w:rFonts w:hint="eastAsia"/>
          <w:u w:val="none"/>
        </w:rPr>
        <w:t>消防用水量以及未预见用水量，参照一般镇中心区的管网实际运营情况，取日常镇中心区用水量的</w:t>
      </w:r>
      <w:r>
        <w:rPr>
          <w:u w:val="none"/>
        </w:rPr>
        <w:t>10%</w:t>
      </w:r>
      <w:r>
        <w:rPr>
          <w:rFonts w:hint="eastAsia"/>
          <w:u w:val="none"/>
        </w:rPr>
        <w:t>计算</w:t>
      </w:r>
      <w:r>
        <w:rPr>
          <w:u w:val="none"/>
        </w:rPr>
        <w:t>。</w:t>
      </w:r>
    </w:p>
    <w:p w14:paraId="25222C18">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水源规划。保留现状给水厂，</w:t>
      </w:r>
      <w:r>
        <w:rPr>
          <w:u w:val="none"/>
        </w:rPr>
        <w:t>划定水源点周围200米范围内为地下水饮用水源保护区。加强水源保护区的水土保持，种植水源涵养林，合理利用自然资源，维持生态良性循环。加强水源地水质的调查研究，定时抽查监测地下水水质，加强对水源地的控制和保护。</w:t>
      </w:r>
    </w:p>
    <w:p w14:paraId="2B025B4E">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管网规划。</w:t>
      </w:r>
      <w:r>
        <w:rPr>
          <w:u w:val="none"/>
        </w:rPr>
        <w:t>考虑远期发展需求，</w:t>
      </w:r>
      <w:r>
        <w:rPr>
          <w:rFonts w:hint="eastAsia"/>
          <w:u w:val="none"/>
        </w:rPr>
        <w:t>结合古城镇多组团的布局模式，</w:t>
      </w:r>
      <w:r>
        <w:rPr>
          <w:u w:val="none"/>
        </w:rPr>
        <w:t>市政给水管网需采用多水源统一供水系统，其管网采用环状加枝状的形式</w:t>
      </w:r>
      <w:r>
        <w:rPr>
          <w:rFonts w:hint="eastAsia"/>
          <w:u w:val="none"/>
        </w:rPr>
        <w:t>，</w:t>
      </w:r>
      <w:r>
        <w:rPr>
          <w:u w:val="none"/>
        </w:rPr>
        <w:t>沿主要道路布置环状连通管道，其它道路以枝状向各用地内延伸，向周边供水。</w:t>
      </w:r>
    </w:p>
    <w:p w14:paraId="147576DC">
      <w:pPr>
        <w:pStyle w:val="4"/>
        <w:bidi w:val="0"/>
        <w:ind w:left="0" w:leftChars="0" w:firstLine="420" w:firstLineChars="0"/>
        <w:rPr>
          <w:rFonts w:hint="eastAsia"/>
          <w:color w:val="auto"/>
          <w:u w:val="none"/>
          <w:lang w:val="en-US" w:eastAsia="zh-CN"/>
        </w:rPr>
      </w:pPr>
      <w:r>
        <w:rPr>
          <w:rFonts w:hint="eastAsia"/>
          <w:color w:val="auto"/>
          <w:u w:val="none"/>
          <w:lang w:val="en-US" w:eastAsia="zh-CN"/>
        </w:rPr>
        <w:t>排水设施规划</w:t>
      </w:r>
    </w:p>
    <w:p w14:paraId="795DA03F">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污水量预测。生活污水量包括居住生活污水和公共建筑生活污水这两项。古城镇</w:t>
      </w:r>
      <w:r>
        <w:rPr>
          <w:u w:val="none"/>
        </w:rPr>
        <w:t>污水</w:t>
      </w:r>
      <w:r>
        <w:rPr>
          <w:rFonts w:hint="eastAsia"/>
          <w:u w:val="none"/>
        </w:rPr>
        <w:t>量</w:t>
      </w:r>
      <w:r>
        <w:rPr>
          <w:u w:val="none"/>
        </w:rPr>
        <w:t>规划参照标准，确定为80%的总用水量</w:t>
      </w:r>
      <w:r>
        <w:rPr>
          <w:rFonts w:hint="eastAsia"/>
          <w:u w:val="none"/>
        </w:rPr>
        <w:t>，工业污水按照工业用水量的</w:t>
      </w:r>
      <w:r>
        <w:rPr>
          <w:u w:val="none"/>
        </w:rPr>
        <w:t>80%计</w:t>
      </w:r>
      <w:r>
        <w:rPr>
          <w:rFonts w:hint="eastAsia"/>
          <w:u w:val="none"/>
        </w:rPr>
        <w:t>算</w:t>
      </w:r>
      <w:r>
        <w:rPr>
          <w:u w:val="none"/>
        </w:rPr>
        <w:t>。</w:t>
      </w:r>
    </w:p>
    <w:p w14:paraId="17D99849">
      <w:pPr>
        <w:keepNext w:val="0"/>
        <w:keepLines w:val="0"/>
        <w:pageBreakBefore w:val="0"/>
        <w:widowControl w:val="0"/>
        <w:kinsoku/>
        <w:overflowPunct/>
        <w:topLinePunct w:val="0"/>
        <w:autoSpaceDE/>
        <w:autoSpaceDN/>
        <w:bidi w:val="0"/>
        <w:spacing w:line="600" w:lineRule="exact"/>
        <w:textAlignment w:val="auto"/>
        <w:rPr>
          <w:b/>
          <w:u w:val="none"/>
        </w:rPr>
      </w:pPr>
      <w:r>
        <w:rPr>
          <w:rFonts w:hint="eastAsia"/>
          <w:u w:val="none"/>
        </w:rPr>
        <w:t>污水处理厂规划。规划新建一座污水处理厂，满足镇中心区的污水处理。设计规模为污水排放量达到1200吨/天，设计污水处理厂的处理规模为1500吨/日。</w:t>
      </w:r>
    </w:p>
    <w:p w14:paraId="11B3E4B1">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管网规划。污水管网系统采用统一的枝状排水系统，污水管网分区汇集，经支路统一排向主干管线，雨水分片区排放，就近排入周边水域。污水管道根据地形地势，结合规划道路布置。收集的污水经污水支管、污水干管和污水主干管排入污水处理厂处理。</w:t>
      </w:r>
    </w:p>
    <w:p w14:paraId="3D59084F">
      <w:pPr>
        <w:pStyle w:val="4"/>
        <w:bidi w:val="0"/>
        <w:ind w:left="0" w:leftChars="0" w:firstLine="420" w:firstLineChars="0"/>
        <w:rPr>
          <w:rFonts w:hint="eastAsia"/>
          <w:color w:val="auto"/>
          <w:u w:val="none"/>
          <w:lang w:val="en-US" w:eastAsia="zh-CN"/>
        </w:rPr>
      </w:pPr>
      <w:r>
        <w:rPr>
          <w:rFonts w:hint="eastAsia"/>
          <w:color w:val="auto"/>
          <w:u w:val="none"/>
          <w:lang w:val="en-US" w:eastAsia="zh-CN"/>
        </w:rPr>
        <w:t>雨水设施规划</w:t>
      </w:r>
    </w:p>
    <w:p w14:paraId="1BA08668">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根据道路、地形坡向设置雨水系统，雨水顺地形就近排入水体。雨水系统与城镇水系、城镇防洪相结合，雨水采用与城镇排涝系统相结合的方式排放。建成以排水沟渠为主干的雨水排水系统，构建超标雨水排放系统，提高各系统功能和规划设计标准，彻底消除内涝。一般区雨水管渠重现期为</w:t>
      </w:r>
      <w:r>
        <w:rPr>
          <w:u w:val="none"/>
        </w:rPr>
        <w:t>1</w:t>
      </w:r>
      <w:r>
        <w:rPr>
          <w:rFonts w:hint="eastAsia"/>
          <w:u w:val="none"/>
        </w:rPr>
        <w:t>年，重点区雨水管渠重现期为</w:t>
      </w:r>
      <w:r>
        <w:rPr>
          <w:rFonts w:hint="eastAsia" w:eastAsia="仿宋_GB2312"/>
          <w:u w:val="none"/>
          <w:lang w:eastAsia="zh-CN"/>
        </w:rPr>
        <w:t>2～3年</w:t>
      </w:r>
      <w:r>
        <w:rPr>
          <w:rFonts w:hint="eastAsia"/>
          <w:u w:val="none"/>
        </w:rPr>
        <w:t>。</w:t>
      </w:r>
    </w:p>
    <w:p w14:paraId="78511719">
      <w:pPr>
        <w:pStyle w:val="4"/>
        <w:bidi w:val="0"/>
        <w:ind w:left="0" w:leftChars="0" w:firstLine="420" w:firstLineChars="0"/>
        <w:rPr>
          <w:rFonts w:hint="eastAsia"/>
          <w:color w:val="auto"/>
          <w:u w:val="none"/>
          <w:lang w:val="en-US" w:eastAsia="zh-CN"/>
        </w:rPr>
      </w:pPr>
      <w:r>
        <w:rPr>
          <w:rFonts w:hint="eastAsia"/>
          <w:color w:val="auto"/>
          <w:u w:val="none"/>
          <w:lang w:val="en-US" w:eastAsia="zh-CN"/>
        </w:rPr>
        <w:t>供电设施规划</w:t>
      </w:r>
    </w:p>
    <w:p w14:paraId="59F019AF">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电源规划。根据镇中心区近远期项目的需要，保留现有变电站，根据用电负荷预测，适当扩大变电站规模。镇中心区内的大型生产企业和用电大户设置二次变（配）电所（室），镇中心区公共活动中心和居住小区配设箱（柜）式变（配）电装置，尽量减少明设变（配）电装置。</w:t>
      </w:r>
    </w:p>
    <w:p w14:paraId="6B16354C">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供电设施规划。</w:t>
      </w:r>
      <w:r>
        <w:rPr>
          <w:u w:val="none"/>
        </w:rPr>
        <w:t>按规划路径逐步调整架空配电线路，并应适当增加高度、缩小档距，以提高导线对地距离。在镇</w:t>
      </w:r>
      <w:r>
        <w:rPr>
          <w:rFonts w:hint="eastAsia"/>
          <w:u w:val="none"/>
        </w:rPr>
        <w:t>中心</w:t>
      </w:r>
      <w:r>
        <w:rPr>
          <w:u w:val="none"/>
        </w:rPr>
        <w:t>区主要干道的配电线路要求埋地，控制城</w:t>
      </w:r>
      <w:r>
        <w:rPr>
          <w:rFonts w:hint="eastAsia"/>
          <w:u w:val="none"/>
        </w:rPr>
        <w:t>镇</w:t>
      </w:r>
      <w:r>
        <w:rPr>
          <w:u w:val="none"/>
        </w:rPr>
        <w:t>景观。10KV配电网实现“手拉手”结线，开环运行达到互供互带接线方式。原则上电力线路应设在路的东侧及南侧。</w:t>
      </w:r>
    </w:p>
    <w:p w14:paraId="4E07A5EF">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电力网布置。与用地布局相配合，电力网络布置按照中压和高压两个等级分别布设。镇中心区的中压网等级为</w:t>
      </w:r>
      <w:r>
        <w:rPr>
          <w:u w:val="none"/>
        </w:rPr>
        <w:t>10KV。远期目标网的供电方式采用双回或多回树干式结构，必要时也可采用单环或双环网开环运行。</w:t>
      </w:r>
      <w:r>
        <w:rPr>
          <w:rFonts w:hint="eastAsia"/>
          <w:u w:val="none"/>
        </w:rPr>
        <w:t>工业区重要用户或大用户采用单回或多回辐射式专线，其余用户为树干式配网供电，变电站低压侧出线间隔</w:t>
      </w:r>
      <w:r>
        <w:rPr>
          <w:u w:val="none"/>
        </w:rPr>
        <w:t>8～10条10KV馈路。</w:t>
      </w:r>
    </w:p>
    <w:p w14:paraId="1675AF72">
      <w:pPr>
        <w:pStyle w:val="4"/>
        <w:bidi w:val="0"/>
        <w:ind w:left="0" w:leftChars="0" w:firstLine="420" w:firstLineChars="0"/>
        <w:rPr>
          <w:rFonts w:hint="eastAsia"/>
          <w:color w:val="auto"/>
          <w:u w:val="none"/>
          <w:lang w:val="en-US" w:eastAsia="zh-CN"/>
        </w:rPr>
      </w:pPr>
      <w:r>
        <w:rPr>
          <w:rFonts w:hint="eastAsia"/>
          <w:color w:val="auto"/>
          <w:u w:val="none"/>
          <w:lang w:val="en-US" w:eastAsia="zh-CN"/>
        </w:rPr>
        <w:t>通信设施规划</w:t>
      </w:r>
    </w:p>
    <w:p w14:paraId="3BD8784A">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邮政工程。以加快邮件传递速度为主，以增强自主邮递和邮件处理能力为重点，形成一个网点布局合理、技术先进、邮运快捷、管理严格的现代化邮政通信网。镇中心区合公建统一规划布置邮政局所一处，加快通信基站建设，建成高速、泛在、融合、安全的立体信息通信网络。</w:t>
      </w:r>
    </w:p>
    <w:p w14:paraId="7A8B7A7B">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电信网络规划。统一规划镇中心区内信号传输通道，沿道路敷设于道路西侧或北侧（现状管线不便改造时可暂保留原有线位），每条道路原则上只设一条管位，与电力线路分侧布置于道路两旁。</w:t>
      </w:r>
    </w:p>
    <w:p w14:paraId="53E6CB73">
      <w:pPr>
        <w:pStyle w:val="4"/>
        <w:bidi w:val="0"/>
        <w:ind w:left="0" w:leftChars="0" w:firstLine="420" w:firstLineChars="0"/>
        <w:rPr>
          <w:rFonts w:hint="eastAsia"/>
          <w:color w:val="auto"/>
          <w:u w:val="none"/>
          <w:lang w:val="en-US" w:eastAsia="zh-CN"/>
        </w:rPr>
      </w:pPr>
      <w:r>
        <w:rPr>
          <w:rFonts w:hint="eastAsia"/>
          <w:color w:val="auto"/>
          <w:u w:val="none"/>
          <w:lang w:val="en-US" w:eastAsia="zh-CN"/>
        </w:rPr>
        <w:t>燃气设施规划</w:t>
      </w:r>
    </w:p>
    <w:p w14:paraId="5817E3E7">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气源规划。近期镇中心区采用多种气源形式，饭店、机关事业单位等用罐装石油液化气为主，居民炊事用气以秸秆造气和沼气为主要燃料；远期引自桓仁县天然气管道。</w:t>
      </w:r>
    </w:p>
    <w:p w14:paraId="278EE8B1">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管网规划。规划采用中压输气、低压配气的输配系统。为保证供气可靠，古城镇的燃气管网局部采用环状布置。</w:t>
      </w:r>
    </w:p>
    <w:p w14:paraId="308184A0">
      <w:pPr>
        <w:pStyle w:val="4"/>
        <w:bidi w:val="0"/>
        <w:ind w:left="0" w:leftChars="0" w:firstLine="420" w:firstLineChars="0"/>
        <w:rPr>
          <w:rFonts w:hint="eastAsia"/>
          <w:color w:val="auto"/>
          <w:u w:val="none"/>
          <w:lang w:val="en-US" w:eastAsia="zh-CN"/>
        </w:rPr>
      </w:pPr>
      <w:r>
        <w:rPr>
          <w:rFonts w:hint="eastAsia"/>
          <w:color w:val="auto"/>
          <w:u w:val="none"/>
          <w:lang w:val="en-US" w:eastAsia="zh-CN"/>
        </w:rPr>
        <w:t>供热设施规划</w:t>
      </w:r>
    </w:p>
    <w:p w14:paraId="73C9BC0C">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热源建设。镇中心区规划一处集中热源，</w:t>
      </w:r>
      <w:r>
        <w:rPr>
          <w:rFonts w:hint="eastAsia" w:ascii="仿宋_GB2312" w:hAnsi="仿宋_GB2312" w:cs="仿宋_GB2312"/>
          <w:u w:val="none"/>
        </w:rPr>
        <w:t>热媒采用热力管网</w:t>
      </w:r>
      <w:r>
        <w:rPr>
          <w:rFonts w:hint="eastAsia"/>
          <w:u w:val="none"/>
        </w:rPr>
        <w:t>130～80℃高温水，经管网送至设在各街区的热交换站换热后，为采暖用户提供95～70℃热水。利用电力、空气能及其它能源供热为补充。</w:t>
      </w:r>
    </w:p>
    <w:p w14:paraId="1D4014F8">
      <w:pPr>
        <w:keepNext w:val="0"/>
        <w:keepLines w:val="0"/>
        <w:pageBreakBefore w:val="0"/>
        <w:widowControl w:val="0"/>
        <w:kinsoku/>
        <w:overflowPunct/>
        <w:topLinePunct w:val="0"/>
        <w:autoSpaceDE/>
        <w:autoSpaceDN/>
        <w:bidi w:val="0"/>
        <w:spacing w:line="600" w:lineRule="exact"/>
        <w:textAlignment w:val="auto"/>
        <w:rPr>
          <w:rFonts w:hint="eastAsia"/>
          <w:u w:val="none"/>
        </w:rPr>
      </w:pPr>
      <w:r>
        <w:rPr>
          <w:rFonts w:hint="eastAsia"/>
          <w:u w:val="none"/>
        </w:rPr>
        <w:t>管网规划。供热管网为闭式双管循环系统，采用地下直埋敷设。管网应略超前于热源建设，满足用户热负荷需求。</w:t>
      </w:r>
    </w:p>
    <w:p w14:paraId="3E712444">
      <w:pPr>
        <w:pStyle w:val="4"/>
        <w:bidi w:val="0"/>
        <w:ind w:left="0" w:leftChars="0" w:firstLine="420" w:firstLineChars="0"/>
        <w:rPr>
          <w:rFonts w:hint="eastAsia"/>
          <w:color w:val="auto"/>
          <w:u w:val="none"/>
          <w:lang w:val="en-US" w:eastAsia="zh-CN"/>
        </w:rPr>
      </w:pPr>
      <w:r>
        <w:rPr>
          <w:rFonts w:hint="eastAsia"/>
          <w:color w:val="auto"/>
          <w:u w:val="none"/>
          <w:lang w:val="en-US" w:eastAsia="zh-CN"/>
        </w:rPr>
        <w:t>环卫设施规划</w:t>
      </w:r>
    </w:p>
    <w:p w14:paraId="3DBB1FC0">
      <w:pPr>
        <w:keepNext w:val="0"/>
        <w:keepLines w:val="0"/>
        <w:pageBreakBefore w:val="0"/>
        <w:widowControl w:val="0"/>
        <w:kinsoku/>
        <w:overflowPunct/>
        <w:topLinePunct w:val="0"/>
        <w:autoSpaceDE/>
        <w:autoSpaceDN/>
        <w:bidi w:val="0"/>
        <w:spacing w:line="600" w:lineRule="exact"/>
        <w:ind w:firstLine="640"/>
        <w:textAlignment w:val="auto"/>
        <w:rPr>
          <w:rFonts w:cs="Times New Roman"/>
          <w:u w:val="none"/>
        </w:rPr>
      </w:pPr>
      <w:r>
        <w:rPr>
          <w:rFonts w:cs="Times New Roman"/>
          <w:u w:val="none"/>
        </w:rPr>
        <w:t>规划</w:t>
      </w:r>
      <w:r>
        <w:rPr>
          <w:rFonts w:hint="eastAsia" w:cs="Times New Roman"/>
          <w:u w:val="none"/>
          <w:lang w:val="en-US" w:eastAsia="zh-CN"/>
        </w:rPr>
        <w:t>古城</w:t>
      </w:r>
      <w:r>
        <w:rPr>
          <w:rFonts w:cs="Times New Roman"/>
          <w:u w:val="none"/>
        </w:rPr>
        <w:t>镇采用“户分类、村收集、乡运转、县处理”的模式，实现环境卫生城乡一体化布局。</w:t>
      </w:r>
      <w:r>
        <w:rPr>
          <w:rFonts w:hint="eastAsia" w:cs="Times New Roman"/>
          <w:u w:val="none"/>
          <w:lang w:val="en-US" w:eastAsia="zh-CN"/>
        </w:rPr>
        <w:t>古城</w:t>
      </w:r>
      <w:r>
        <w:rPr>
          <w:rFonts w:cs="Times New Roman"/>
          <w:u w:val="none"/>
        </w:rPr>
        <w:t>镇的生活垃圾统一运至县城生活垃圾卫生填埋场进行卫生填埋处理。</w:t>
      </w:r>
    </w:p>
    <w:p w14:paraId="028276DE">
      <w:pPr>
        <w:pStyle w:val="6"/>
        <w:bidi w:val="0"/>
        <w:rPr>
          <w:rFonts w:hint="eastAsia"/>
          <w:lang w:eastAsia="zh-CN"/>
        </w:rPr>
      </w:pPr>
      <w:r>
        <w:rPr>
          <w:rFonts w:hint="eastAsia"/>
          <w:lang w:eastAsia="zh-CN"/>
        </w:rPr>
        <w:drawing>
          <wp:inline distT="0" distB="0" distL="114300" distR="114300">
            <wp:extent cx="5441315" cy="3850005"/>
            <wp:effectExtent l="0" t="0" r="6985" b="17145"/>
            <wp:docPr id="26" name="图片 26" descr="210522106古城镇37城镇开发边界范围市政基础设施规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210522106古城镇37城镇开发边界范围市政基础设施规划图"/>
                    <pic:cNvPicPr>
                      <a:picLocks noChangeAspect="1"/>
                    </pic:cNvPicPr>
                  </pic:nvPicPr>
                  <pic:blipFill>
                    <a:blip r:embed="rId35"/>
                    <a:stretch>
                      <a:fillRect/>
                    </a:stretch>
                  </pic:blipFill>
                  <pic:spPr>
                    <a:xfrm>
                      <a:off x="0" y="0"/>
                      <a:ext cx="5441315" cy="3850005"/>
                    </a:xfrm>
                    <a:prstGeom prst="rect">
                      <a:avLst/>
                    </a:prstGeom>
                  </pic:spPr>
                </pic:pic>
              </a:graphicData>
            </a:graphic>
          </wp:inline>
        </w:drawing>
      </w:r>
    </w:p>
    <w:bookmarkEnd w:id="195"/>
    <w:p w14:paraId="4A459692">
      <w:pPr>
        <w:pStyle w:val="3"/>
        <w:bidi w:val="0"/>
        <w:ind w:left="0" w:leftChars="0" w:firstLine="420" w:firstLineChars="0"/>
        <w:rPr>
          <w:rFonts w:hint="eastAsia" w:ascii="黑体" w:hAnsi="黑体" w:eastAsia="黑体" w:cs="黑体"/>
          <w:u w:val="none"/>
          <w:lang w:val="en-US" w:eastAsia="zh-CN"/>
        </w:rPr>
      </w:pPr>
      <w:bookmarkStart w:id="202" w:name="_Toc24656"/>
      <w:bookmarkStart w:id="203" w:name="_Toc5336"/>
      <w:bookmarkStart w:id="204" w:name="_Toc133419350"/>
      <w:bookmarkStart w:id="205" w:name="_Toc152937216"/>
      <w:bookmarkStart w:id="206" w:name="_Toc152937212"/>
      <w:r>
        <w:rPr>
          <w:rFonts w:hint="eastAsia" w:ascii="黑体" w:hAnsi="黑体" w:eastAsia="黑体" w:cs="黑体"/>
          <w:u w:val="none"/>
          <w:lang w:val="en-US" w:eastAsia="zh-CN"/>
        </w:rPr>
        <w:t>“四线”管控</w:t>
      </w:r>
      <w:bookmarkEnd w:id="202"/>
      <w:bookmarkEnd w:id="203"/>
      <w:bookmarkEnd w:id="204"/>
      <w:bookmarkEnd w:id="205"/>
    </w:p>
    <w:p w14:paraId="6AAE3AC0">
      <w:pPr>
        <w:pStyle w:val="4"/>
        <w:bidi w:val="0"/>
        <w:ind w:left="0" w:leftChars="0" w:firstLine="420" w:firstLineChars="0"/>
        <w:rPr>
          <w:rFonts w:hint="eastAsia"/>
          <w:color w:val="auto"/>
          <w:u w:val="none"/>
          <w:lang w:val="en-US" w:eastAsia="zh-CN"/>
        </w:rPr>
      </w:pPr>
      <w:r>
        <w:rPr>
          <w:rFonts w:hint="eastAsia"/>
          <w:color w:val="auto"/>
          <w:u w:val="none"/>
          <w:lang w:val="en-US" w:eastAsia="zh-CN"/>
        </w:rPr>
        <w:t>绿线划定和管控要求</w:t>
      </w:r>
    </w:p>
    <w:p w14:paraId="3910BE2D">
      <w:pPr>
        <w:keepNext w:val="0"/>
        <w:keepLines w:val="0"/>
        <w:pageBreakBefore w:val="0"/>
        <w:widowControl w:val="0"/>
        <w:kinsoku/>
        <w:overflowPunct/>
        <w:topLinePunct w:val="0"/>
        <w:autoSpaceDE/>
        <w:autoSpaceDN/>
        <w:bidi w:val="0"/>
        <w:spacing w:line="600" w:lineRule="exact"/>
        <w:textAlignment w:val="auto"/>
        <w:rPr>
          <w:rFonts w:cs="仿宋_GB2312"/>
          <w:szCs w:val="32"/>
          <w:u w:val="none"/>
          <w:lang w:bidi="ar"/>
        </w:rPr>
      </w:pPr>
      <w:r>
        <w:rPr>
          <w:rFonts w:hint="eastAsia"/>
          <w:u w:val="none"/>
        </w:rPr>
        <w:t>将对居民生活有重要影响的重要公园绿地、防护绿地和广场用地等绿地纳入绿线管控。至2035年末，纳入绿线管控的绿地总面积不少于0.52公顷。</w:t>
      </w:r>
      <w:r>
        <w:rPr>
          <w:rFonts w:hint="eastAsia" w:cs="仿宋_GB2312"/>
          <w:szCs w:val="32"/>
          <w:u w:val="none"/>
          <w:lang w:bidi="ar"/>
        </w:rPr>
        <w:t>参照《城市绿线管理办法》管控。</w:t>
      </w:r>
    </w:p>
    <w:p w14:paraId="525CA9CD">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绿线内的用地，不得改作他用，不得违反法律法规、强制性标准以及批准的规划进行开发建设；有关部门不得违反规定，批准在绿线范围内进行建设；因建设或者其他</w:t>
      </w:r>
      <w:r>
        <w:rPr>
          <w:rFonts w:hint="eastAsia" w:eastAsia="仿宋_GB2312"/>
          <w:u w:val="none"/>
          <w:lang w:eastAsia="zh-CN"/>
        </w:rPr>
        <w:t>特殊</w:t>
      </w:r>
      <w:r>
        <w:rPr>
          <w:rFonts w:hint="eastAsia"/>
          <w:u w:val="none"/>
        </w:rPr>
        <w:t>情况，需要临时占用绿线内用地的，必须依法办理相关审批手续；在绿线范围内，不符合规划要求的建筑物、构筑物及其他设施应当限期迁出；任何单位和个人不得在绿地范围内进行拦河截溪、取土采石、设置垃圾堆场、排放污水以及其他对生态环境构成破坏的活动。</w:t>
      </w:r>
    </w:p>
    <w:p w14:paraId="47EAF510">
      <w:pPr>
        <w:pStyle w:val="4"/>
        <w:bidi w:val="0"/>
        <w:ind w:left="0" w:leftChars="0" w:firstLine="420" w:firstLineChars="0"/>
        <w:rPr>
          <w:rFonts w:hint="eastAsia"/>
          <w:color w:val="auto"/>
          <w:u w:val="none"/>
          <w:lang w:val="en-US" w:eastAsia="zh-CN"/>
        </w:rPr>
      </w:pPr>
      <w:r>
        <w:rPr>
          <w:rFonts w:hint="eastAsia"/>
          <w:color w:val="auto"/>
          <w:u w:val="none"/>
          <w:lang w:val="en-US" w:eastAsia="zh-CN"/>
        </w:rPr>
        <w:t>黄线划定和管控要求</w:t>
      </w:r>
    </w:p>
    <w:p w14:paraId="1BC84D9E">
      <w:pPr>
        <w:keepNext w:val="0"/>
        <w:keepLines w:val="0"/>
        <w:pageBreakBefore w:val="0"/>
        <w:widowControl w:val="0"/>
        <w:kinsoku/>
        <w:overflowPunct/>
        <w:topLinePunct w:val="0"/>
        <w:autoSpaceDE/>
        <w:autoSpaceDN/>
        <w:bidi w:val="0"/>
        <w:spacing w:line="600" w:lineRule="exact"/>
        <w:textAlignment w:val="auto"/>
        <w:rPr>
          <w:u w:val="none"/>
        </w:rPr>
      </w:pPr>
      <w:bookmarkStart w:id="207" w:name="_Hlk131093420"/>
      <w:r>
        <w:rPr>
          <w:rFonts w:hint="eastAsia"/>
          <w:u w:val="none"/>
        </w:rPr>
        <w:t>将重要给水设施、排水设施、电力设施、通信设施、燃气设施、热力设施、环卫设施等划入黄线范围进行严格管控。至2035年，规划黄线0.2公顷。</w:t>
      </w:r>
    </w:p>
    <w:p w14:paraId="78BCFBF9">
      <w:pPr>
        <w:keepNext w:val="0"/>
        <w:keepLines w:val="0"/>
        <w:pageBreakBefore w:val="0"/>
        <w:widowControl w:val="0"/>
        <w:kinsoku/>
        <w:overflowPunct/>
        <w:topLinePunct w:val="0"/>
        <w:autoSpaceDE/>
        <w:autoSpaceDN/>
        <w:bidi w:val="0"/>
        <w:spacing w:line="600" w:lineRule="exact"/>
        <w:textAlignment w:val="auto"/>
        <w:rPr>
          <w:rFonts w:hint="eastAsia"/>
          <w:u w:val="none"/>
        </w:rPr>
      </w:pPr>
      <w:r>
        <w:rPr>
          <w:rFonts w:hint="eastAsia"/>
          <w:u w:val="none"/>
        </w:rPr>
        <w:t>纳入黄线管控的线性设施满足走向不改变、服务片区不改变的前提下，面状设施用地规模不减小、服务功能不减弱的前提下，黄线的具体边界、定位可在详细规划编制和实施中落实，黄线的调整应符合国家有关规定。按照《城市黄线管理办法》及相关空间管控要求，对黄线进行严格管理。黄线控制范围除保障设施自身运行安全外，应考虑与周围其他建（构）筑物的间距要求，对现有损坏或影响城市基础设施安全、正常运作的用地，应当限期整改或拆除。</w:t>
      </w:r>
      <w:bookmarkEnd w:id="207"/>
    </w:p>
    <w:p w14:paraId="28AEECA3">
      <w:pPr>
        <w:pStyle w:val="6"/>
        <w:bidi w:val="0"/>
        <w:rPr>
          <w:rFonts w:hint="eastAsia"/>
          <w:lang w:eastAsia="zh-CN"/>
        </w:rPr>
      </w:pPr>
      <w:r>
        <w:rPr>
          <w:rFonts w:hint="eastAsia"/>
          <w:lang w:eastAsia="zh-CN"/>
        </w:rPr>
        <w:drawing>
          <wp:inline distT="0" distB="0" distL="114300" distR="114300">
            <wp:extent cx="5441315" cy="3850005"/>
            <wp:effectExtent l="0" t="0" r="6985" b="17145"/>
            <wp:docPr id="23" name="图片 23" descr="210522106古城镇34城镇开发边界范围控制线规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210522106古城镇34城镇开发边界范围控制线规划图"/>
                    <pic:cNvPicPr>
                      <a:picLocks noChangeAspect="1"/>
                    </pic:cNvPicPr>
                  </pic:nvPicPr>
                  <pic:blipFill>
                    <a:blip r:embed="rId36"/>
                    <a:stretch>
                      <a:fillRect/>
                    </a:stretch>
                  </pic:blipFill>
                  <pic:spPr>
                    <a:xfrm>
                      <a:off x="0" y="0"/>
                      <a:ext cx="5441315" cy="3850005"/>
                    </a:xfrm>
                    <a:prstGeom prst="rect">
                      <a:avLst/>
                    </a:prstGeom>
                  </pic:spPr>
                </pic:pic>
              </a:graphicData>
            </a:graphic>
          </wp:inline>
        </w:drawing>
      </w:r>
    </w:p>
    <w:bookmarkEnd w:id="113"/>
    <w:bookmarkEnd w:id="191"/>
    <w:bookmarkEnd w:id="206"/>
    <w:p w14:paraId="051B8AFA">
      <w:pPr>
        <w:pStyle w:val="2"/>
        <w:spacing w:before="360" w:after="360"/>
        <w:rPr>
          <w:rFonts w:hint="eastAsia" w:ascii="方正小标宋简体" w:hAnsi="方正小标宋简体" w:eastAsia="方正小标宋简体" w:cs="方正小标宋简体"/>
          <w:color w:val="auto"/>
          <w:u w:val="none"/>
          <w:lang w:val="en-US" w:eastAsia="zh-CN"/>
        </w:rPr>
      </w:pPr>
      <w:bookmarkStart w:id="208" w:name="_Toc152937226"/>
      <w:bookmarkStart w:id="209" w:name="_Toc30798"/>
      <w:bookmarkStart w:id="210" w:name="_Toc16359"/>
      <w:r>
        <w:rPr>
          <w:rFonts w:hint="eastAsia" w:ascii="方正小标宋简体" w:hAnsi="方正小标宋简体" w:eastAsia="方正小标宋简体" w:cs="方正小标宋简体"/>
          <w:color w:val="auto"/>
          <w:u w:val="none"/>
          <w:lang w:val="en-US" w:eastAsia="zh-CN"/>
        </w:rPr>
        <w:t>规划传导与近期建设</w:t>
      </w:r>
      <w:bookmarkEnd w:id="208"/>
      <w:bookmarkEnd w:id="209"/>
      <w:bookmarkEnd w:id="210"/>
    </w:p>
    <w:p w14:paraId="0CAF54B1">
      <w:pPr>
        <w:pStyle w:val="3"/>
        <w:bidi w:val="0"/>
        <w:ind w:left="0" w:leftChars="0" w:firstLine="420" w:firstLineChars="0"/>
        <w:rPr>
          <w:rFonts w:hint="eastAsia" w:ascii="黑体" w:hAnsi="黑体" w:eastAsia="黑体" w:cs="黑体"/>
          <w:u w:val="none"/>
          <w:lang w:val="en-US" w:eastAsia="zh-CN"/>
        </w:rPr>
      </w:pPr>
      <w:bookmarkStart w:id="211" w:name="_Toc26421"/>
      <w:bookmarkStart w:id="212" w:name="_Toc29804"/>
      <w:bookmarkStart w:id="213" w:name="_Toc133419369"/>
      <w:r>
        <w:rPr>
          <w:rFonts w:hint="eastAsia" w:ascii="黑体" w:hAnsi="黑体" w:eastAsia="黑体" w:cs="黑体"/>
          <w:u w:val="none"/>
          <w:lang w:val="en-US" w:eastAsia="zh-CN"/>
        </w:rPr>
        <w:t>加强党的领导</w:t>
      </w:r>
      <w:bookmarkEnd w:id="211"/>
      <w:bookmarkEnd w:id="212"/>
    </w:p>
    <w:p w14:paraId="3D50C2CC">
      <w:pPr>
        <w:pStyle w:val="4"/>
        <w:bidi w:val="0"/>
        <w:ind w:left="0" w:leftChars="0" w:firstLine="420" w:firstLineChars="0"/>
        <w:rPr>
          <w:rFonts w:hint="eastAsia"/>
          <w:color w:val="auto"/>
          <w:u w:val="none"/>
          <w:lang w:val="en-US" w:eastAsia="zh-CN"/>
        </w:rPr>
      </w:pPr>
      <w:r>
        <w:rPr>
          <w:rFonts w:hint="eastAsia"/>
          <w:color w:val="auto"/>
          <w:u w:val="none"/>
          <w:lang w:val="en-US" w:eastAsia="zh-CN"/>
        </w:rPr>
        <w:t>强化党对国土空间规划的全面领导</w:t>
      </w:r>
    </w:p>
    <w:p w14:paraId="5E4DE44C">
      <w:pPr>
        <w:keepNext w:val="0"/>
        <w:keepLines w:val="0"/>
        <w:pageBreakBefore w:val="0"/>
        <w:widowControl w:val="0"/>
        <w:kinsoku/>
        <w:overflowPunct/>
        <w:topLinePunct w:val="0"/>
        <w:autoSpaceDE/>
        <w:autoSpaceDN/>
        <w:bidi w:val="0"/>
        <w:spacing w:line="600" w:lineRule="exact"/>
        <w:textAlignment w:val="auto"/>
        <w:rPr>
          <w:u w:val="none"/>
        </w:rPr>
      </w:pPr>
      <w:bookmarkStart w:id="214" w:name="_Hlk131413673"/>
      <w:r>
        <w:rPr>
          <w:rFonts w:hint="eastAsia"/>
          <w:u w:val="none"/>
        </w:rPr>
        <w:t>深入学习贯彻习近平新时代中国特色社会主义思想，深刻领悟“两个确立”的决定性意义，增强“四个意识”、坚定“四个自信”、做到“两个维护”，不断提高政治判断力、政治领悟力、政治执行力，充分发挥党总揽全局、协调各方的领导核心作用，把党的领导贯彻到国土空间规划编制实施全过程各领域各环节。</w:t>
      </w:r>
      <w:bookmarkEnd w:id="214"/>
    </w:p>
    <w:p w14:paraId="6D3C2FCB">
      <w:pPr>
        <w:pStyle w:val="4"/>
        <w:bidi w:val="0"/>
        <w:ind w:left="0" w:leftChars="0" w:firstLine="420" w:firstLineChars="0"/>
        <w:rPr>
          <w:rFonts w:hint="eastAsia"/>
          <w:color w:val="auto"/>
          <w:u w:val="none"/>
          <w:lang w:val="en-US" w:eastAsia="zh-CN"/>
        </w:rPr>
      </w:pPr>
      <w:r>
        <w:rPr>
          <w:rFonts w:hint="eastAsia"/>
          <w:color w:val="auto"/>
          <w:u w:val="none"/>
          <w:lang w:val="en-US" w:eastAsia="zh-CN"/>
        </w:rPr>
        <w:t>落实地方党委政府国土空间规划管理主体责任</w:t>
      </w:r>
    </w:p>
    <w:p w14:paraId="39026613">
      <w:pPr>
        <w:keepNext w:val="0"/>
        <w:keepLines w:val="0"/>
        <w:pageBreakBefore w:val="0"/>
        <w:widowControl w:val="0"/>
        <w:kinsoku/>
        <w:overflowPunct/>
        <w:topLinePunct w:val="0"/>
        <w:autoSpaceDE/>
        <w:autoSpaceDN/>
        <w:bidi w:val="0"/>
        <w:spacing w:line="600" w:lineRule="exact"/>
        <w:textAlignment w:val="auto"/>
        <w:rPr>
          <w:u w:val="none"/>
        </w:rPr>
      </w:pPr>
      <w:bookmarkStart w:id="215" w:name="_Hlk131413678"/>
      <w:r>
        <w:rPr>
          <w:rFonts w:hint="eastAsia"/>
          <w:u w:val="none"/>
        </w:rPr>
        <w:t>坚持“多规合一”，不在国土空间规划体系之外另设其他空间规划。强化规划严肃性，规划一经批准，任何部门和个人不得随意修改、违规变更。规划实施中的重大事项或重大调整，应及时按程序向上级党委政府请示报告。</w:t>
      </w:r>
      <w:bookmarkEnd w:id="215"/>
    </w:p>
    <w:p w14:paraId="2C12ACF6">
      <w:pPr>
        <w:pStyle w:val="4"/>
        <w:bidi w:val="0"/>
        <w:ind w:left="0" w:leftChars="0" w:firstLine="420" w:firstLineChars="0"/>
        <w:rPr>
          <w:rFonts w:hint="eastAsia"/>
          <w:color w:val="auto"/>
          <w:u w:val="none"/>
          <w:lang w:val="en-US" w:eastAsia="zh-CN"/>
        </w:rPr>
      </w:pPr>
      <w:r>
        <w:rPr>
          <w:rFonts w:hint="eastAsia"/>
          <w:color w:val="auto"/>
          <w:u w:val="none"/>
          <w:lang w:val="en-US" w:eastAsia="zh-CN"/>
        </w:rPr>
        <w:t>加强部门协同联动</w:t>
      </w:r>
    </w:p>
    <w:p w14:paraId="4679B6A4">
      <w:pPr>
        <w:keepNext w:val="0"/>
        <w:keepLines w:val="0"/>
        <w:pageBreakBefore w:val="0"/>
        <w:widowControl w:val="0"/>
        <w:kinsoku/>
        <w:overflowPunct/>
        <w:topLinePunct w:val="0"/>
        <w:autoSpaceDE/>
        <w:autoSpaceDN/>
        <w:bidi w:val="0"/>
        <w:spacing w:line="600" w:lineRule="exact"/>
        <w:textAlignment w:val="auto"/>
        <w:rPr>
          <w:rFonts w:hint="eastAsia"/>
          <w:u w:val="none"/>
        </w:rPr>
      </w:pPr>
      <w:r>
        <w:rPr>
          <w:rFonts w:hint="eastAsia"/>
          <w:u w:val="none"/>
        </w:rPr>
        <w:t>加强部门协同，进一步完善国土空间规划编制实施管理的配套措施，对国土空间规划编制实施管理重大问题进行统筹协调和决策，确保规划各项目标任务落地实施。</w:t>
      </w:r>
    </w:p>
    <w:p w14:paraId="1C11B8D4">
      <w:pPr>
        <w:keepNext w:val="0"/>
        <w:keepLines w:val="0"/>
        <w:pageBreakBefore w:val="0"/>
        <w:widowControl w:val="0"/>
        <w:kinsoku/>
        <w:overflowPunct/>
        <w:topLinePunct w:val="0"/>
        <w:autoSpaceDE/>
        <w:autoSpaceDN/>
        <w:bidi w:val="0"/>
        <w:spacing w:line="600" w:lineRule="exact"/>
        <w:textAlignment w:val="auto"/>
        <w:rPr>
          <w:rFonts w:hint="eastAsia"/>
          <w:u w:val="none"/>
        </w:rPr>
      </w:pPr>
    </w:p>
    <w:p w14:paraId="13FEF4EC">
      <w:pPr>
        <w:pStyle w:val="3"/>
        <w:bidi w:val="0"/>
        <w:ind w:left="0" w:leftChars="0" w:firstLine="420" w:firstLineChars="0"/>
        <w:rPr>
          <w:rFonts w:hint="eastAsia" w:ascii="黑体" w:hAnsi="黑体" w:eastAsia="黑体" w:cs="黑体"/>
          <w:u w:val="none"/>
          <w:lang w:val="en-US" w:eastAsia="zh-CN"/>
        </w:rPr>
      </w:pPr>
      <w:bookmarkStart w:id="216" w:name="_Toc24181"/>
      <w:bookmarkStart w:id="217" w:name="_Toc11468"/>
      <w:bookmarkStart w:id="218" w:name="_Toc152937228"/>
      <w:r>
        <w:rPr>
          <w:rFonts w:hint="eastAsia" w:ascii="黑体" w:hAnsi="黑体" w:eastAsia="黑体" w:cs="黑体"/>
          <w:u w:val="none"/>
          <w:lang w:val="en-US" w:eastAsia="zh-CN"/>
        </w:rPr>
        <w:t>详细规划传导</w:t>
      </w:r>
      <w:bookmarkEnd w:id="216"/>
      <w:bookmarkEnd w:id="217"/>
      <w:bookmarkEnd w:id="218"/>
    </w:p>
    <w:p w14:paraId="3706B9C8">
      <w:pPr>
        <w:pStyle w:val="4"/>
        <w:bidi w:val="0"/>
        <w:ind w:left="0" w:leftChars="0" w:firstLine="420" w:firstLineChars="0"/>
        <w:rPr>
          <w:rFonts w:hint="eastAsia"/>
          <w:color w:val="auto"/>
          <w:u w:val="none"/>
          <w:lang w:val="en-US" w:eastAsia="zh-CN"/>
        </w:rPr>
      </w:pPr>
      <w:r>
        <w:rPr>
          <w:rFonts w:hint="eastAsia"/>
          <w:color w:val="auto"/>
          <w:u w:val="none"/>
          <w:lang w:val="en-US" w:eastAsia="zh-CN"/>
        </w:rPr>
        <w:t>完善规划传导体系</w:t>
      </w:r>
    </w:p>
    <w:p w14:paraId="18120267">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严格落实桓仁县确定的各项指标任务，在严守并落实上位规划下达、确定的耕地保有量、永久基本农田保护面积、生态保护红线面积以及历史文化保护线、洪涝风险防控线、矿产资源控制线等相关管控约束规定的基础上，同时衔接桓仁县国土空间规划中确定关于古城镇的空间发展格局、战略目标、城镇定位与发展方向、重大综合交通布局、重要公共服务与基础设施安排、规划分区深化细化、要素配置等内容导向，统筹安排各类用地结构和空间布局，合理优化镇域农业、生态、城镇空间格局，确保县、镇级规划双向衔接。</w:t>
      </w:r>
    </w:p>
    <w:p w14:paraId="05F2ED9B">
      <w:pPr>
        <w:pStyle w:val="4"/>
        <w:bidi w:val="0"/>
        <w:ind w:left="0" w:leftChars="0" w:firstLine="420" w:firstLineChars="0"/>
        <w:rPr>
          <w:rFonts w:hint="eastAsia"/>
          <w:color w:val="auto"/>
          <w:u w:val="none"/>
          <w:lang w:val="en-US" w:eastAsia="zh-CN"/>
        </w:rPr>
      </w:pPr>
      <w:r>
        <w:rPr>
          <w:rFonts w:hint="eastAsia"/>
          <w:color w:val="auto"/>
          <w:u w:val="none"/>
          <w:lang w:val="en-US" w:eastAsia="zh-CN"/>
        </w:rPr>
        <w:t>详细规划传导</w:t>
      </w:r>
    </w:p>
    <w:p w14:paraId="53921206">
      <w:pPr>
        <w:keepNext w:val="0"/>
        <w:keepLines w:val="0"/>
        <w:pageBreakBefore w:val="0"/>
        <w:widowControl w:val="0"/>
        <w:kinsoku/>
        <w:overflowPunct/>
        <w:topLinePunct w:val="0"/>
        <w:autoSpaceDE/>
        <w:autoSpaceDN/>
        <w:bidi w:val="0"/>
        <w:spacing w:line="600" w:lineRule="exact"/>
        <w:textAlignment w:val="auto"/>
        <w:rPr>
          <w:rFonts w:hint="eastAsia"/>
          <w:u w:val="none"/>
          <w:lang w:bidi="ar"/>
        </w:rPr>
      </w:pPr>
      <w:r>
        <w:rPr>
          <w:rFonts w:hint="eastAsia"/>
          <w:u w:val="none"/>
          <w:lang w:bidi="ar"/>
        </w:rPr>
        <w:t>落实上位规划划分的城乡详细规划单元，构建面向实施的详细规划编制体系，在城镇开发边界内通过“城镇单元”传导，编制详细规划，外围乡村地区通过“乡村单元”传导，编制村庄规划。将全域划分为13个规划编制单元，其中，</w:t>
      </w:r>
      <w:r>
        <w:rPr>
          <w:rFonts w:hint="eastAsia" w:ascii="Times New Roman" w:eastAsia="仿宋_GB2312"/>
          <w:u w:val="none"/>
          <w:lang w:val="en-US" w:eastAsia="zh-CN" w:bidi="ar"/>
        </w:rPr>
        <w:t>城</w:t>
      </w:r>
      <w:r>
        <w:rPr>
          <w:rFonts w:hint="eastAsia"/>
          <w:u w:val="none"/>
          <w:lang w:bidi="ar"/>
        </w:rPr>
        <w:t>镇单元1个、</w:t>
      </w:r>
      <w:r>
        <w:rPr>
          <w:rFonts w:hint="eastAsia" w:ascii="Times New Roman" w:eastAsia="仿宋_GB2312"/>
          <w:u w:val="none"/>
          <w:lang w:val="en-US" w:eastAsia="zh-CN" w:bidi="ar"/>
        </w:rPr>
        <w:t>乡村</w:t>
      </w:r>
      <w:r>
        <w:rPr>
          <w:rFonts w:hint="eastAsia"/>
          <w:u w:val="none"/>
          <w:lang w:bidi="ar"/>
        </w:rPr>
        <w:t>单元1</w:t>
      </w:r>
      <w:r>
        <w:rPr>
          <w:rFonts w:hint="eastAsia" w:ascii="Times New Roman" w:eastAsia="仿宋_GB2312"/>
          <w:u w:val="none"/>
          <w:lang w:val="en-US" w:eastAsia="zh-CN" w:bidi="ar"/>
        </w:rPr>
        <w:t>2</w:t>
      </w:r>
      <w:r>
        <w:rPr>
          <w:rFonts w:hint="eastAsia"/>
          <w:u w:val="none"/>
          <w:lang w:bidi="ar"/>
        </w:rPr>
        <w:t>个。</w:t>
      </w:r>
    </w:p>
    <w:p w14:paraId="50FA75D8">
      <w:pPr>
        <w:pStyle w:val="6"/>
        <w:bidi w:val="0"/>
        <w:rPr>
          <w:rFonts w:hint="eastAsia"/>
          <w:lang w:eastAsia="zh-CN"/>
        </w:rPr>
      </w:pPr>
      <w:r>
        <w:rPr>
          <w:rFonts w:hint="eastAsia"/>
          <w:lang w:eastAsia="zh-CN"/>
        </w:rPr>
        <w:drawing>
          <wp:inline distT="0" distB="0" distL="114300" distR="114300">
            <wp:extent cx="5441315" cy="3850005"/>
            <wp:effectExtent l="0" t="0" r="6985" b="17145"/>
            <wp:docPr id="18" name="图片 18" descr="210522106古城镇24详细规划编制单元划分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210522106古城镇24详细规划编制单元划分图"/>
                    <pic:cNvPicPr>
                      <a:picLocks noChangeAspect="1"/>
                    </pic:cNvPicPr>
                  </pic:nvPicPr>
                  <pic:blipFill>
                    <a:blip r:embed="rId37"/>
                    <a:stretch>
                      <a:fillRect/>
                    </a:stretch>
                  </pic:blipFill>
                  <pic:spPr>
                    <a:xfrm>
                      <a:off x="0" y="0"/>
                      <a:ext cx="5441315" cy="3850005"/>
                    </a:xfrm>
                    <a:prstGeom prst="rect">
                      <a:avLst/>
                    </a:prstGeom>
                  </pic:spPr>
                </pic:pic>
              </a:graphicData>
            </a:graphic>
          </wp:inline>
        </w:drawing>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9"/>
        <w:gridCol w:w="3183"/>
        <w:gridCol w:w="4211"/>
      </w:tblGrid>
      <w:tr w14:paraId="6DC7C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803" w:type="dxa"/>
            <w:gridSpan w:val="3"/>
            <w:vAlign w:val="center"/>
          </w:tcPr>
          <w:p w14:paraId="4C854E19">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ascii="仿宋_GB2312" w:hAnsi="仿宋_GB2312" w:eastAsia="仿宋_GB2312" w:cs="仿宋_GB2312"/>
                <w:b/>
                <w:bCs/>
                <w:color w:val="auto"/>
                <w:sz w:val="24"/>
                <w:szCs w:val="24"/>
                <w:u w:val="none"/>
                <w:vertAlign w:val="baseline"/>
                <w:lang w:bidi="ar"/>
              </w:rPr>
            </w:pPr>
            <w:r>
              <w:rPr>
                <w:rFonts w:hint="eastAsia" w:ascii="仿宋_GB2312" w:hAnsi="仿宋_GB2312" w:eastAsia="仿宋_GB2312" w:cs="仿宋_GB2312"/>
                <w:b/>
                <w:bCs/>
                <w:color w:val="auto"/>
                <w:sz w:val="24"/>
                <w:szCs w:val="24"/>
                <w:u w:val="none"/>
                <w:vertAlign w:val="baseline"/>
                <w:lang w:bidi="ar"/>
              </w:rPr>
              <w:t>详细规划单元指引</w:t>
            </w:r>
          </w:p>
        </w:tc>
      </w:tr>
      <w:tr w14:paraId="673E4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409" w:type="dxa"/>
            <w:vAlign w:val="center"/>
          </w:tcPr>
          <w:p w14:paraId="1A4CCED6">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ascii="仿宋_GB2312" w:hAnsi="仿宋_GB2312" w:eastAsia="仿宋_GB2312" w:cs="仿宋_GB2312"/>
                <w:b/>
                <w:bCs/>
                <w:color w:val="auto"/>
                <w:sz w:val="24"/>
                <w:szCs w:val="24"/>
                <w:u w:val="none"/>
                <w:vertAlign w:val="baseline"/>
                <w:lang w:val="en-US" w:eastAsia="zh-CN" w:bidi="ar"/>
              </w:rPr>
            </w:pPr>
            <w:r>
              <w:rPr>
                <w:rFonts w:hint="eastAsia" w:ascii="仿宋_GB2312" w:hAnsi="仿宋_GB2312" w:eastAsia="仿宋_GB2312" w:cs="仿宋_GB2312"/>
                <w:b/>
                <w:bCs/>
                <w:color w:val="auto"/>
                <w:sz w:val="24"/>
                <w:szCs w:val="24"/>
                <w:u w:val="none"/>
                <w:vertAlign w:val="baseline"/>
                <w:lang w:val="en-US" w:eastAsia="zh-CN" w:bidi="ar"/>
              </w:rPr>
              <w:t>单元类型</w:t>
            </w:r>
          </w:p>
        </w:tc>
        <w:tc>
          <w:tcPr>
            <w:tcW w:w="3183" w:type="dxa"/>
            <w:vAlign w:val="center"/>
          </w:tcPr>
          <w:p w14:paraId="41984ED8">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ascii="仿宋_GB2312" w:hAnsi="仿宋_GB2312" w:eastAsia="仿宋_GB2312" w:cs="仿宋_GB2312"/>
                <w:b/>
                <w:bCs/>
                <w:color w:val="auto"/>
                <w:sz w:val="24"/>
                <w:szCs w:val="24"/>
                <w:u w:val="none"/>
                <w:vertAlign w:val="baseline"/>
                <w:lang w:bidi="ar"/>
              </w:rPr>
            </w:pPr>
            <w:r>
              <w:rPr>
                <w:rFonts w:hint="eastAsia" w:ascii="仿宋_GB2312" w:hAnsi="仿宋_GB2312" w:eastAsia="仿宋_GB2312" w:cs="仿宋_GB2312"/>
                <w:b/>
                <w:bCs/>
                <w:color w:val="auto"/>
                <w:sz w:val="24"/>
                <w:szCs w:val="24"/>
                <w:u w:val="none"/>
                <w:vertAlign w:val="baseline"/>
                <w:lang w:val="en-US" w:eastAsia="zh-CN" w:bidi="ar"/>
              </w:rPr>
              <w:t>单元名称</w:t>
            </w:r>
          </w:p>
        </w:tc>
        <w:tc>
          <w:tcPr>
            <w:tcW w:w="4211" w:type="dxa"/>
            <w:vAlign w:val="center"/>
          </w:tcPr>
          <w:p w14:paraId="04BCE4C8">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ascii="仿宋_GB2312" w:hAnsi="仿宋_GB2312" w:eastAsia="仿宋_GB2312" w:cs="仿宋_GB2312"/>
                <w:b/>
                <w:bCs/>
                <w:color w:val="auto"/>
                <w:sz w:val="24"/>
                <w:szCs w:val="24"/>
                <w:u w:val="none"/>
                <w:vertAlign w:val="baseline"/>
                <w:lang w:bidi="ar"/>
              </w:rPr>
            </w:pPr>
            <w:r>
              <w:rPr>
                <w:rFonts w:hint="eastAsia" w:ascii="仿宋_GB2312" w:hAnsi="仿宋_GB2312" w:eastAsia="仿宋_GB2312" w:cs="仿宋_GB2312"/>
                <w:b/>
                <w:bCs/>
                <w:color w:val="auto"/>
                <w:sz w:val="24"/>
                <w:szCs w:val="24"/>
                <w:u w:val="none"/>
                <w:vertAlign w:val="baseline"/>
                <w:lang w:bidi="ar"/>
              </w:rPr>
              <w:t>主导功能</w:t>
            </w:r>
          </w:p>
        </w:tc>
      </w:tr>
      <w:tr w14:paraId="301A3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409" w:type="dxa"/>
            <w:vAlign w:val="center"/>
          </w:tcPr>
          <w:p w14:paraId="3003005F">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ascii="仿宋_GB2312" w:hAnsi="仿宋_GB2312" w:eastAsia="仿宋_GB2312" w:cs="仿宋_GB2312"/>
                <w:b/>
                <w:bCs/>
                <w:color w:val="auto"/>
                <w:sz w:val="24"/>
                <w:szCs w:val="24"/>
                <w:u w:val="none"/>
                <w:vertAlign w:val="baseline"/>
                <w:lang w:val="en-US" w:eastAsia="zh-CN" w:bidi="ar"/>
              </w:rPr>
            </w:pPr>
            <w:r>
              <w:rPr>
                <w:rFonts w:hint="eastAsia" w:ascii="仿宋_GB2312" w:hAnsi="仿宋_GB2312" w:eastAsia="仿宋_GB2312" w:cs="仿宋_GB2312"/>
                <w:b/>
                <w:bCs/>
                <w:color w:val="auto"/>
                <w:sz w:val="24"/>
                <w:szCs w:val="24"/>
                <w:u w:val="none"/>
                <w:vertAlign w:val="baseline"/>
                <w:lang w:val="en-US" w:eastAsia="zh-CN" w:bidi="ar"/>
              </w:rPr>
              <w:t>城镇单元</w:t>
            </w:r>
          </w:p>
        </w:tc>
        <w:tc>
          <w:tcPr>
            <w:tcW w:w="3183" w:type="dxa"/>
            <w:vAlign w:val="center"/>
          </w:tcPr>
          <w:p w14:paraId="25209DDC">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rFonts w:hint="eastAsia" w:ascii="仿宋_GB2312" w:hAnsi="仿宋_GB2312" w:eastAsia="仿宋_GB2312" w:cs="仿宋_GB2312"/>
                <w:color w:val="auto"/>
                <w:sz w:val="24"/>
                <w:szCs w:val="24"/>
                <w:u w:val="none"/>
                <w:vertAlign w:val="baseline"/>
                <w:lang w:bidi="ar"/>
              </w:rPr>
            </w:pPr>
            <w:r>
              <w:rPr>
                <w:rFonts w:hint="eastAsia" w:ascii="仿宋_GB2312" w:hAnsi="仿宋_GB2312" w:eastAsia="仿宋_GB2312" w:cs="仿宋_GB2312"/>
                <w:color w:val="auto"/>
                <w:sz w:val="24"/>
                <w:szCs w:val="24"/>
                <w:u w:val="none"/>
                <w:vertAlign w:val="baseline"/>
                <w:lang w:val="en-US" w:eastAsia="zh-CN" w:bidi="ar"/>
              </w:rPr>
              <w:t>古城镇产镇融合单元</w:t>
            </w:r>
          </w:p>
        </w:tc>
        <w:tc>
          <w:tcPr>
            <w:tcW w:w="4211" w:type="dxa"/>
            <w:vAlign w:val="center"/>
          </w:tcPr>
          <w:p w14:paraId="19875ECA">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rFonts w:hint="eastAsia" w:ascii="仿宋_GB2312" w:hAnsi="仿宋_GB2312" w:eastAsia="仿宋_GB2312" w:cs="仿宋_GB2312"/>
                <w:color w:val="auto"/>
                <w:sz w:val="24"/>
                <w:szCs w:val="24"/>
                <w:u w:val="none"/>
                <w:vertAlign w:val="baseline"/>
                <w:lang w:bidi="ar"/>
              </w:rPr>
            </w:pPr>
            <w:r>
              <w:rPr>
                <w:rFonts w:hint="eastAsia" w:ascii="仿宋_GB2312" w:hAnsi="仿宋_GB2312" w:cs="仿宋_GB2312"/>
                <w:color w:val="auto"/>
                <w:sz w:val="24"/>
                <w:szCs w:val="24"/>
                <w:u w:val="none"/>
                <w:vertAlign w:val="baseline"/>
                <w:lang w:eastAsia="zh-CN" w:bidi="ar"/>
              </w:rPr>
              <w:t>街道</w:t>
            </w:r>
            <w:r>
              <w:rPr>
                <w:rFonts w:hint="eastAsia" w:ascii="仿宋_GB2312" w:hAnsi="仿宋_GB2312" w:eastAsia="仿宋_GB2312" w:cs="仿宋_GB2312"/>
                <w:color w:val="auto"/>
                <w:sz w:val="24"/>
                <w:szCs w:val="24"/>
                <w:u w:val="none"/>
                <w:vertAlign w:val="baseline"/>
                <w:lang w:bidi="ar"/>
              </w:rPr>
              <w:t>综合服务、居住、商业及产业发展、商业服务</w:t>
            </w:r>
          </w:p>
        </w:tc>
      </w:tr>
      <w:tr w14:paraId="09C06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409" w:type="dxa"/>
            <w:vMerge w:val="restart"/>
            <w:vAlign w:val="center"/>
          </w:tcPr>
          <w:p w14:paraId="7ADFE7F4">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ascii="仿宋_GB2312" w:hAnsi="仿宋_GB2312" w:eastAsia="仿宋_GB2312" w:cs="仿宋_GB2312"/>
                <w:b/>
                <w:bCs/>
                <w:color w:val="auto"/>
                <w:sz w:val="24"/>
                <w:szCs w:val="24"/>
                <w:u w:val="none"/>
                <w:vertAlign w:val="baseline"/>
                <w:lang w:val="en-US" w:eastAsia="zh-CN" w:bidi="ar"/>
              </w:rPr>
            </w:pPr>
            <w:r>
              <w:rPr>
                <w:rFonts w:hint="eastAsia" w:ascii="仿宋_GB2312" w:hAnsi="仿宋_GB2312" w:eastAsia="仿宋_GB2312" w:cs="仿宋_GB2312"/>
                <w:b/>
                <w:bCs/>
                <w:color w:val="auto"/>
                <w:sz w:val="24"/>
                <w:szCs w:val="24"/>
                <w:u w:val="none"/>
                <w:vertAlign w:val="baseline"/>
                <w:lang w:val="en-US" w:eastAsia="zh-CN" w:bidi="ar"/>
              </w:rPr>
              <w:t>乡村单元</w:t>
            </w:r>
          </w:p>
        </w:tc>
        <w:tc>
          <w:tcPr>
            <w:tcW w:w="3183" w:type="dxa"/>
            <w:vAlign w:val="center"/>
          </w:tcPr>
          <w:p w14:paraId="1A06394D">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rFonts w:hint="eastAsia" w:ascii="仿宋_GB2312" w:hAnsi="仿宋_GB2312" w:eastAsia="仿宋_GB2312" w:cs="仿宋_GB2312"/>
                <w:color w:val="auto"/>
                <w:sz w:val="24"/>
                <w:szCs w:val="24"/>
                <w:u w:val="none"/>
                <w:vertAlign w:val="baseline"/>
                <w:lang w:val="en-US" w:eastAsia="zh-CN" w:bidi="ar"/>
              </w:rPr>
            </w:pPr>
            <w:r>
              <w:rPr>
                <w:rFonts w:hint="eastAsia" w:ascii="仿宋_GB2312" w:hAnsi="仿宋_GB2312" w:eastAsia="仿宋_GB2312" w:cs="仿宋_GB2312"/>
                <w:color w:val="auto"/>
                <w:sz w:val="24"/>
                <w:szCs w:val="24"/>
                <w:u w:val="none"/>
                <w:vertAlign w:val="baseline"/>
                <w:lang w:val="en-US" w:eastAsia="zh-CN" w:bidi="ar"/>
              </w:rPr>
              <w:t>岔路子村整治提升单元</w:t>
            </w:r>
          </w:p>
        </w:tc>
        <w:tc>
          <w:tcPr>
            <w:tcW w:w="4211" w:type="dxa"/>
            <w:vAlign w:val="center"/>
          </w:tcPr>
          <w:p w14:paraId="74C8CA64">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rFonts w:hint="eastAsia" w:ascii="仿宋_GB2312" w:hAnsi="仿宋_GB2312" w:eastAsia="仿宋_GB2312" w:cs="仿宋_GB2312"/>
                <w:color w:val="auto"/>
                <w:sz w:val="24"/>
                <w:szCs w:val="24"/>
                <w:u w:val="none"/>
                <w:vertAlign w:val="baseline"/>
                <w:lang w:bidi="ar"/>
              </w:rPr>
            </w:pPr>
            <w:r>
              <w:rPr>
                <w:rFonts w:hint="eastAsia" w:ascii="仿宋_GB2312" w:hAnsi="仿宋_GB2312" w:eastAsia="仿宋_GB2312" w:cs="仿宋_GB2312"/>
                <w:color w:val="auto"/>
                <w:sz w:val="24"/>
                <w:szCs w:val="24"/>
                <w:u w:val="none"/>
                <w:vertAlign w:val="baseline"/>
                <w:lang w:bidi="ar"/>
              </w:rPr>
              <w:t>居住/农作物种植</w:t>
            </w:r>
          </w:p>
        </w:tc>
      </w:tr>
      <w:tr w14:paraId="36D85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409" w:type="dxa"/>
            <w:vMerge w:val="continue"/>
            <w:vAlign w:val="center"/>
          </w:tcPr>
          <w:p w14:paraId="0D7E63F8">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ascii="仿宋_GB2312" w:hAnsi="仿宋_GB2312" w:eastAsia="仿宋_GB2312" w:cs="仿宋_GB2312"/>
                <w:color w:val="auto"/>
                <w:sz w:val="24"/>
                <w:szCs w:val="24"/>
                <w:u w:val="none"/>
                <w:vertAlign w:val="baseline"/>
                <w:lang w:bidi="ar"/>
              </w:rPr>
            </w:pPr>
          </w:p>
        </w:tc>
        <w:tc>
          <w:tcPr>
            <w:tcW w:w="3183" w:type="dxa"/>
            <w:vAlign w:val="center"/>
          </w:tcPr>
          <w:p w14:paraId="3758049E">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rFonts w:hint="eastAsia" w:ascii="仿宋_GB2312" w:hAnsi="仿宋_GB2312" w:eastAsia="仿宋_GB2312" w:cs="仿宋_GB2312"/>
                <w:color w:val="auto"/>
                <w:sz w:val="24"/>
                <w:szCs w:val="24"/>
                <w:u w:val="none"/>
                <w:vertAlign w:val="baseline"/>
                <w:lang w:val="en-US" w:eastAsia="zh-CN" w:bidi="ar"/>
              </w:rPr>
            </w:pPr>
            <w:r>
              <w:rPr>
                <w:rFonts w:hint="eastAsia" w:ascii="仿宋_GB2312" w:hAnsi="仿宋_GB2312" w:eastAsia="仿宋_GB2312" w:cs="仿宋_GB2312"/>
                <w:color w:val="auto"/>
                <w:sz w:val="24"/>
                <w:szCs w:val="24"/>
                <w:u w:val="none"/>
                <w:vertAlign w:val="baseline"/>
                <w:lang w:val="en-US" w:eastAsia="zh-CN" w:bidi="ar"/>
              </w:rPr>
              <w:t>二道沟村整治提升单元</w:t>
            </w:r>
          </w:p>
        </w:tc>
        <w:tc>
          <w:tcPr>
            <w:tcW w:w="4211" w:type="dxa"/>
            <w:vAlign w:val="center"/>
          </w:tcPr>
          <w:p w14:paraId="63577357">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rFonts w:hint="eastAsia" w:ascii="仿宋_GB2312" w:hAnsi="仿宋_GB2312" w:eastAsia="仿宋_GB2312" w:cs="仿宋_GB2312"/>
                <w:color w:val="auto"/>
                <w:sz w:val="24"/>
                <w:szCs w:val="24"/>
                <w:u w:val="none"/>
                <w:vertAlign w:val="baseline"/>
                <w:lang w:bidi="ar"/>
              </w:rPr>
            </w:pPr>
            <w:r>
              <w:rPr>
                <w:rFonts w:hint="eastAsia" w:ascii="仿宋_GB2312" w:hAnsi="仿宋_GB2312" w:eastAsia="仿宋_GB2312" w:cs="仿宋_GB2312"/>
                <w:color w:val="auto"/>
                <w:sz w:val="24"/>
                <w:szCs w:val="24"/>
                <w:u w:val="none"/>
                <w:vertAlign w:val="baseline"/>
                <w:lang w:bidi="ar"/>
              </w:rPr>
              <w:t>居住/农作物种植</w:t>
            </w:r>
          </w:p>
        </w:tc>
      </w:tr>
      <w:tr w14:paraId="1D5F4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409" w:type="dxa"/>
            <w:vMerge w:val="continue"/>
            <w:vAlign w:val="center"/>
          </w:tcPr>
          <w:p w14:paraId="3E52ABD1">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ascii="仿宋_GB2312" w:hAnsi="仿宋_GB2312" w:eastAsia="仿宋_GB2312" w:cs="仿宋_GB2312"/>
                <w:color w:val="auto"/>
                <w:sz w:val="24"/>
                <w:szCs w:val="24"/>
                <w:u w:val="none"/>
                <w:vertAlign w:val="baseline"/>
                <w:lang w:bidi="ar"/>
              </w:rPr>
            </w:pPr>
          </w:p>
        </w:tc>
        <w:tc>
          <w:tcPr>
            <w:tcW w:w="3183" w:type="dxa"/>
            <w:vAlign w:val="center"/>
          </w:tcPr>
          <w:p w14:paraId="07207C3C">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rFonts w:hint="eastAsia" w:ascii="仿宋_GB2312" w:hAnsi="仿宋_GB2312" w:eastAsia="仿宋_GB2312" w:cs="仿宋_GB2312"/>
                <w:color w:val="auto"/>
                <w:sz w:val="24"/>
                <w:szCs w:val="24"/>
                <w:u w:val="none"/>
                <w:vertAlign w:val="baseline"/>
                <w:lang w:val="en-US" w:eastAsia="zh-CN" w:bidi="ar"/>
              </w:rPr>
            </w:pPr>
            <w:r>
              <w:rPr>
                <w:rFonts w:hint="eastAsia" w:ascii="仿宋_GB2312" w:hAnsi="仿宋_GB2312" w:eastAsia="仿宋_GB2312" w:cs="仿宋_GB2312"/>
                <w:color w:val="auto"/>
                <w:sz w:val="24"/>
                <w:szCs w:val="24"/>
                <w:u w:val="none"/>
                <w:vertAlign w:val="baseline"/>
                <w:lang w:val="en-US" w:eastAsia="zh-CN" w:bidi="ar"/>
              </w:rPr>
              <w:t>八道沟村整治提升单元</w:t>
            </w:r>
          </w:p>
        </w:tc>
        <w:tc>
          <w:tcPr>
            <w:tcW w:w="4211" w:type="dxa"/>
            <w:vAlign w:val="center"/>
          </w:tcPr>
          <w:p w14:paraId="4975C40F">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rFonts w:hint="eastAsia" w:ascii="仿宋_GB2312" w:hAnsi="仿宋_GB2312" w:eastAsia="仿宋_GB2312" w:cs="仿宋_GB2312"/>
                <w:color w:val="auto"/>
                <w:sz w:val="24"/>
                <w:szCs w:val="24"/>
                <w:u w:val="none"/>
                <w:vertAlign w:val="baseline"/>
                <w:lang w:bidi="ar"/>
              </w:rPr>
            </w:pPr>
            <w:r>
              <w:rPr>
                <w:rFonts w:hint="eastAsia" w:ascii="仿宋_GB2312" w:hAnsi="仿宋_GB2312" w:eastAsia="仿宋_GB2312" w:cs="仿宋_GB2312"/>
                <w:color w:val="auto"/>
                <w:sz w:val="24"/>
                <w:szCs w:val="24"/>
                <w:u w:val="none"/>
                <w:vertAlign w:val="baseline"/>
                <w:lang w:bidi="ar"/>
              </w:rPr>
              <w:t>居住/农作物种植</w:t>
            </w:r>
          </w:p>
        </w:tc>
      </w:tr>
      <w:tr w14:paraId="3C3E2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409" w:type="dxa"/>
            <w:vMerge w:val="continue"/>
            <w:vAlign w:val="center"/>
          </w:tcPr>
          <w:p w14:paraId="3BD52E2B">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ascii="仿宋_GB2312" w:hAnsi="仿宋_GB2312" w:eastAsia="仿宋_GB2312" w:cs="仿宋_GB2312"/>
                <w:color w:val="auto"/>
                <w:sz w:val="24"/>
                <w:szCs w:val="24"/>
                <w:u w:val="none"/>
                <w:vertAlign w:val="baseline"/>
                <w:lang w:bidi="ar"/>
              </w:rPr>
            </w:pPr>
          </w:p>
        </w:tc>
        <w:tc>
          <w:tcPr>
            <w:tcW w:w="3183" w:type="dxa"/>
            <w:vAlign w:val="center"/>
          </w:tcPr>
          <w:p w14:paraId="2EF27CED">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rFonts w:hint="eastAsia" w:ascii="仿宋_GB2312" w:hAnsi="仿宋_GB2312" w:eastAsia="仿宋_GB2312" w:cs="仿宋_GB2312"/>
                <w:color w:val="auto"/>
                <w:sz w:val="24"/>
                <w:szCs w:val="24"/>
                <w:u w:val="none"/>
                <w:vertAlign w:val="baseline"/>
                <w:lang w:val="en-US" w:eastAsia="zh-CN" w:bidi="ar"/>
              </w:rPr>
            </w:pPr>
            <w:r>
              <w:rPr>
                <w:rFonts w:hint="eastAsia" w:ascii="仿宋_GB2312" w:hAnsi="仿宋_GB2312" w:eastAsia="仿宋_GB2312" w:cs="仿宋_GB2312"/>
                <w:color w:val="auto"/>
                <w:sz w:val="24"/>
                <w:szCs w:val="24"/>
                <w:u w:val="none"/>
                <w:vertAlign w:val="baseline"/>
                <w:lang w:val="en-US" w:eastAsia="zh-CN" w:bidi="ar"/>
              </w:rPr>
              <w:t>古城子村城郊融合单元</w:t>
            </w:r>
          </w:p>
        </w:tc>
        <w:tc>
          <w:tcPr>
            <w:tcW w:w="4211" w:type="dxa"/>
            <w:vAlign w:val="center"/>
          </w:tcPr>
          <w:p w14:paraId="5EF1AC96">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rFonts w:hint="eastAsia" w:ascii="仿宋_GB2312" w:hAnsi="仿宋_GB2312" w:eastAsia="仿宋_GB2312" w:cs="仿宋_GB2312"/>
                <w:color w:val="auto"/>
                <w:sz w:val="24"/>
                <w:szCs w:val="24"/>
                <w:u w:val="none"/>
                <w:vertAlign w:val="baseline"/>
                <w:lang w:bidi="ar"/>
              </w:rPr>
            </w:pPr>
            <w:r>
              <w:rPr>
                <w:rFonts w:hint="eastAsia" w:ascii="仿宋_GB2312" w:hAnsi="仿宋_GB2312" w:eastAsia="仿宋_GB2312" w:cs="仿宋_GB2312"/>
                <w:color w:val="auto"/>
                <w:sz w:val="24"/>
                <w:szCs w:val="24"/>
                <w:u w:val="none"/>
                <w:vertAlign w:val="baseline"/>
                <w:lang w:bidi="ar"/>
              </w:rPr>
              <w:t>居住/农作物种植</w:t>
            </w:r>
          </w:p>
        </w:tc>
      </w:tr>
      <w:tr w14:paraId="751EE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409" w:type="dxa"/>
            <w:vMerge w:val="continue"/>
            <w:vAlign w:val="center"/>
          </w:tcPr>
          <w:p w14:paraId="7F9C2C7A">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ascii="仿宋_GB2312" w:hAnsi="仿宋_GB2312" w:eastAsia="仿宋_GB2312" w:cs="仿宋_GB2312"/>
                <w:color w:val="auto"/>
                <w:sz w:val="24"/>
                <w:szCs w:val="24"/>
                <w:u w:val="none"/>
                <w:vertAlign w:val="baseline"/>
                <w:lang w:bidi="ar"/>
              </w:rPr>
            </w:pPr>
          </w:p>
        </w:tc>
        <w:tc>
          <w:tcPr>
            <w:tcW w:w="3183" w:type="dxa"/>
            <w:vAlign w:val="center"/>
          </w:tcPr>
          <w:p w14:paraId="26AE10ED">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rFonts w:hint="eastAsia" w:ascii="仿宋_GB2312" w:hAnsi="仿宋_GB2312" w:eastAsia="仿宋_GB2312" w:cs="仿宋_GB2312"/>
                <w:color w:val="auto"/>
                <w:sz w:val="24"/>
                <w:szCs w:val="24"/>
                <w:u w:val="none"/>
                <w:vertAlign w:val="baseline"/>
                <w:lang w:val="en-US" w:eastAsia="zh-CN" w:bidi="ar"/>
              </w:rPr>
            </w:pPr>
            <w:r>
              <w:rPr>
                <w:rFonts w:hint="eastAsia" w:ascii="仿宋_GB2312" w:hAnsi="仿宋_GB2312" w:eastAsia="仿宋_GB2312" w:cs="仿宋_GB2312"/>
                <w:color w:val="auto"/>
                <w:sz w:val="24"/>
                <w:szCs w:val="24"/>
                <w:u w:val="none"/>
                <w:vertAlign w:val="baseline"/>
                <w:lang w:val="en-US" w:eastAsia="zh-CN" w:bidi="ar"/>
              </w:rPr>
              <w:t>拐磨子村集聚建设单元</w:t>
            </w:r>
          </w:p>
        </w:tc>
        <w:tc>
          <w:tcPr>
            <w:tcW w:w="4211" w:type="dxa"/>
            <w:vAlign w:val="center"/>
          </w:tcPr>
          <w:p w14:paraId="25201435">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rFonts w:hint="eastAsia" w:ascii="仿宋_GB2312" w:hAnsi="仿宋_GB2312" w:eastAsia="仿宋_GB2312" w:cs="仿宋_GB2312"/>
                <w:color w:val="auto"/>
                <w:sz w:val="24"/>
                <w:szCs w:val="24"/>
                <w:u w:val="none"/>
                <w:vertAlign w:val="baseline"/>
                <w:lang w:bidi="ar"/>
              </w:rPr>
            </w:pPr>
            <w:r>
              <w:rPr>
                <w:rFonts w:hint="eastAsia" w:ascii="仿宋_GB2312" w:hAnsi="仿宋_GB2312" w:eastAsia="仿宋_GB2312" w:cs="仿宋_GB2312"/>
                <w:color w:val="auto"/>
                <w:sz w:val="24"/>
                <w:szCs w:val="24"/>
                <w:u w:val="none"/>
                <w:vertAlign w:val="baseline"/>
                <w:lang w:bidi="ar"/>
              </w:rPr>
              <w:t>居住/农作物种植</w:t>
            </w:r>
          </w:p>
        </w:tc>
      </w:tr>
      <w:tr w14:paraId="6051A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409" w:type="dxa"/>
            <w:vMerge w:val="continue"/>
            <w:vAlign w:val="center"/>
          </w:tcPr>
          <w:p w14:paraId="7C8C6786">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ascii="仿宋_GB2312" w:hAnsi="仿宋_GB2312" w:eastAsia="仿宋_GB2312" w:cs="仿宋_GB2312"/>
                <w:color w:val="auto"/>
                <w:sz w:val="24"/>
                <w:szCs w:val="24"/>
                <w:u w:val="none"/>
                <w:vertAlign w:val="baseline"/>
                <w:lang w:bidi="ar"/>
              </w:rPr>
            </w:pPr>
          </w:p>
        </w:tc>
        <w:tc>
          <w:tcPr>
            <w:tcW w:w="3183" w:type="dxa"/>
            <w:vAlign w:val="center"/>
          </w:tcPr>
          <w:p w14:paraId="74F0F236">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rFonts w:hint="eastAsia" w:ascii="仿宋_GB2312" w:hAnsi="仿宋_GB2312" w:eastAsia="仿宋_GB2312" w:cs="仿宋_GB2312"/>
                <w:color w:val="auto"/>
                <w:sz w:val="24"/>
                <w:szCs w:val="24"/>
                <w:u w:val="none"/>
                <w:vertAlign w:val="baseline"/>
                <w:lang w:val="en-US" w:eastAsia="zh-CN" w:bidi="ar"/>
              </w:rPr>
            </w:pPr>
            <w:r>
              <w:rPr>
                <w:rFonts w:hint="eastAsia" w:ascii="仿宋_GB2312" w:hAnsi="仿宋_GB2312" w:eastAsia="仿宋_GB2312" w:cs="仿宋_GB2312"/>
                <w:color w:val="auto"/>
                <w:sz w:val="24"/>
                <w:szCs w:val="24"/>
                <w:u w:val="none"/>
                <w:vertAlign w:val="baseline"/>
                <w:lang w:val="en-US" w:eastAsia="zh-CN" w:bidi="ar"/>
              </w:rPr>
              <w:t>碱厂沟村整治提升单元</w:t>
            </w:r>
          </w:p>
        </w:tc>
        <w:tc>
          <w:tcPr>
            <w:tcW w:w="4211" w:type="dxa"/>
            <w:vAlign w:val="center"/>
          </w:tcPr>
          <w:p w14:paraId="661CFE8A">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rFonts w:hint="eastAsia" w:ascii="仿宋_GB2312" w:hAnsi="仿宋_GB2312" w:eastAsia="仿宋_GB2312" w:cs="仿宋_GB2312"/>
                <w:color w:val="auto"/>
                <w:sz w:val="24"/>
                <w:szCs w:val="24"/>
                <w:u w:val="none"/>
                <w:vertAlign w:val="baseline"/>
                <w:lang w:bidi="ar"/>
              </w:rPr>
            </w:pPr>
            <w:r>
              <w:rPr>
                <w:rFonts w:hint="eastAsia" w:ascii="仿宋_GB2312" w:hAnsi="仿宋_GB2312" w:eastAsia="仿宋_GB2312" w:cs="仿宋_GB2312"/>
                <w:color w:val="auto"/>
                <w:sz w:val="24"/>
                <w:szCs w:val="24"/>
                <w:u w:val="none"/>
                <w:vertAlign w:val="baseline"/>
                <w:lang w:bidi="ar"/>
              </w:rPr>
              <w:t>居住/农作物种植</w:t>
            </w:r>
          </w:p>
        </w:tc>
      </w:tr>
      <w:tr w14:paraId="0B1DF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409" w:type="dxa"/>
            <w:vMerge w:val="continue"/>
            <w:vAlign w:val="center"/>
          </w:tcPr>
          <w:p w14:paraId="1E207255">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ascii="仿宋_GB2312" w:hAnsi="仿宋_GB2312" w:eastAsia="仿宋_GB2312" w:cs="仿宋_GB2312"/>
                <w:color w:val="auto"/>
                <w:sz w:val="24"/>
                <w:szCs w:val="24"/>
                <w:u w:val="none"/>
                <w:vertAlign w:val="baseline"/>
                <w:lang w:bidi="ar"/>
              </w:rPr>
            </w:pPr>
          </w:p>
        </w:tc>
        <w:tc>
          <w:tcPr>
            <w:tcW w:w="3183" w:type="dxa"/>
            <w:vAlign w:val="center"/>
          </w:tcPr>
          <w:p w14:paraId="723D8761">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rFonts w:hint="eastAsia" w:ascii="仿宋_GB2312" w:hAnsi="仿宋_GB2312" w:eastAsia="仿宋_GB2312" w:cs="仿宋_GB2312"/>
                <w:color w:val="auto"/>
                <w:sz w:val="24"/>
                <w:szCs w:val="24"/>
                <w:u w:val="none"/>
                <w:vertAlign w:val="baseline"/>
                <w:lang w:val="en-US" w:eastAsia="zh-CN" w:bidi="ar"/>
              </w:rPr>
            </w:pPr>
            <w:r>
              <w:rPr>
                <w:rFonts w:hint="eastAsia" w:ascii="仿宋_GB2312" w:hAnsi="仿宋_GB2312" w:eastAsia="仿宋_GB2312" w:cs="仿宋_GB2312"/>
                <w:color w:val="auto"/>
                <w:sz w:val="24"/>
                <w:szCs w:val="24"/>
                <w:u w:val="none"/>
                <w:vertAlign w:val="baseline"/>
                <w:lang w:val="en-US" w:eastAsia="zh-CN" w:bidi="ar"/>
              </w:rPr>
              <w:t>江南村整治提升单元</w:t>
            </w:r>
          </w:p>
        </w:tc>
        <w:tc>
          <w:tcPr>
            <w:tcW w:w="4211" w:type="dxa"/>
            <w:vAlign w:val="center"/>
          </w:tcPr>
          <w:p w14:paraId="43644B41">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rFonts w:hint="eastAsia" w:ascii="仿宋_GB2312" w:hAnsi="仿宋_GB2312" w:eastAsia="仿宋_GB2312" w:cs="仿宋_GB2312"/>
                <w:color w:val="auto"/>
                <w:sz w:val="24"/>
                <w:szCs w:val="24"/>
                <w:u w:val="none"/>
                <w:vertAlign w:val="baseline"/>
                <w:lang w:bidi="ar"/>
              </w:rPr>
            </w:pPr>
            <w:r>
              <w:rPr>
                <w:rFonts w:hint="eastAsia" w:ascii="仿宋_GB2312" w:hAnsi="仿宋_GB2312" w:eastAsia="仿宋_GB2312" w:cs="仿宋_GB2312"/>
                <w:color w:val="auto"/>
                <w:sz w:val="24"/>
                <w:szCs w:val="24"/>
                <w:u w:val="none"/>
                <w:vertAlign w:val="baseline"/>
                <w:lang w:bidi="ar"/>
              </w:rPr>
              <w:t>居住/农作物种植</w:t>
            </w:r>
          </w:p>
        </w:tc>
      </w:tr>
      <w:tr w14:paraId="6BA7C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409" w:type="dxa"/>
            <w:vMerge w:val="continue"/>
            <w:vAlign w:val="center"/>
          </w:tcPr>
          <w:p w14:paraId="40CFAAAC">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ascii="仿宋_GB2312" w:hAnsi="仿宋_GB2312" w:eastAsia="仿宋_GB2312" w:cs="仿宋_GB2312"/>
                <w:color w:val="auto"/>
                <w:sz w:val="24"/>
                <w:szCs w:val="24"/>
                <w:u w:val="none"/>
                <w:vertAlign w:val="baseline"/>
                <w:lang w:bidi="ar"/>
              </w:rPr>
            </w:pPr>
          </w:p>
        </w:tc>
        <w:tc>
          <w:tcPr>
            <w:tcW w:w="3183" w:type="dxa"/>
            <w:vAlign w:val="center"/>
          </w:tcPr>
          <w:p w14:paraId="7C723CFC">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rFonts w:hint="eastAsia" w:ascii="仿宋_GB2312" w:hAnsi="仿宋_GB2312" w:eastAsia="仿宋_GB2312" w:cs="仿宋_GB2312"/>
                <w:color w:val="auto"/>
                <w:sz w:val="24"/>
                <w:szCs w:val="24"/>
                <w:u w:val="none"/>
                <w:vertAlign w:val="baseline"/>
                <w:lang w:val="en-US" w:eastAsia="zh-CN" w:bidi="ar"/>
              </w:rPr>
            </w:pPr>
            <w:r>
              <w:rPr>
                <w:rFonts w:hint="eastAsia" w:ascii="仿宋_GB2312" w:hAnsi="仿宋_GB2312" w:eastAsia="仿宋_GB2312" w:cs="仿宋_GB2312"/>
                <w:color w:val="auto"/>
                <w:sz w:val="24"/>
                <w:szCs w:val="24"/>
                <w:u w:val="none"/>
                <w:vertAlign w:val="baseline"/>
                <w:lang w:val="en-US" w:eastAsia="zh-CN" w:bidi="ar"/>
              </w:rPr>
              <w:t>双岭子村整治提升单元</w:t>
            </w:r>
          </w:p>
        </w:tc>
        <w:tc>
          <w:tcPr>
            <w:tcW w:w="4211" w:type="dxa"/>
            <w:vAlign w:val="center"/>
          </w:tcPr>
          <w:p w14:paraId="299519C0">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rFonts w:hint="eastAsia" w:ascii="仿宋_GB2312" w:hAnsi="仿宋_GB2312" w:eastAsia="仿宋_GB2312" w:cs="仿宋_GB2312"/>
                <w:color w:val="auto"/>
                <w:sz w:val="24"/>
                <w:szCs w:val="24"/>
                <w:u w:val="none"/>
                <w:vertAlign w:val="baseline"/>
                <w:lang w:bidi="ar"/>
              </w:rPr>
            </w:pPr>
            <w:r>
              <w:rPr>
                <w:rFonts w:hint="eastAsia" w:ascii="仿宋_GB2312" w:hAnsi="仿宋_GB2312" w:eastAsia="仿宋_GB2312" w:cs="仿宋_GB2312"/>
                <w:color w:val="auto"/>
                <w:sz w:val="24"/>
                <w:szCs w:val="24"/>
                <w:u w:val="none"/>
                <w:vertAlign w:val="baseline"/>
                <w:lang w:bidi="ar"/>
              </w:rPr>
              <w:t>居住/农作物种植</w:t>
            </w:r>
          </w:p>
        </w:tc>
      </w:tr>
      <w:tr w14:paraId="5EDF0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409" w:type="dxa"/>
            <w:vMerge w:val="continue"/>
            <w:vAlign w:val="center"/>
          </w:tcPr>
          <w:p w14:paraId="5EE436D7">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ascii="仿宋_GB2312" w:hAnsi="仿宋_GB2312" w:eastAsia="仿宋_GB2312" w:cs="仿宋_GB2312"/>
                <w:color w:val="auto"/>
                <w:sz w:val="24"/>
                <w:szCs w:val="24"/>
                <w:u w:val="none"/>
                <w:vertAlign w:val="baseline"/>
                <w:lang w:bidi="ar"/>
              </w:rPr>
            </w:pPr>
          </w:p>
        </w:tc>
        <w:tc>
          <w:tcPr>
            <w:tcW w:w="3183" w:type="dxa"/>
            <w:vAlign w:val="center"/>
          </w:tcPr>
          <w:p w14:paraId="274BBC86">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rFonts w:hint="eastAsia" w:ascii="仿宋_GB2312" w:hAnsi="仿宋_GB2312" w:eastAsia="仿宋_GB2312" w:cs="仿宋_GB2312"/>
                <w:color w:val="auto"/>
                <w:sz w:val="24"/>
                <w:szCs w:val="24"/>
                <w:u w:val="none"/>
                <w:vertAlign w:val="baseline"/>
                <w:lang w:val="en-US" w:eastAsia="zh-CN" w:bidi="ar"/>
              </w:rPr>
            </w:pPr>
            <w:r>
              <w:rPr>
                <w:rFonts w:hint="eastAsia" w:ascii="仿宋_GB2312" w:hAnsi="仿宋_GB2312" w:eastAsia="仿宋_GB2312" w:cs="仿宋_GB2312"/>
                <w:color w:val="auto"/>
                <w:sz w:val="24"/>
                <w:szCs w:val="24"/>
                <w:u w:val="none"/>
                <w:vertAlign w:val="baseline"/>
                <w:lang w:val="en-US" w:eastAsia="zh-CN" w:bidi="ar"/>
              </w:rPr>
              <w:t>同江村整治提升单元</w:t>
            </w:r>
          </w:p>
        </w:tc>
        <w:tc>
          <w:tcPr>
            <w:tcW w:w="4211" w:type="dxa"/>
            <w:vAlign w:val="center"/>
          </w:tcPr>
          <w:p w14:paraId="466AD349">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rFonts w:hint="eastAsia" w:ascii="仿宋_GB2312" w:hAnsi="仿宋_GB2312" w:eastAsia="仿宋_GB2312" w:cs="仿宋_GB2312"/>
                <w:color w:val="auto"/>
                <w:sz w:val="24"/>
                <w:szCs w:val="24"/>
                <w:u w:val="none"/>
                <w:vertAlign w:val="baseline"/>
                <w:lang w:bidi="ar"/>
              </w:rPr>
            </w:pPr>
            <w:r>
              <w:rPr>
                <w:rFonts w:hint="eastAsia" w:ascii="仿宋_GB2312" w:hAnsi="仿宋_GB2312" w:eastAsia="仿宋_GB2312" w:cs="仿宋_GB2312"/>
                <w:color w:val="auto"/>
                <w:sz w:val="24"/>
                <w:szCs w:val="24"/>
                <w:u w:val="none"/>
                <w:vertAlign w:val="baseline"/>
                <w:lang w:bidi="ar"/>
              </w:rPr>
              <w:t>居住/农作物种植</w:t>
            </w:r>
          </w:p>
        </w:tc>
      </w:tr>
      <w:tr w14:paraId="3B729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409" w:type="dxa"/>
            <w:vMerge w:val="continue"/>
            <w:vAlign w:val="center"/>
          </w:tcPr>
          <w:p w14:paraId="20C2CE5B">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ascii="仿宋_GB2312" w:hAnsi="仿宋_GB2312" w:eastAsia="仿宋_GB2312" w:cs="仿宋_GB2312"/>
                <w:color w:val="auto"/>
                <w:sz w:val="24"/>
                <w:szCs w:val="24"/>
                <w:u w:val="none"/>
                <w:vertAlign w:val="baseline"/>
                <w:lang w:bidi="ar"/>
              </w:rPr>
            </w:pPr>
          </w:p>
        </w:tc>
        <w:tc>
          <w:tcPr>
            <w:tcW w:w="3183" w:type="dxa"/>
            <w:vAlign w:val="center"/>
          </w:tcPr>
          <w:p w14:paraId="230F4473">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rFonts w:hint="eastAsia" w:ascii="仿宋_GB2312" w:hAnsi="仿宋_GB2312" w:eastAsia="仿宋_GB2312" w:cs="仿宋_GB2312"/>
                <w:color w:val="auto"/>
                <w:sz w:val="24"/>
                <w:szCs w:val="24"/>
                <w:u w:val="none"/>
                <w:vertAlign w:val="baseline"/>
                <w:lang w:val="en-US" w:eastAsia="zh-CN" w:bidi="ar"/>
              </w:rPr>
            </w:pPr>
            <w:r>
              <w:rPr>
                <w:rFonts w:hint="eastAsia" w:ascii="仿宋_GB2312" w:hAnsi="仿宋_GB2312" w:eastAsia="仿宋_GB2312" w:cs="仿宋_GB2312"/>
                <w:color w:val="auto"/>
                <w:sz w:val="24"/>
                <w:szCs w:val="24"/>
                <w:u w:val="none"/>
                <w:vertAlign w:val="baseline"/>
                <w:lang w:val="en-US" w:eastAsia="zh-CN" w:bidi="ar"/>
              </w:rPr>
              <w:t>洼泥甸村特色保护单元</w:t>
            </w:r>
          </w:p>
        </w:tc>
        <w:tc>
          <w:tcPr>
            <w:tcW w:w="4211" w:type="dxa"/>
            <w:vAlign w:val="center"/>
          </w:tcPr>
          <w:p w14:paraId="2FA5D9B0">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rFonts w:hint="eastAsia" w:ascii="仿宋_GB2312" w:hAnsi="仿宋_GB2312" w:eastAsia="仿宋_GB2312" w:cs="仿宋_GB2312"/>
                <w:color w:val="auto"/>
                <w:sz w:val="24"/>
                <w:szCs w:val="24"/>
                <w:u w:val="none"/>
                <w:vertAlign w:val="baseline"/>
                <w:lang w:bidi="ar"/>
              </w:rPr>
            </w:pPr>
            <w:r>
              <w:rPr>
                <w:rFonts w:hint="eastAsia" w:ascii="仿宋_GB2312" w:hAnsi="仿宋_GB2312" w:eastAsia="仿宋_GB2312" w:cs="仿宋_GB2312"/>
                <w:color w:val="auto"/>
                <w:sz w:val="24"/>
                <w:szCs w:val="24"/>
                <w:u w:val="none"/>
                <w:vertAlign w:val="baseline"/>
                <w:lang w:bidi="ar"/>
              </w:rPr>
              <w:t>居住/农作物种植</w:t>
            </w:r>
          </w:p>
        </w:tc>
      </w:tr>
      <w:tr w14:paraId="1170C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409" w:type="dxa"/>
            <w:vMerge w:val="continue"/>
            <w:vAlign w:val="center"/>
          </w:tcPr>
          <w:p w14:paraId="6F3AFDCB">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ascii="仿宋_GB2312" w:hAnsi="仿宋_GB2312" w:eastAsia="仿宋_GB2312" w:cs="仿宋_GB2312"/>
                <w:color w:val="auto"/>
                <w:sz w:val="24"/>
                <w:szCs w:val="24"/>
                <w:u w:val="none"/>
                <w:vertAlign w:val="baseline"/>
                <w:lang w:bidi="ar"/>
              </w:rPr>
            </w:pPr>
          </w:p>
        </w:tc>
        <w:tc>
          <w:tcPr>
            <w:tcW w:w="3183" w:type="dxa"/>
            <w:vAlign w:val="center"/>
          </w:tcPr>
          <w:p w14:paraId="2B05A263">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rFonts w:hint="eastAsia" w:ascii="仿宋_GB2312" w:hAnsi="仿宋_GB2312" w:eastAsia="仿宋_GB2312" w:cs="仿宋_GB2312"/>
                <w:color w:val="auto"/>
                <w:sz w:val="24"/>
                <w:szCs w:val="24"/>
                <w:u w:val="none"/>
                <w:vertAlign w:val="baseline"/>
                <w:lang w:val="en-US" w:eastAsia="zh-CN" w:bidi="ar"/>
              </w:rPr>
            </w:pPr>
            <w:r>
              <w:rPr>
                <w:rFonts w:hint="eastAsia" w:ascii="仿宋_GB2312" w:hAnsi="仿宋_GB2312" w:eastAsia="仿宋_GB2312" w:cs="仿宋_GB2312"/>
                <w:color w:val="auto"/>
                <w:sz w:val="24"/>
                <w:szCs w:val="24"/>
                <w:u w:val="none"/>
                <w:vertAlign w:val="baseline"/>
                <w:lang w:val="en-US" w:eastAsia="zh-CN" w:bidi="ar"/>
              </w:rPr>
              <w:t>新江村整治提升单元</w:t>
            </w:r>
          </w:p>
        </w:tc>
        <w:tc>
          <w:tcPr>
            <w:tcW w:w="4211" w:type="dxa"/>
            <w:vAlign w:val="center"/>
          </w:tcPr>
          <w:p w14:paraId="1A7F5665">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rFonts w:hint="eastAsia" w:ascii="仿宋_GB2312" w:hAnsi="仿宋_GB2312" w:eastAsia="仿宋_GB2312" w:cs="仿宋_GB2312"/>
                <w:color w:val="auto"/>
                <w:sz w:val="24"/>
                <w:szCs w:val="24"/>
                <w:u w:val="none"/>
                <w:vertAlign w:val="baseline"/>
                <w:lang w:bidi="ar"/>
              </w:rPr>
            </w:pPr>
            <w:r>
              <w:rPr>
                <w:rFonts w:hint="eastAsia" w:ascii="仿宋_GB2312" w:hAnsi="仿宋_GB2312" w:eastAsia="仿宋_GB2312" w:cs="仿宋_GB2312"/>
                <w:color w:val="auto"/>
                <w:sz w:val="24"/>
                <w:szCs w:val="24"/>
                <w:u w:val="none"/>
                <w:vertAlign w:val="baseline"/>
                <w:lang w:bidi="ar"/>
              </w:rPr>
              <w:t>居住/农作物种植</w:t>
            </w:r>
          </w:p>
        </w:tc>
      </w:tr>
      <w:tr w14:paraId="79C88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409" w:type="dxa"/>
            <w:vMerge w:val="continue"/>
            <w:vAlign w:val="center"/>
          </w:tcPr>
          <w:p w14:paraId="5CE53EEF">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ascii="仿宋_GB2312" w:hAnsi="仿宋_GB2312" w:eastAsia="仿宋_GB2312" w:cs="仿宋_GB2312"/>
                <w:color w:val="auto"/>
                <w:sz w:val="24"/>
                <w:szCs w:val="24"/>
                <w:u w:val="none"/>
                <w:vertAlign w:val="baseline"/>
                <w:lang w:bidi="ar"/>
              </w:rPr>
            </w:pPr>
          </w:p>
        </w:tc>
        <w:tc>
          <w:tcPr>
            <w:tcW w:w="3183" w:type="dxa"/>
            <w:vAlign w:val="center"/>
          </w:tcPr>
          <w:p w14:paraId="5A6A2055">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rFonts w:hint="eastAsia" w:ascii="仿宋_GB2312" w:hAnsi="仿宋_GB2312" w:eastAsia="仿宋_GB2312" w:cs="仿宋_GB2312"/>
                <w:color w:val="auto"/>
                <w:sz w:val="24"/>
                <w:szCs w:val="24"/>
                <w:u w:val="none"/>
                <w:vertAlign w:val="baseline"/>
                <w:lang w:val="en-US" w:eastAsia="zh-CN" w:bidi="ar"/>
              </w:rPr>
            </w:pPr>
            <w:r>
              <w:rPr>
                <w:rFonts w:hint="eastAsia" w:ascii="仿宋_GB2312" w:hAnsi="仿宋_GB2312" w:eastAsia="仿宋_GB2312" w:cs="仿宋_GB2312"/>
                <w:color w:val="auto"/>
                <w:sz w:val="24"/>
                <w:szCs w:val="24"/>
                <w:u w:val="none"/>
                <w:vertAlign w:val="baseline"/>
                <w:lang w:val="en-US" w:eastAsia="zh-CN" w:bidi="ar"/>
              </w:rPr>
              <w:t>业主沟村集聚建设单元</w:t>
            </w:r>
          </w:p>
        </w:tc>
        <w:tc>
          <w:tcPr>
            <w:tcW w:w="4211" w:type="dxa"/>
            <w:vAlign w:val="center"/>
          </w:tcPr>
          <w:p w14:paraId="04198D28">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rFonts w:hint="eastAsia" w:ascii="仿宋_GB2312" w:hAnsi="仿宋_GB2312" w:eastAsia="仿宋_GB2312" w:cs="仿宋_GB2312"/>
                <w:color w:val="auto"/>
                <w:sz w:val="24"/>
                <w:szCs w:val="24"/>
                <w:u w:val="none"/>
                <w:vertAlign w:val="baseline"/>
                <w:lang w:bidi="ar"/>
              </w:rPr>
            </w:pPr>
            <w:r>
              <w:rPr>
                <w:rFonts w:hint="eastAsia" w:ascii="仿宋_GB2312" w:hAnsi="仿宋_GB2312" w:eastAsia="仿宋_GB2312" w:cs="仿宋_GB2312"/>
                <w:color w:val="auto"/>
                <w:sz w:val="24"/>
                <w:szCs w:val="24"/>
                <w:u w:val="none"/>
                <w:vertAlign w:val="baseline"/>
                <w:lang w:bidi="ar"/>
              </w:rPr>
              <w:t>居住/农作物种植</w:t>
            </w:r>
          </w:p>
        </w:tc>
      </w:tr>
      <w:bookmarkEnd w:id="213"/>
    </w:tbl>
    <w:p w14:paraId="25CA4B4B">
      <w:pPr>
        <w:pStyle w:val="3"/>
        <w:bidi w:val="0"/>
        <w:ind w:left="0" w:leftChars="0" w:firstLine="420" w:firstLineChars="0"/>
        <w:rPr>
          <w:rFonts w:hint="eastAsia" w:ascii="黑体" w:hAnsi="黑体" w:eastAsia="黑体" w:cs="黑体"/>
          <w:u w:val="none"/>
          <w:lang w:val="en-US" w:eastAsia="zh-CN"/>
        </w:rPr>
      </w:pPr>
      <w:bookmarkStart w:id="219" w:name="_Toc152937230"/>
      <w:bookmarkStart w:id="220" w:name="_Toc20351"/>
      <w:bookmarkStart w:id="221" w:name="_Toc16463"/>
      <w:r>
        <w:rPr>
          <w:rFonts w:hint="eastAsia" w:ascii="黑体" w:hAnsi="黑体" w:eastAsia="黑体" w:cs="黑体"/>
          <w:u w:val="none"/>
          <w:lang w:val="en-US" w:eastAsia="zh-CN"/>
        </w:rPr>
        <w:t>近期</w:t>
      </w:r>
      <w:bookmarkEnd w:id="219"/>
      <w:r>
        <w:rPr>
          <w:rFonts w:hint="eastAsia" w:ascii="黑体" w:hAnsi="黑体" w:eastAsia="黑体" w:cs="黑体"/>
          <w:u w:val="none"/>
          <w:lang w:val="en-US" w:eastAsia="zh-CN"/>
        </w:rPr>
        <w:t>建设</w:t>
      </w:r>
      <w:bookmarkEnd w:id="220"/>
      <w:bookmarkEnd w:id="221"/>
    </w:p>
    <w:p w14:paraId="5CB7514A">
      <w:pPr>
        <w:pStyle w:val="4"/>
        <w:bidi w:val="0"/>
        <w:ind w:left="0" w:leftChars="0" w:firstLine="420" w:firstLineChars="0"/>
        <w:rPr>
          <w:rFonts w:hint="eastAsia"/>
          <w:color w:val="auto"/>
          <w:u w:val="none"/>
          <w:lang w:val="en-US" w:eastAsia="zh-CN"/>
        </w:rPr>
      </w:pPr>
      <w:r>
        <w:rPr>
          <w:rFonts w:hint="eastAsia"/>
          <w:color w:val="auto"/>
          <w:u w:val="none"/>
          <w:lang w:val="en-US" w:eastAsia="zh-CN"/>
        </w:rPr>
        <w:t>近期重点行动计划</w:t>
      </w:r>
    </w:p>
    <w:p w14:paraId="7FB663F0">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以国土空间规划为引领，坚持“生态优先、绿色发展、功能完善、特色鲜明”的原则，落实上位传导重点建设项目，包括道路改扩建、安全饮水工程等项目。通过城镇更新与建设、优化空间布局、完善基础设施、提升公共服务、强化产业支撑等措施，打造宜居宜业宜游的现代化城镇。</w:t>
      </w:r>
    </w:p>
    <w:p w14:paraId="1324E926">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城镇更新与建设。对</w:t>
      </w:r>
      <w:r>
        <w:rPr>
          <w:rFonts w:hint="eastAsia" w:ascii="Times New Roman" w:eastAsia="仿宋_GB2312"/>
          <w:u w:val="none"/>
          <w:lang w:val="en-US" w:eastAsia="zh-CN"/>
        </w:rPr>
        <w:t>老旧居住空间</w:t>
      </w:r>
      <w:r>
        <w:rPr>
          <w:rFonts w:hint="eastAsia"/>
          <w:u w:val="none"/>
        </w:rPr>
        <w:t>和</w:t>
      </w:r>
      <w:r>
        <w:rPr>
          <w:rFonts w:hint="eastAsia" w:ascii="Times New Roman" w:eastAsia="仿宋_GB2312"/>
          <w:u w:val="none"/>
          <w:lang w:val="en-US" w:eastAsia="zh-CN"/>
        </w:rPr>
        <w:t>镇区主路</w:t>
      </w:r>
      <w:r>
        <w:rPr>
          <w:rFonts w:hint="eastAsia"/>
          <w:u w:val="none"/>
        </w:rPr>
        <w:t>商业街区进行风貌整治，统一建筑风格，提升街区品质。升级游客服务中心、公共卫生间、休息区等旅游服务设施，提升旅游服务水平。增加公共绿地面积，建设更多绿地景观园，提升镇区绿化覆盖率。对沿街建筑进行立面改造，统一风格，美化镇区环境。引入智慧城市管理系统，实现旅游信息智能化管理，包括智慧导览、智慧停车、智慧安防等功能。</w:t>
      </w:r>
    </w:p>
    <w:p w14:paraId="0A110D22">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产业发展与升级。加大招商引资力度，引进一批符合古城镇发展定位的优质项目和企业，促进产业集聚和集群发展。</w:t>
      </w:r>
    </w:p>
    <w:p w14:paraId="208AA706">
      <w:pPr>
        <w:keepNext w:val="0"/>
        <w:keepLines w:val="0"/>
        <w:pageBreakBefore w:val="0"/>
        <w:widowControl w:val="0"/>
        <w:kinsoku/>
        <w:overflowPunct/>
        <w:topLinePunct w:val="0"/>
        <w:autoSpaceDE/>
        <w:autoSpaceDN/>
        <w:bidi w:val="0"/>
        <w:spacing w:line="600" w:lineRule="exact"/>
        <w:textAlignment w:val="auto"/>
        <w:rPr>
          <w:rFonts w:hint="eastAsia"/>
          <w:u w:val="none"/>
        </w:rPr>
      </w:pPr>
      <w:r>
        <w:rPr>
          <w:rFonts w:hint="eastAsia"/>
          <w:u w:val="none"/>
        </w:rPr>
        <w:t>基础设施改造。对镇中心区内主要道路进行拓宽和硬化，提升道路等级，确保交通顺畅。加强公共交通设施建设，提高居民出行便利性。结合污水处理</w:t>
      </w:r>
      <w:r>
        <w:rPr>
          <w:rFonts w:hint="eastAsia" w:ascii="Times New Roman" w:eastAsia="仿宋_GB2312"/>
          <w:u w:val="none"/>
          <w:lang w:val="en-US" w:eastAsia="zh-CN"/>
        </w:rPr>
        <w:t>设施</w:t>
      </w:r>
      <w:r>
        <w:rPr>
          <w:rFonts w:hint="eastAsia"/>
          <w:u w:val="none"/>
        </w:rPr>
        <w:t>建设，对给排水管网进行全面检修和升级，解决排水不畅、水质不佳等问题。加强水利设施建设和管理维护工作力度，提高防洪排涝能力和水资源利用效率。加强饮用水源地保护和供水设施建设，确保居民饮水安全。建设集中供热</w:t>
      </w:r>
      <w:r>
        <w:rPr>
          <w:rFonts w:hint="eastAsia" w:ascii="Times New Roman" w:eastAsia="仿宋_GB2312"/>
          <w:u w:val="none"/>
          <w:lang w:val="en-US" w:eastAsia="zh-CN"/>
        </w:rPr>
        <w:t>设施</w:t>
      </w:r>
      <w:r>
        <w:rPr>
          <w:rFonts w:hint="eastAsia"/>
          <w:u w:val="none"/>
        </w:rPr>
        <w:t>，提高环境质量。</w:t>
      </w:r>
    </w:p>
    <w:p w14:paraId="43F87F40">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公共服务提升。加大教育医疗投入力度，改善教育医疗设施条件和服务水平。加强师资力量建设和医疗队伍建设，提高教育教学质量和医疗服务水平。推进古城镇中心卫生院能力提升建设。建设片区公园绿地，加强文化体育设施建设和管理维护工作力度，丰富居民文化生活和精神文化生活，组织开展各类文化体育活动和体育赛事活动。</w:t>
      </w:r>
    </w:p>
    <w:p w14:paraId="2F3696B6">
      <w:pPr>
        <w:keepNext w:val="0"/>
        <w:keepLines w:val="0"/>
        <w:pageBreakBefore w:val="0"/>
        <w:widowControl w:val="0"/>
        <w:kinsoku/>
        <w:overflowPunct/>
        <w:topLinePunct w:val="0"/>
        <w:autoSpaceDE/>
        <w:autoSpaceDN/>
        <w:bidi w:val="0"/>
        <w:spacing w:line="600" w:lineRule="exact"/>
        <w:textAlignment w:val="auto"/>
        <w:rPr>
          <w:u w:val="none"/>
        </w:rPr>
      </w:pPr>
      <w:r>
        <w:rPr>
          <w:rFonts w:hint="eastAsia"/>
          <w:u w:val="none"/>
        </w:rPr>
        <w:t>防灾减灾基础设施建设。提升城乡工程设防能力，以防范化解重大安全风险为主题，加快补齐短板不足，全面提高防灾减灾救灾现代化水平，切实保障人民群众生命财产安全。构筑水利防灾减灾体系，积极推进防汛抗旱水利提升工程建设，继续实施大中小河流治理工程。实现水利监测预警系统与水文、气象共享。加强公共消防基础设施建设，提升消防科技水平。完善生态旅游安全保障体系，加强灾害事故重大风险防范和涉旅突发事件应对，完善生态旅游应急救援机制。</w:t>
      </w:r>
    </w:p>
    <w:p w14:paraId="5C40A380">
      <w:pPr>
        <w:keepNext w:val="0"/>
        <w:keepLines w:val="0"/>
        <w:pageBreakBefore w:val="0"/>
        <w:widowControl w:val="0"/>
        <w:kinsoku/>
        <w:overflowPunct/>
        <w:topLinePunct w:val="0"/>
        <w:autoSpaceDE/>
        <w:autoSpaceDN/>
        <w:bidi w:val="0"/>
        <w:spacing w:line="600" w:lineRule="exact"/>
        <w:textAlignment w:val="auto"/>
        <w:rPr>
          <w:rFonts w:hint="eastAsia"/>
          <w:u w:val="none"/>
        </w:rPr>
      </w:pPr>
      <w:r>
        <w:rPr>
          <w:rFonts w:hint="eastAsia"/>
          <w:u w:val="none"/>
        </w:rPr>
        <w:t>开展国土综合整治和生态修复。近期主要安排高标准农田建设、农村生态环境修复、森林生态修复、水土流失生态修复、土壤污染生态修复、水环境和水生态修复、湿地生态修复、矿山生态修复。进一步提升耕地质量，农村建设用地逐步集约，生态环境质量不断优化，山水林田湖草沙得到系统治理，人与自然和谐共生。</w:t>
      </w:r>
    </w:p>
    <w:p w14:paraId="36CD481B">
      <w:pPr>
        <w:pStyle w:val="4"/>
        <w:bidi w:val="0"/>
        <w:ind w:left="0" w:leftChars="0" w:firstLine="420" w:firstLineChars="0"/>
        <w:rPr>
          <w:rFonts w:hint="eastAsia"/>
          <w:color w:val="auto"/>
          <w:u w:val="none"/>
          <w:lang w:val="en-US" w:eastAsia="zh-CN"/>
        </w:rPr>
      </w:pPr>
      <w:r>
        <w:rPr>
          <w:rFonts w:hint="eastAsia"/>
          <w:color w:val="auto"/>
          <w:u w:val="none"/>
          <w:lang w:val="en-US" w:eastAsia="zh-CN"/>
        </w:rPr>
        <w:t>近期重点项目空间保障</w:t>
      </w:r>
    </w:p>
    <w:p w14:paraId="7C540F25">
      <w:pPr>
        <w:keepNext w:val="0"/>
        <w:keepLines w:val="0"/>
        <w:pageBreakBefore w:val="0"/>
        <w:widowControl w:val="0"/>
        <w:kinsoku/>
        <w:overflowPunct/>
        <w:topLinePunct w:val="0"/>
        <w:autoSpaceDE/>
        <w:autoSpaceDN/>
        <w:bidi w:val="0"/>
        <w:spacing w:line="600" w:lineRule="exact"/>
        <w:textAlignment w:val="auto"/>
        <w:rPr>
          <w:u w:val="none"/>
          <w:lang w:bidi="ar"/>
        </w:rPr>
      </w:pPr>
      <w:r>
        <w:rPr>
          <w:rFonts w:hint="eastAsia"/>
          <w:u w:val="none"/>
          <w:lang w:bidi="ar"/>
        </w:rPr>
        <w:t>落实国民经济</w:t>
      </w:r>
      <w:r>
        <w:rPr>
          <w:rFonts w:hint="eastAsia"/>
          <w:u w:val="none"/>
          <w:lang w:val="en-US" w:eastAsia="zh-CN" w:bidi="ar"/>
        </w:rPr>
        <w:t>和</w:t>
      </w:r>
      <w:r>
        <w:rPr>
          <w:rFonts w:hint="eastAsia"/>
          <w:u w:val="none"/>
          <w:lang w:bidi="ar"/>
        </w:rPr>
        <w:t>社会发展规划项目建设安排，与各部门年度工作计划和项目安排相衔接，综合各部门和地区发展诉求，建立规划重点项目清单。按照“项目跟着规划走，要素跟着项目走”原则，优先保障重大项目用地供给，保障国家级、省级、市级重大工程项目落地实施。</w:t>
      </w:r>
    </w:p>
    <w:p w14:paraId="7ED750B1">
      <w:pPr>
        <w:keepNext w:val="0"/>
        <w:keepLines w:val="0"/>
        <w:pageBreakBefore w:val="0"/>
        <w:widowControl w:val="0"/>
        <w:kinsoku/>
        <w:overflowPunct/>
        <w:topLinePunct w:val="0"/>
        <w:autoSpaceDE/>
        <w:autoSpaceDN/>
        <w:bidi w:val="0"/>
        <w:spacing w:line="600" w:lineRule="exact"/>
        <w:textAlignment w:val="auto"/>
        <w:rPr>
          <w:rFonts w:hint="eastAsia"/>
          <w:u w:val="none"/>
          <w:lang w:bidi="ar"/>
        </w:rPr>
      </w:pPr>
      <w:r>
        <w:rPr>
          <w:rFonts w:hint="eastAsia"/>
          <w:u w:val="none"/>
          <w:lang w:bidi="ar"/>
        </w:rPr>
        <w:t>为加速推进古城镇新型城镇化步伐，结合五女山机场选址古城镇，推进古城镇航空相关建设与创建，打造区域经济增长极，引导土地集约利用、产业集聚发展和体制机制创新，进而推动桓仁满族自治县科学发展，实现经济新跨越，确保古城镇机场建设相关土地与空间预留满足机场净空要求。净空区的底部为椭圆形，宽度在6千米以上，以跑道为中线，长度为跑道长度加两端各60米延长线。净空区以它为底部向外向上呈立体状延伸。同时在跑道的两端向外划出进近面，沿下滑道水平延伸l0千米以上，任何其他建筑物和障碍物均不得伸入这个区域。接近此区域的楼房、烟囱等在高度上根据与机场的距离进行限制，且在顶部漆上红白相间的颜色、装上灯光或闪光灯等。</w:t>
      </w:r>
    </w:p>
    <w:p w14:paraId="03B83CD9">
      <w:pPr>
        <w:pStyle w:val="6"/>
        <w:bidi w:val="0"/>
        <w:rPr>
          <w:rFonts w:hint="eastAsia"/>
          <w:lang w:eastAsia="zh-CN"/>
        </w:rPr>
      </w:pPr>
      <w:r>
        <w:rPr>
          <w:rFonts w:hint="eastAsia"/>
          <w:lang w:eastAsia="zh-CN"/>
        </w:rPr>
        <w:drawing>
          <wp:inline distT="0" distB="0" distL="114300" distR="114300">
            <wp:extent cx="4569460" cy="3233420"/>
            <wp:effectExtent l="0" t="0" r="2540" b="5080"/>
            <wp:docPr id="19" name="图片 19" descr="210522106古城镇28重大项目用地布局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210522106古城镇28重大项目用地布局图"/>
                    <pic:cNvPicPr>
                      <a:picLocks noChangeAspect="1"/>
                    </pic:cNvPicPr>
                  </pic:nvPicPr>
                  <pic:blipFill>
                    <a:blip r:embed="rId38"/>
                    <a:stretch>
                      <a:fillRect/>
                    </a:stretch>
                  </pic:blipFill>
                  <pic:spPr>
                    <a:xfrm>
                      <a:off x="0" y="0"/>
                      <a:ext cx="4569460" cy="3233420"/>
                    </a:xfrm>
                    <a:prstGeom prst="rect">
                      <a:avLst/>
                    </a:prstGeom>
                  </pic:spPr>
                </pic:pic>
              </a:graphicData>
            </a:graphic>
          </wp:inline>
        </w:drawing>
      </w:r>
    </w:p>
    <w:p w14:paraId="7CD1B724">
      <w:pPr>
        <w:keepNext w:val="0"/>
        <w:keepLines w:val="0"/>
        <w:pageBreakBefore w:val="0"/>
        <w:widowControl w:val="0"/>
        <w:kinsoku/>
        <w:wordWrap/>
        <w:overflowPunct/>
        <w:topLinePunct w:val="0"/>
        <w:autoSpaceDE/>
        <w:autoSpaceDN/>
        <w:bidi w:val="0"/>
        <w:adjustRightInd w:val="0"/>
        <w:snapToGrid w:val="0"/>
        <w:spacing w:after="219" w:afterLines="50" w:line="600" w:lineRule="exact"/>
        <w:ind w:firstLine="0" w:firstLineChars="0"/>
        <w:jc w:val="center"/>
        <w:textAlignment w:val="auto"/>
        <w:outlineLvl w:val="9"/>
        <w:rPr>
          <w:rFonts w:hint="eastAsia" w:ascii="黑体" w:hAnsi="黑体" w:eastAsia="黑体" w:cs="黑体"/>
          <w:b w:val="0"/>
          <w:bCs w:val="0"/>
          <w:color w:val="000000"/>
          <w:u w:val="none"/>
        </w:rPr>
      </w:pPr>
      <w:bookmarkStart w:id="222" w:name="_Toc14552"/>
      <w:r>
        <w:rPr>
          <w:rFonts w:hint="eastAsia" w:ascii="黑体" w:hAnsi="黑体" w:eastAsia="黑体" w:cs="黑体"/>
          <w:b w:val="0"/>
          <w:bCs w:val="0"/>
          <w:color w:val="000000"/>
          <w:u w:val="none"/>
        </w:rPr>
        <w:t>重点建设项目安排表</w:t>
      </w:r>
      <w:bookmarkEnd w:id="222"/>
    </w:p>
    <w:tbl>
      <w:tblPr>
        <w:tblStyle w:val="9"/>
        <w:tblW w:w="86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427"/>
        <w:gridCol w:w="7827"/>
      </w:tblGrid>
      <w:tr w14:paraId="34783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blHeader/>
        </w:trPr>
        <w:tc>
          <w:tcPr>
            <w:tcW w:w="8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9A372C3">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z w:val="21"/>
                <w:szCs w:val="21"/>
                <w:u w:val="none"/>
                <w:lang w:val="en-US" w:eastAsia="zh-CN"/>
              </w:rPr>
            </w:pPr>
            <w:r>
              <w:rPr>
                <w:rFonts w:hint="default" w:ascii="Times New Roman" w:hAnsi="Times New Roman" w:cs="Times New Roman"/>
                <w:b/>
                <w:bCs/>
                <w:color w:val="auto"/>
                <w:sz w:val="21"/>
                <w:szCs w:val="21"/>
                <w:u w:val="none"/>
                <w:lang w:val="en-US" w:eastAsia="zh-CN"/>
              </w:rPr>
              <w:t>项目</w:t>
            </w:r>
          </w:p>
          <w:p w14:paraId="05E0D61E">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z w:val="21"/>
                <w:szCs w:val="21"/>
                <w:u w:val="none"/>
                <w:lang w:val="en-US" w:eastAsia="zh-CN"/>
              </w:rPr>
            </w:pPr>
            <w:r>
              <w:rPr>
                <w:rFonts w:hint="default" w:ascii="Times New Roman" w:hAnsi="Times New Roman" w:cs="Times New Roman"/>
                <w:b/>
                <w:bCs/>
                <w:color w:val="auto"/>
                <w:sz w:val="21"/>
                <w:szCs w:val="21"/>
                <w:u w:val="none"/>
                <w:lang w:val="en-US" w:eastAsia="zh-CN"/>
              </w:rPr>
              <w:t>类型</w:t>
            </w:r>
          </w:p>
        </w:tc>
        <w:tc>
          <w:tcPr>
            <w:tcW w:w="782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04F122">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z w:val="21"/>
                <w:szCs w:val="21"/>
                <w:u w:val="none"/>
                <w:lang w:val="en-US" w:eastAsia="zh-CN"/>
              </w:rPr>
            </w:pPr>
            <w:r>
              <w:rPr>
                <w:rFonts w:hint="default" w:ascii="Times New Roman" w:hAnsi="Times New Roman" w:cs="Times New Roman"/>
                <w:b/>
                <w:bCs/>
                <w:color w:val="auto"/>
                <w:sz w:val="21"/>
                <w:szCs w:val="21"/>
                <w:u w:val="none"/>
                <w:lang w:val="en-US" w:eastAsia="zh-CN"/>
              </w:rPr>
              <w:t>项目名称</w:t>
            </w:r>
          </w:p>
        </w:tc>
      </w:tr>
      <w:tr w14:paraId="54D65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7" w:hRule="atLeast"/>
        </w:trPr>
        <w:tc>
          <w:tcPr>
            <w:tcW w:w="854" w:type="dxa"/>
            <w:gridSpan w:val="2"/>
            <w:tcBorders>
              <w:top w:val="single" w:color="auto" w:sz="4" w:space="0"/>
              <w:left w:val="single" w:color="auto" w:sz="4" w:space="0"/>
              <w:right w:val="single" w:color="auto" w:sz="4" w:space="0"/>
            </w:tcBorders>
            <w:shd w:val="clear" w:color="auto" w:fill="auto"/>
            <w:noWrap/>
            <w:vAlign w:val="center"/>
          </w:tcPr>
          <w:p w14:paraId="022568BF">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z w:val="21"/>
                <w:szCs w:val="21"/>
                <w:u w:val="none"/>
                <w:lang w:val="en-US" w:eastAsia="zh-CN"/>
              </w:rPr>
            </w:pPr>
            <w:r>
              <w:rPr>
                <w:rFonts w:hint="default" w:ascii="Times New Roman" w:hAnsi="Times New Roman" w:cs="Times New Roman"/>
                <w:b/>
                <w:bCs/>
                <w:color w:val="auto"/>
                <w:sz w:val="21"/>
                <w:szCs w:val="21"/>
                <w:u w:val="none"/>
                <w:lang w:val="en-US" w:eastAsia="zh-CN"/>
              </w:rPr>
              <w:t>交通</w:t>
            </w:r>
          </w:p>
        </w:tc>
        <w:tc>
          <w:tcPr>
            <w:tcW w:w="782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327046">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both"/>
              <w:textAlignment w:val="auto"/>
              <w:rPr>
                <w:rFonts w:hint="default" w:ascii="Times New Roman" w:hAnsi="Times New Roman" w:cs="Times New Roman"/>
                <w:color w:val="auto"/>
                <w:sz w:val="22"/>
                <w:szCs w:val="22"/>
                <w:u w:val="none"/>
                <w:lang w:val="en-US" w:eastAsia="zh-CN"/>
              </w:rPr>
            </w:pPr>
            <w:r>
              <w:rPr>
                <w:rFonts w:hint="default" w:ascii="Times New Roman" w:hAnsi="Times New Roman" w:cs="Times New Roman"/>
                <w:color w:val="auto"/>
                <w:sz w:val="22"/>
                <w:szCs w:val="22"/>
                <w:u w:val="none"/>
                <w:lang w:val="en-US" w:eastAsia="zh-CN"/>
              </w:rPr>
              <w:t>新建辽宁省桓仁五女山运输机场、桓仁五女山4C级支线民用运输机场公路连接线、二北线西古城子至北甸子改扩建工程、古城高速口新建动物卫生监督检查站、辽阳至集安客运专线、通化至丹东高速铁路客运专线、</w:t>
            </w:r>
            <w:r>
              <w:rPr>
                <w:rFonts w:hint="default" w:ascii="Times New Roman" w:hAnsi="Times New Roman" w:eastAsia="仿宋_GB2312" w:cs="Times New Roman"/>
                <w:color w:val="auto"/>
                <w:kern w:val="2"/>
                <w:sz w:val="22"/>
                <w:szCs w:val="22"/>
                <w:u w:val="none"/>
                <w:lang w:val="en-US" w:eastAsia="zh-CN" w:bidi="ar-SA"/>
              </w:rPr>
              <w:t>同江漫水桥、富尔江防护堤工程、拐磨子村田间作业路、草甸沟水泥路及大墙改造工程</w:t>
            </w:r>
          </w:p>
        </w:tc>
      </w:tr>
      <w:tr w14:paraId="20033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854" w:type="dxa"/>
            <w:gridSpan w:val="2"/>
            <w:tcBorders>
              <w:top w:val="single" w:color="auto" w:sz="4" w:space="0"/>
              <w:left w:val="single" w:color="auto" w:sz="4" w:space="0"/>
              <w:right w:val="single" w:color="auto" w:sz="4" w:space="0"/>
            </w:tcBorders>
            <w:shd w:val="clear" w:color="auto" w:fill="auto"/>
            <w:noWrap/>
            <w:vAlign w:val="center"/>
          </w:tcPr>
          <w:p w14:paraId="2E965975">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b/>
                <w:bCs/>
                <w:color w:val="auto"/>
                <w:kern w:val="2"/>
                <w:sz w:val="21"/>
                <w:szCs w:val="21"/>
                <w:u w:val="none"/>
                <w:lang w:val="en-US" w:eastAsia="zh-CN" w:bidi="ar-SA"/>
              </w:rPr>
            </w:pPr>
            <w:r>
              <w:rPr>
                <w:rFonts w:hint="default" w:ascii="Times New Roman" w:hAnsi="Times New Roman" w:cs="Times New Roman"/>
                <w:b/>
                <w:bCs/>
                <w:color w:val="auto"/>
                <w:sz w:val="21"/>
                <w:szCs w:val="21"/>
                <w:u w:val="none"/>
                <w:lang w:val="en-US" w:eastAsia="zh-CN"/>
              </w:rPr>
              <w:t>水利</w:t>
            </w:r>
          </w:p>
        </w:tc>
        <w:tc>
          <w:tcPr>
            <w:tcW w:w="782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EE253A">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leftChars="0" w:right="0" w:rightChars="0" w:firstLine="0" w:firstLineChars="0"/>
              <w:jc w:val="both"/>
              <w:textAlignment w:val="auto"/>
              <w:rPr>
                <w:rFonts w:hint="default" w:ascii="Times New Roman" w:hAnsi="Times New Roman" w:eastAsia="仿宋_GB2312" w:cs="Times New Roman"/>
                <w:color w:val="auto"/>
                <w:kern w:val="2"/>
                <w:sz w:val="22"/>
                <w:szCs w:val="22"/>
                <w:u w:val="none"/>
                <w:lang w:val="en-US" w:eastAsia="zh-CN" w:bidi="ar-SA"/>
              </w:rPr>
            </w:pPr>
            <w:r>
              <w:rPr>
                <w:rFonts w:hint="default" w:ascii="Times New Roman" w:hAnsi="Times New Roman" w:eastAsia="仿宋_GB2312" w:cs="Times New Roman"/>
                <w:color w:val="auto"/>
                <w:kern w:val="2"/>
                <w:sz w:val="22"/>
                <w:szCs w:val="22"/>
                <w:u w:val="none"/>
                <w:lang w:val="en-US" w:eastAsia="zh-CN" w:bidi="ar-SA"/>
              </w:rPr>
              <w:t>拐磨子河古城镇段治理工程、辽宁省本溪市桓仁县古城镇拐磨子河山洪沟治理工程、古城镇集中供水项目</w:t>
            </w:r>
          </w:p>
        </w:tc>
      </w:tr>
      <w:tr w14:paraId="49B2E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854" w:type="dxa"/>
            <w:gridSpan w:val="2"/>
            <w:tcBorders>
              <w:top w:val="single" w:color="auto" w:sz="4" w:space="0"/>
              <w:left w:val="single" w:color="auto" w:sz="4" w:space="0"/>
              <w:right w:val="single" w:color="auto" w:sz="4" w:space="0"/>
            </w:tcBorders>
            <w:shd w:val="clear" w:color="auto" w:fill="auto"/>
            <w:noWrap/>
            <w:vAlign w:val="center"/>
          </w:tcPr>
          <w:p w14:paraId="16CC811B">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z w:val="21"/>
                <w:szCs w:val="21"/>
                <w:u w:val="none"/>
                <w:lang w:val="en-US" w:eastAsia="zh-CN"/>
              </w:rPr>
            </w:pPr>
            <w:r>
              <w:rPr>
                <w:rFonts w:hint="default" w:ascii="Times New Roman" w:hAnsi="Times New Roman" w:cs="Times New Roman"/>
                <w:b/>
                <w:bCs/>
                <w:color w:val="auto"/>
                <w:sz w:val="21"/>
                <w:szCs w:val="21"/>
                <w:u w:val="none"/>
                <w:lang w:val="en-US" w:eastAsia="zh-CN"/>
              </w:rPr>
              <w:t>能源</w:t>
            </w:r>
          </w:p>
        </w:tc>
        <w:tc>
          <w:tcPr>
            <w:tcW w:w="782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D3609A">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both"/>
              <w:textAlignment w:val="auto"/>
              <w:rPr>
                <w:rFonts w:hint="default" w:ascii="Times New Roman" w:hAnsi="Times New Roman" w:cs="Times New Roman"/>
                <w:color w:val="auto"/>
                <w:sz w:val="22"/>
                <w:szCs w:val="22"/>
                <w:u w:val="none"/>
                <w:lang w:val="en-US" w:eastAsia="zh-CN"/>
              </w:rPr>
            </w:pPr>
            <w:r>
              <w:rPr>
                <w:rFonts w:hint="default" w:ascii="Times New Roman" w:hAnsi="Times New Roman" w:cs="Times New Roman"/>
                <w:color w:val="auto"/>
                <w:sz w:val="22"/>
                <w:szCs w:val="22"/>
                <w:u w:val="none"/>
                <w:lang w:val="en-US" w:eastAsia="zh-CN"/>
              </w:rPr>
              <w:t>本溪古城66千伏输变电工程、古城镇业主沟村水电站项目、大荒沟水电站建设项目</w:t>
            </w:r>
          </w:p>
        </w:tc>
      </w:tr>
      <w:tr w14:paraId="500D0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854" w:type="dxa"/>
            <w:gridSpan w:val="2"/>
            <w:tcBorders>
              <w:top w:val="single" w:color="auto" w:sz="4" w:space="0"/>
              <w:left w:val="single" w:color="auto" w:sz="4" w:space="0"/>
              <w:right w:val="single" w:color="auto" w:sz="4" w:space="0"/>
            </w:tcBorders>
            <w:shd w:val="clear" w:color="auto" w:fill="auto"/>
            <w:noWrap/>
            <w:vAlign w:val="center"/>
          </w:tcPr>
          <w:p w14:paraId="79A2DB5D">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b/>
                <w:bCs/>
                <w:color w:val="auto"/>
                <w:kern w:val="2"/>
                <w:sz w:val="21"/>
                <w:szCs w:val="21"/>
                <w:u w:val="none"/>
                <w:lang w:val="en-US" w:eastAsia="zh-CN" w:bidi="ar-SA"/>
              </w:rPr>
            </w:pPr>
            <w:r>
              <w:rPr>
                <w:rFonts w:hint="default" w:ascii="Times New Roman" w:hAnsi="Times New Roman" w:cs="Times New Roman"/>
                <w:b/>
                <w:bCs/>
                <w:color w:val="auto"/>
                <w:sz w:val="21"/>
                <w:szCs w:val="21"/>
                <w:u w:val="none"/>
                <w:lang w:val="en-US" w:eastAsia="zh-CN"/>
              </w:rPr>
              <w:t>旅游</w:t>
            </w:r>
          </w:p>
        </w:tc>
        <w:tc>
          <w:tcPr>
            <w:tcW w:w="782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A79BA6">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leftChars="0" w:right="0" w:rightChars="0" w:firstLine="0" w:firstLineChars="0"/>
              <w:jc w:val="both"/>
              <w:textAlignment w:val="auto"/>
              <w:rPr>
                <w:rFonts w:hint="default" w:ascii="Times New Roman" w:hAnsi="Times New Roman" w:eastAsia="仿宋_GB2312" w:cs="Times New Roman"/>
                <w:color w:val="auto"/>
                <w:kern w:val="2"/>
                <w:sz w:val="22"/>
                <w:szCs w:val="22"/>
                <w:u w:val="none"/>
                <w:lang w:val="en-US" w:eastAsia="zh-CN" w:bidi="ar-SA"/>
              </w:rPr>
            </w:pPr>
            <w:r>
              <w:rPr>
                <w:rFonts w:hint="default" w:ascii="Times New Roman" w:hAnsi="Times New Roman" w:cs="Times New Roman"/>
                <w:color w:val="auto"/>
                <w:sz w:val="22"/>
                <w:szCs w:val="22"/>
                <w:u w:val="none"/>
                <w:lang w:val="en-US" w:eastAsia="zh-CN"/>
              </w:rPr>
              <w:t>千亩中药材观赏园、古城航空小镇</w:t>
            </w:r>
            <w:r>
              <w:rPr>
                <w:rFonts w:hint="eastAsia" w:ascii="Times New Roman" w:hAnsi="Times New Roman" w:cs="Times New Roman"/>
                <w:color w:val="auto"/>
                <w:sz w:val="22"/>
                <w:szCs w:val="22"/>
                <w:u w:val="none"/>
                <w:lang w:val="en-US" w:eastAsia="zh-CN"/>
              </w:rPr>
              <w:t>、</w:t>
            </w:r>
            <w:r>
              <w:rPr>
                <w:rFonts w:hint="default" w:ascii="Times New Roman" w:hAnsi="Times New Roman" w:cs="Times New Roman"/>
                <w:color w:val="auto"/>
                <w:sz w:val="22"/>
                <w:szCs w:val="22"/>
                <w:u w:val="none"/>
                <w:lang w:val="en-US" w:eastAsia="zh-CN"/>
              </w:rPr>
              <w:t>古城稻米博物馆、稻乡体验园建设项目、生态果蔬体验园建设项目、中药养生观光园建设项目、五彩花卉展示园建设项目、野趣童乐园建设项目、耕读文化园建设项目、农创园建设项目、古城稻香田园综合体建设项目、</w:t>
            </w:r>
            <w:r>
              <w:rPr>
                <w:rFonts w:hint="eastAsia" w:ascii="Times New Roman" w:hAnsi="Times New Roman" w:cs="Times New Roman"/>
                <w:color w:val="auto"/>
                <w:sz w:val="22"/>
                <w:szCs w:val="22"/>
                <w:u w:val="none"/>
                <w:lang w:val="en-US" w:eastAsia="zh-CN"/>
              </w:rPr>
              <w:t>辽宁华参源坤元山养生谷建设项目、洼泥甸子村民俗风情园项目、二道沟村文化活动广场项目、业主沟村休闲、养生、观光区建设项目、江南村航空小镇临空产业项目（引入航空食品生产企业，发展医疗、商务等配套设施)</w:t>
            </w:r>
          </w:p>
        </w:tc>
      </w:tr>
      <w:tr w14:paraId="6E536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854" w:type="dxa"/>
            <w:gridSpan w:val="2"/>
            <w:tcBorders>
              <w:top w:val="single" w:color="auto" w:sz="4" w:space="0"/>
              <w:left w:val="single" w:color="auto" w:sz="4" w:space="0"/>
              <w:right w:val="single" w:color="auto" w:sz="4" w:space="0"/>
            </w:tcBorders>
            <w:shd w:val="clear" w:color="auto" w:fill="auto"/>
            <w:noWrap/>
            <w:vAlign w:val="center"/>
          </w:tcPr>
          <w:p w14:paraId="33A103E1">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b/>
                <w:bCs/>
                <w:color w:val="auto"/>
                <w:kern w:val="2"/>
                <w:sz w:val="21"/>
                <w:szCs w:val="21"/>
                <w:u w:val="none"/>
                <w:lang w:val="en-US" w:eastAsia="zh-CN" w:bidi="ar-SA"/>
              </w:rPr>
            </w:pPr>
            <w:r>
              <w:rPr>
                <w:rFonts w:hint="default" w:ascii="Times New Roman" w:hAnsi="Times New Roman" w:cs="Times New Roman"/>
                <w:b/>
                <w:bCs/>
                <w:color w:val="auto"/>
                <w:sz w:val="21"/>
                <w:szCs w:val="21"/>
                <w:u w:val="none"/>
                <w:lang w:val="en-US" w:eastAsia="zh-CN"/>
              </w:rPr>
              <w:t>民生</w:t>
            </w:r>
          </w:p>
        </w:tc>
        <w:tc>
          <w:tcPr>
            <w:tcW w:w="782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224AB4">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leftChars="0" w:right="0" w:rightChars="0" w:firstLine="0" w:firstLineChars="0"/>
              <w:jc w:val="both"/>
              <w:textAlignment w:val="auto"/>
              <w:rPr>
                <w:rFonts w:hint="default" w:ascii="Times New Roman" w:hAnsi="Times New Roman" w:eastAsia="仿宋_GB2312" w:cs="Times New Roman"/>
                <w:color w:val="auto"/>
                <w:kern w:val="2"/>
                <w:sz w:val="22"/>
                <w:szCs w:val="22"/>
                <w:u w:val="none"/>
                <w:lang w:val="en-US" w:eastAsia="zh-CN" w:bidi="ar-SA"/>
              </w:rPr>
            </w:pPr>
            <w:r>
              <w:rPr>
                <w:rFonts w:hint="eastAsia" w:ascii="Times New Roman" w:hAnsi="Times New Roman" w:cs="Times New Roman"/>
                <w:color w:val="auto"/>
                <w:sz w:val="22"/>
                <w:szCs w:val="22"/>
                <w:u w:val="none"/>
                <w:lang w:val="en-US" w:eastAsia="zh-CN"/>
              </w:rPr>
              <w:t>岔路子村老年康养中心、岔路子村老年服务中心项目、小二道沟文化活动广场项目、碱长沟村文化活动广场项目、</w:t>
            </w:r>
          </w:p>
        </w:tc>
      </w:tr>
      <w:tr w14:paraId="07B86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854" w:type="dxa"/>
            <w:gridSpan w:val="2"/>
            <w:tcBorders>
              <w:top w:val="single" w:color="auto" w:sz="4" w:space="0"/>
              <w:left w:val="single" w:color="auto" w:sz="4" w:space="0"/>
              <w:right w:val="single" w:color="auto" w:sz="4" w:space="0"/>
            </w:tcBorders>
            <w:shd w:val="clear" w:color="auto" w:fill="auto"/>
            <w:noWrap/>
            <w:vAlign w:val="center"/>
          </w:tcPr>
          <w:p w14:paraId="6DD7E5AA">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b/>
                <w:bCs/>
                <w:color w:val="auto"/>
                <w:kern w:val="2"/>
                <w:sz w:val="21"/>
                <w:szCs w:val="21"/>
                <w:u w:val="none"/>
                <w:lang w:val="en-US" w:eastAsia="zh-CN" w:bidi="ar-SA"/>
              </w:rPr>
            </w:pPr>
            <w:r>
              <w:rPr>
                <w:rFonts w:hint="default" w:ascii="Times New Roman" w:hAnsi="Times New Roman" w:cs="Times New Roman"/>
                <w:b/>
                <w:bCs/>
                <w:color w:val="auto"/>
                <w:sz w:val="21"/>
                <w:szCs w:val="21"/>
                <w:u w:val="none"/>
                <w:lang w:val="en-US" w:eastAsia="zh-CN"/>
              </w:rPr>
              <w:t>生态</w:t>
            </w:r>
          </w:p>
        </w:tc>
        <w:tc>
          <w:tcPr>
            <w:tcW w:w="782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2DB925">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leftChars="0" w:right="0" w:rightChars="0" w:firstLine="0" w:firstLineChars="0"/>
              <w:jc w:val="both"/>
              <w:textAlignment w:val="auto"/>
              <w:rPr>
                <w:rFonts w:hint="default" w:ascii="Times New Roman" w:hAnsi="Times New Roman" w:eastAsia="仿宋_GB2312" w:cs="Times New Roman"/>
                <w:color w:val="auto"/>
                <w:kern w:val="2"/>
                <w:sz w:val="22"/>
                <w:szCs w:val="22"/>
                <w:u w:val="none"/>
                <w:lang w:val="en-US" w:eastAsia="zh-CN" w:bidi="ar-SA"/>
              </w:rPr>
            </w:pPr>
            <w:r>
              <w:rPr>
                <w:rFonts w:hint="default" w:ascii="Times New Roman" w:hAnsi="Times New Roman" w:cs="Times New Roman"/>
                <w:color w:val="auto"/>
                <w:sz w:val="22"/>
                <w:szCs w:val="22"/>
                <w:u w:val="none"/>
                <w:lang w:val="en-US" w:eastAsia="zh-CN"/>
              </w:rPr>
              <w:t>古城镇生产矿山生态修复治理以及历史遗留废弃矿山生态修复治理工程</w:t>
            </w:r>
          </w:p>
        </w:tc>
      </w:tr>
      <w:tr w14:paraId="47844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854" w:type="dxa"/>
            <w:gridSpan w:val="2"/>
            <w:tcBorders>
              <w:top w:val="single" w:color="auto" w:sz="4" w:space="0"/>
              <w:left w:val="single" w:color="auto" w:sz="4" w:space="0"/>
              <w:right w:val="single" w:color="auto" w:sz="4" w:space="0"/>
            </w:tcBorders>
            <w:shd w:val="clear" w:color="auto" w:fill="auto"/>
            <w:noWrap/>
            <w:vAlign w:val="center"/>
          </w:tcPr>
          <w:p w14:paraId="138FCFA6">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b/>
                <w:bCs/>
                <w:color w:val="auto"/>
                <w:kern w:val="2"/>
                <w:sz w:val="21"/>
                <w:szCs w:val="21"/>
                <w:u w:val="none"/>
                <w:lang w:val="en-US" w:eastAsia="zh-CN" w:bidi="ar-SA"/>
              </w:rPr>
            </w:pPr>
            <w:r>
              <w:rPr>
                <w:rFonts w:hint="default" w:ascii="Times New Roman" w:hAnsi="Times New Roman" w:cs="Times New Roman"/>
                <w:b/>
                <w:bCs/>
                <w:color w:val="auto"/>
                <w:sz w:val="21"/>
                <w:szCs w:val="21"/>
                <w:u w:val="none"/>
                <w:lang w:val="en-US" w:eastAsia="zh-CN"/>
              </w:rPr>
              <w:t>其他</w:t>
            </w:r>
          </w:p>
        </w:tc>
        <w:tc>
          <w:tcPr>
            <w:tcW w:w="782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2E3659">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leftChars="0" w:right="0" w:rightChars="0" w:firstLine="0" w:firstLineChars="0"/>
              <w:jc w:val="both"/>
              <w:textAlignment w:val="auto"/>
              <w:rPr>
                <w:rFonts w:hint="default" w:ascii="Times New Roman" w:hAnsi="Times New Roman" w:eastAsia="仿宋_GB2312" w:cs="Times New Roman"/>
                <w:color w:val="auto"/>
                <w:kern w:val="2"/>
                <w:sz w:val="22"/>
                <w:szCs w:val="22"/>
                <w:u w:val="none"/>
                <w:lang w:val="en-US" w:eastAsia="zh-CN" w:bidi="ar-SA"/>
              </w:rPr>
            </w:pPr>
            <w:r>
              <w:rPr>
                <w:rFonts w:hint="eastAsia" w:ascii="Times New Roman" w:hAnsi="Times New Roman" w:cs="Times New Roman"/>
                <w:color w:val="auto"/>
                <w:sz w:val="22"/>
                <w:szCs w:val="22"/>
                <w:u w:val="none"/>
                <w:lang w:val="en-US" w:eastAsia="zh-CN"/>
              </w:rPr>
              <w:t>古城镇供热工程建设项目、古城镇卫生公厕建设项目、拐磨子移民小区建设、人防地震应急指挥中心、古城镇二级消防站建设项目</w:t>
            </w:r>
          </w:p>
        </w:tc>
      </w:tr>
      <w:tr w14:paraId="1FC15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trPr>
        <w:tc>
          <w:tcPr>
            <w:tcW w:w="427" w:type="dxa"/>
            <w:vMerge w:val="restart"/>
            <w:tcBorders>
              <w:top w:val="single" w:color="auto" w:sz="4" w:space="0"/>
              <w:left w:val="single" w:color="auto" w:sz="4" w:space="0"/>
              <w:right w:val="single" w:color="auto" w:sz="4" w:space="0"/>
            </w:tcBorders>
            <w:shd w:val="clear" w:color="auto" w:fill="auto"/>
            <w:noWrap/>
            <w:vAlign w:val="center"/>
          </w:tcPr>
          <w:p w14:paraId="29FA2D8E">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z w:val="21"/>
                <w:szCs w:val="21"/>
                <w:u w:val="none"/>
                <w:lang w:val="en-US" w:eastAsia="zh-CN"/>
              </w:rPr>
            </w:pPr>
            <w:r>
              <w:rPr>
                <w:rFonts w:hint="default" w:ascii="Times New Roman" w:hAnsi="Times New Roman" w:cs="Times New Roman"/>
                <w:b/>
                <w:bCs/>
                <w:color w:val="auto"/>
                <w:sz w:val="21"/>
                <w:szCs w:val="21"/>
                <w:u w:val="none"/>
                <w:lang w:val="en-US" w:eastAsia="zh-CN"/>
              </w:rPr>
              <w:t>产业</w:t>
            </w:r>
          </w:p>
        </w:tc>
        <w:tc>
          <w:tcPr>
            <w:tcW w:w="427" w:type="dxa"/>
            <w:tcBorders>
              <w:top w:val="single" w:color="auto" w:sz="4" w:space="0"/>
              <w:left w:val="single" w:color="auto" w:sz="4" w:space="0"/>
              <w:right w:val="single" w:color="auto" w:sz="4" w:space="0"/>
            </w:tcBorders>
            <w:shd w:val="clear" w:color="auto" w:fill="auto"/>
            <w:noWrap/>
            <w:vAlign w:val="center"/>
          </w:tcPr>
          <w:p w14:paraId="7B9CF7EE">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z w:val="21"/>
                <w:szCs w:val="21"/>
                <w:u w:val="none"/>
                <w:lang w:val="en-US" w:eastAsia="zh-CN"/>
              </w:rPr>
            </w:pPr>
            <w:r>
              <w:rPr>
                <w:rFonts w:hint="default" w:ascii="Times New Roman" w:hAnsi="Times New Roman" w:cs="Times New Roman"/>
                <w:b/>
                <w:bCs/>
                <w:color w:val="auto"/>
                <w:sz w:val="21"/>
                <w:szCs w:val="21"/>
                <w:u w:val="none"/>
                <w:lang w:val="en-US" w:eastAsia="zh-CN"/>
              </w:rPr>
              <w:t>矿</w:t>
            </w:r>
            <w:r>
              <w:rPr>
                <w:rFonts w:hint="eastAsia" w:ascii="Times New Roman" w:hAnsi="Times New Roman" w:cs="Times New Roman"/>
                <w:b/>
                <w:bCs/>
                <w:color w:val="auto"/>
                <w:sz w:val="21"/>
                <w:szCs w:val="21"/>
                <w:u w:val="none"/>
                <w:lang w:val="en-US" w:eastAsia="zh-CN"/>
              </w:rPr>
              <w:t>山</w:t>
            </w:r>
          </w:p>
        </w:tc>
        <w:tc>
          <w:tcPr>
            <w:tcW w:w="782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A7EF1F">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both"/>
              <w:textAlignment w:val="auto"/>
              <w:rPr>
                <w:rFonts w:hint="default" w:ascii="Times New Roman" w:hAnsi="Times New Roman" w:cs="Times New Roman"/>
                <w:color w:val="auto"/>
                <w:sz w:val="22"/>
                <w:szCs w:val="22"/>
                <w:u w:val="none"/>
                <w:lang w:val="en-US" w:eastAsia="zh-CN"/>
              </w:rPr>
            </w:pPr>
            <w:r>
              <w:rPr>
                <w:rFonts w:hint="default" w:ascii="Times New Roman" w:hAnsi="Times New Roman" w:cs="Times New Roman"/>
                <w:color w:val="auto"/>
                <w:sz w:val="22"/>
                <w:szCs w:val="22"/>
                <w:u w:val="none"/>
                <w:lang w:val="en-US" w:eastAsia="zh-CN"/>
              </w:rPr>
              <w:t>古城镇业主沟铁矿项目</w:t>
            </w:r>
          </w:p>
        </w:tc>
      </w:tr>
      <w:tr w14:paraId="1AADC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trPr>
        <w:tc>
          <w:tcPr>
            <w:tcW w:w="427" w:type="dxa"/>
            <w:vMerge w:val="continue"/>
            <w:tcBorders>
              <w:left w:val="single" w:color="auto" w:sz="4" w:space="0"/>
              <w:right w:val="single" w:color="auto" w:sz="4" w:space="0"/>
            </w:tcBorders>
            <w:shd w:val="clear" w:color="auto" w:fill="auto"/>
            <w:noWrap/>
            <w:vAlign w:val="center"/>
          </w:tcPr>
          <w:p w14:paraId="0ACB9C26">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cs="Times New Roman"/>
                <w:b/>
                <w:bCs/>
                <w:color w:val="auto"/>
                <w:sz w:val="21"/>
                <w:szCs w:val="21"/>
                <w:u w:val="none"/>
                <w:lang w:val="en-US" w:eastAsia="zh-CN"/>
              </w:rPr>
            </w:pPr>
          </w:p>
        </w:tc>
        <w:tc>
          <w:tcPr>
            <w:tcW w:w="427" w:type="dxa"/>
            <w:tcBorders>
              <w:top w:val="single" w:color="auto" w:sz="4" w:space="0"/>
              <w:left w:val="single" w:color="auto" w:sz="4" w:space="0"/>
              <w:right w:val="single" w:color="auto" w:sz="4" w:space="0"/>
            </w:tcBorders>
            <w:shd w:val="clear" w:color="auto" w:fill="auto"/>
            <w:noWrap/>
            <w:vAlign w:val="center"/>
          </w:tcPr>
          <w:p w14:paraId="66E78FA1">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z w:val="21"/>
                <w:szCs w:val="21"/>
                <w:u w:val="none"/>
                <w:lang w:val="en-US" w:eastAsia="zh-CN"/>
              </w:rPr>
            </w:pPr>
            <w:r>
              <w:rPr>
                <w:rFonts w:hint="eastAsia" w:ascii="Times New Roman" w:hAnsi="Times New Roman" w:cs="Times New Roman"/>
                <w:b/>
                <w:bCs/>
                <w:color w:val="auto"/>
                <w:sz w:val="21"/>
                <w:szCs w:val="21"/>
                <w:u w:val="none"/>
                <w:lang w:val="en-US" w:eastAsia="zh-CN"/>
              </w:rPr>
              <w:t>三产融合</w:t>
            </w:r>
          </w:p>
        </w:tc>
        <w:tc>
          <w:tcPr>
            <w:tcW w:w="782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42EBC5">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both"/>
              <w:textAlignment w:val="auto"/>
              <w:rPr>
                <w:rFonts w:hint="default" w:ascii="Times New Roman" w:hAnsi="Times New Roman" w:cs="Times New Roman"/>
                <w:color w:val="auto"/>
                <w:sz w:val="22"/>
                <w:szCs w:val="22"/>
                <w:u w:val="none"/>
                <w:lang w:val="en-US" w:eastAsia="zh-CN"/>
              </w:rPr>
            </w:pPr>
            <w:r>
              <w:rPr>
                <w:rFonts w:hint="default" w:ascii="Times New Roman" w:hAnsi="Times New Roman" w:cs="Times New Roman"/>
                <w:color w:val="auto"/>
                <w:sz w:val="22"/>
                <w:szCs w:val="22"/>
                <w:u w:val="none"/>
                <w:lang w:val="en-US" w:eastAsia="zh-CN"/>
              </w:rPr>
              <w:t>万亩中小药材基地、有机稻米生产项目、万亩平地人参种植项目、万亩有机小杂粮基地、食用菌生产基地、千亩生态园建设、标准化养殖小区、经济林基地建设项目、山地中药材种植项目、山野菜种植基地建设项目、中林集团木业项目、菲牛蛭冻干粉项目、预糊化淀粉项目、食用菌产业园项目建设项目、桓仁堂大健康产业基地建设项目</w:t>
            </w:r>
            <w:r>
              <w:rPr>
                <w:rFonts w:hint="eastAsia" w:ascii="Times New Roman" w:hAnsi="Times New Roman" w:cs="Times New Roman"/>
                <w:color w:val="auto"/>
                <w:sz w:val="22"/>
                <w:szCs w:val="22"/>
                <w:u w:val="none"/>
                <w:lang w:val="en-US" w:eastAsia="zh-CN"/>
              </w:rPr>
              <w:t>、保健食品和优质米产业园、辽宁满村香生态农业开发有限公司养殖场项目、岔路子村庆岭牛场饲料库和化粪池项目、岔路子村庆岭牛场项目、业主沟村坑伙洛果蔬大棚及冷冻库项目、业主沟村冷库项目</w:t>
            </w:r>
          </w:p>
        </w:tc>
      </w:tr>
      <w:tr w14:paraId="21197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atLeast"/>
        </w:trPr>
        <w:tc>
          <w:tcPr>
            <w:tcW w:w="427" w:type="dxa"/>
            <w:vMerge w:val="continue"/>
            <w:tcBorders>
              <w:left w:val="single" w:color="auto" w:sz="4" w:space="0"/>
              <w:right w:val="single" w:color="auto" w:sz="4" w:space="0"/>
            </w:tcBorders>
            <w:shd w:val="clear" w:color="auto" w:fill="auto"/>
            <w:noWrap/>
            <w:vAlign w:val="center"/>
          </w:tcPr>
          <w:p w14:paraId="4D6AB164">
            <w:pPr>
              <w:keepNext w:val="0"/>
              <w:keepLines w:val="0"/>
              <w:widowControl/>
              <w:suppressLineNumbers w:val="0"/>
              <w:wordWrap w:val="0"/>
              <w:spacing w:before="0" w:beforeAutospacing="0" w:after="0" w:afterAutospacing="0" w:line="240" w:lineRule="auto"/>
              <w:ind w:left="0" w:right="0" w:firstLine="0" w:firstLineChars="0"/>
              <w:jc w:val="center"/>
              <w:rPr>
                <w:rFonts w:hint="default" w:ascii="Times New Roman" w:hAnsi="Times New Roman" w:cs="Times New Roman"/>
                <w:b/>
                <w:bCs/>
                <w:color w:val="auto"/>
                <w:sz w:val="21"/>
                <w:szCs w:val="21"/>
                <w:u w:val="none"/>
                <w:lang w:val="en-US" w:eastAsia="zh-CN"/>
              </w:rPr>
            </w:pPr>
          </w:p>
        </w:tc>
        <w:tc>
          <w:tcPr>
            <w:tcW w:w="42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0AD6FB">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z w:val="21"/>
                <w:szCs w:val="21"/>
                <w:u w:val="none"/>
                <w:lang w:val="en-US" w:eastAsia="zh-CN"/>
              </w:rPr>
            </w:pPr>
            <w:r>
              <w:rPr>
                <w:rFonts w:hint="default" w:ascii="Times New Roman" w:hAnsi="Times New Roman" w:cs="Times New Roman"/>
                <w:b/>
                <w:bCs/>
                <w:color w:val="auto"/>
                <w:sz w:val="21"/>
                <w:szCs w:val="21"/>
                <w:u w:val="none"/>
                <w:lang w:val="en-US" w:eastAsia="zh-CN"/>
              </w:rPr>
              <w:t>工业</w:t>
            </w:r>
          </w:p>
        </w:tc>
        <w:tc>
          <w:tcPr>
            <w:tcW w:w="782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747EA8">
            <w:pPr>
              <w:keepNext w:val="0"/>
              <w:keepLines w:val="0"/>
              <w:pageBreakBefore w:val="0"/>
              <w:widowControl w:val="0"/>
              <w:suppressLineNumbers w:val="0"/>
              <w:kinsoku/>
              <w:wordWrap w:val="0"/>
              <w:overflowPunct/>
              <w:topLinePunct w:val="0"/>
              <w:autoSpaceDE/>
              <w:autoSpaceDN/>
              <w:bidi w:val="0"/>
              <w:spacing w:before="0" w:beforeAutospacing="0" w:after="0" w:afterAutospacing="0" w:line="240" w:lineRule="auto"/>
              <w:ind w:left="0" w:right="0" w:firstLine="0" w:firstLineChars="0"/>
              <w:jc w:val="both"/>
              <w:textAlignment w:val="auto"/>
              <w:rPr>
                <w:rFonts w:hint="default" w:ascii="Times New Roman" w:hAnsi="Times New Roman" w:cs="Times New Roman"/>
                <w:color w:val="auto"/>
                <w:sz w:val="22"/>
                <w:szCs w:val="22"/>
                <w:u w:val="none"/>
                <w:lang w:val="en-US" w:eastAsia="zh-CN"/>
              </w:rPr>
            </w:pPr>
            <w:r>
              <w:rPr>
                <w:rFonts w:hint="default" w:ascii="Times New Roman" w:hAnsi="Times New Roman" w:cs="Times New Roman"/>
                <w:color w:val="auto"/>
                <w:sz w:val="22"/>
                <w:szCs w:val="22"/>
                <w:u w:val="none"/>
                <w:lang w:val="en-US" w:eastAsia="zh-CN"/>
              </w:rPr>
              <w:t>新型环保科技玻璃项目、生物保健品生产项目、植物人参</w:t>
            </w:r>
            <w:r>
              <w:rPr>
                <w:rFonts w:hint="eastAsia" w:ascii="Times New Roman" w:hAnsi="Times New Roman" w:cs="Times New Roman"/>
                <w:color w:val="auto"/>
                <w:sz w:val="22"/>
                <w:szCs w:val="22"/>
                <w:u w:val="none"/>
                <w:lang w:val="en-US" w:eastAsia="zh-CN"/>
              </w:rPr>
              <w:t>皂苷</w:t>
            </w:r>
            <w:r>
              <w:rPr>
                <w:rFonts w:hint="default" w:ascii="Times New Roman" w:hAnsi="Times New Roman" w:cs="Times New Roman"/>
                <w:color w:val="auto"/>
                <w:sz w:val="22"/>
                <w:szCs w:val="22"/>
                <w:u w:val="none"/>
                <w:lang w:val="en-US" w:eastAsia="zh-CN"/>
              </w:rPr>
              <w:t>提取项目、硅酸盐生态复合肥加工项目、健康食品加工项目、桓仁燕东绿色酒业开发、高丽食品厂扩建、辽宁宏源医疗器械有限公司二期工程、食用菌深加工项目、航空小镇物流产业园建设项目、</w:t>
            </w:r>
            <w:r>
              <w:rPr>
                <w:rFonts w:hint="eastAsia" w:ascii="Times New Roman" w:hAnsi="Times New Roman" w:cs="Times New Roman"/>
                <w:color w:val="auto"/>
                <w:sz w:val="22"/>
                <w:szCs w:val="22"/>
                <w:u w:val="none"/>
                <w:lang w:val="en-US" w:eastAsia="zh-CN"/>
              </w:rPr>
              <w:t>古城镇老马太太酸菜加工项目、食用菌深加工建设项目、</w:t>
            </w:r>
            <w:r>
              <w:rPr>
                <w:rFonts w:hint="default" w:ascii="Times New Roman" w:hAnsi="Times New Roman" w:cs="Times New Roman"/>
                <w:color w:val="auto"/>
                <w:sz w:val="22"/>
                <w:szCs w:val="22"/>
                <w:u w:val="none"/>
                <w:lang w:val="en-US" w:eastAsia="zh-CN"/>
              </w:rPr>
              <w:t>人参加工产业园建设项目、</w:t>
            </w:r>
            <w:r>
              <w:rPr>
                <w:rFonts w:hint="eastAsia" w:ascii="Times New Roman" w:hAnsi="Times New Roman" w:cs="Times New Roman"/>
                <w:color w:val="auto"/>
                <w:sz w:val="22"/>
                <w:szCs w:val="22"/>
                <w:u w:val="none"/>
                <w:lang w:val="en-US" w:eastAsia="zh-CN"/>
              </w:rPr>
              <w:t>古城子村中药材加工项目、</w:t>
            </w:r>
            <w:r>
              <w:rPr>
                <w:rFonts w:hint="default" w:ascii="Times New Roman" w:hAnsi="Times New Roman" w:cs="Times New Roman"/>
                <w:color w:val="auto"/>
                <w:sz w:val="22"/>
                <w:szCs w:val="22"/>
                <w:u w:val="none"/>
                <w:lang w:val="en-US" w:eastAsia="zh-CN"/>
              </w:rPr>
              <w:t>稻米加工产业园建设项目、</w:t>
            </w:r>
            <w:r>
              <w:rPr>
                <w:rFonts w:hint="eastAsia" w:ascii="Times New Roman" w:hAnsi="Times New Roman" w:cs="Times New Roman"/>
                <w:color w:val="auto"/>
                <w:sz w:val="22"/>
                <w:szCs w:val="22"/>
                <w:u w:val="none"/>
                <w:lang w:val="en-US" w:eastAsia="zh-CN"/>
              </w:rPr>
              <w:t>洼泥甸子村绿色食品山野菜加工项目、拐磨子村人参加工产业项目、洼泥甸子天然饮用水资源开发项目、古城子村绿色水稻及农副产品加工项目、碱长沟村文化活动中心项目、江南村粮米深加工项目、双岭子村玉米烘干塔项目、洼泥甸子村稻米加工项目、桓仁裕成粮食加工厂项目、双岭子村农副产品烘干室建设项目</w:t>
            </w:r>
          </w:p>
        </w:tc>
      </w:tr>
    </w:tbl>
    <w:p w14:paraId="3FD5E864">
      <w:pPr>
        <w:pStyle w:val="3"/>
        <w:bidi w:val="0"/>
        <w:ind w:left="0" w:leftChars="0" w:firstLine="420" w:firstLineChars="0"/>
        <w:rPr>
          <w:rFonts w:hint="eastAsia" w:ascii="黑体" w:hAnsi="黑体" w:eastAsia="黑体" w:cs="黑体"/>
          <w:u w:val="none"/>
          <w:lang w:val="en-US" w:eastAsia="zh-CN"/>
        </w:rPr>
      </w:pPr>
      <w:bookmarkStart w:id="223" w:name="_Toc152937231"/>
      <w:bookmarkStart w:id="224" w:name="_Toc18269"/>
      <w:bookmarkStart w:id="225" w:name="_Toc23838"/>
      <w:r>
        <w:rPr>
          <w:rFonts w:hint="eastAsia" w:ascii="黑体" w:hAnsi="黑体" w:eastAsia="黑体" w:cs="黑体"/>
          <w:u w:val="none"/>
          <w:lang w:val="en-US" w:eastAsia="zh-CN"/>
        </w:rPr>
        <w:t>“一张图”建设与实施监督</w:t>
      </w:r>
      <w:bookmarkEnd w:id="223"/>
      <w:bookmarkEnd w:id="224"/>
      <w:bookmarkEnd w:id="225"/>
    </w:p>
    <w:p w14:paraId="0C41182D">
      <w:pPr>
        <w:pStyle w:val="4"/>
        <w:bidi w:val="0"/>
        <w:ind w:left="0" w:leftChars="0" w:firstLine="420" w:firstLineChars="0"/>
        <w:rPr>
          <w:rFonts w:hint="eastAsia"/>
          <w:color w:val="auto"/>
          <w:u w:val="none"/>
          <w:lang w:val="en-US" w:eastAsia="zh-CN"/>
        </w:rPr>
      </w:pPr>
      <w:r>
        <w:rPr>
          <w:rFonts w:hint="eastAsia"/>
          <w:color w:val="auto"/>
          <w:u w:val="none"/>
          <w:lang w:val="en-US" w:eastAsia="zh-CN"/>
        </w:rPr>
        <w:t>强化国土空间规划“一张图”管理</w:t>
      </w:r>
    </w:p>
    <w:p w14:paraId="384933A4">
      <w:pPr>
        <w:keepNext w:val="0"/>
        <w:keepLines w:val="0"/>
        <w:pageBreakBefore w:val="0"/>
        <w:widowControl w:val="0"/>
        <w:kinsoku/>
        <w:overflowPunct/>
        <w:topLinePunct w:val="0"/>
        <w:autoSpaceDE/>
        <w:autoSpaceDN/>
        <w:bidi w:val="0"/>
        <w:spacing w:line="600" w:lineRule="exact"/>
        <w:textAlignment w:val="auto"/>
        <w:rPr>
          <w:u w:val="none"/>
        </w:rPr>
      </w:pPr>
      <w:r>
        <w:rPr>
          <w:rFonts w:hint="eastAsia" w:ascii="Times New Roman" w:hAnsi="Times New Roman" w:cs="仿宋_GB2312"/>
          <w:color w:val="auto"/>
          <w:szCs w:val="32"/>
          <w:highlight w:val="none"/>
          <w:u w:val="none"/>
          <w:lang w:bidi="ar"/>
        </w:rPr>
        <w:t>规划批复后，汇交至县（市）级国土空间规划基础信息平台，建设国土空间规划“一张图”实施监督信息系统。加强各部门共享共用，为国土空间规划编制、审批、修改和实施监督全周期管理提供信息化技术支持。</w:t>
      </w:r>
    </w:p>
    <w:p w14:paraId="6B4EE461">
      <w:pPr>
        <w:pStyle w:val="4"/>
        <w:bidi w:val="0"/>
        <w:ind w:left="0" w:leftChars="0" w:firstLine="420" w:firstLineChars="0"/>
        <w:rPr>
          <w:rFonts w:hint="eastAsia"/>
          <w:color w:val="auto"/>
          <w:u w:val="none"/>
          <w:lang w:val="en-US" w:eastAsia="zh-CN"/>
        </w:rPr>
      </w:pPr>
      <w:r>
        <w:rPr>
          <w:rFonts w:hint="eastAsia"/>
          <w:color w:val="auto"/>
          <w:u w:val="none"/>
          <w:lang w:val="en-US" w:eastAsia="zh-CN"/>
        </w:rPr>
        <w:t>完善社会监督机制</w:t>
      </w:r>
    </w:p>
    <w:p w14:paraId="0B41345C">
      <w:pPr>
        <w:keepNext w:val="0"/>
        <w:keepLines w:val="0"/>
        <w:pageBreakBefore w:val="0"/>
        <w:widowControl w:val="0"/>
        <w:kinsoku/>
        <w:overflowPunct/>
        <w:topLinePunct w:val="0"/>
        <w:autoSpaceDE/>
        <w:autoSpaceDN/>
        <w:bidi w:val="0"/>
        <w:spacing w:line="600" w:lineRule="exact"/>
        <w:textAlignment w:val="auto"/>
        <w:rPr>
          <w:rFonts w:hint="eastAsia" w:ascii="仿宋_GB2312" w:hAnsi="宋体" w:eastAsia="仿宋_GB2312" w:cs="宋体"/>
          <w:color w:val="auto"/>
          <w:spacing w:val="-1"/>
          <w:sz w:val="21"/>
          <w:szCs w:val="21"/>
          <w:u w:val="none"/>
          <w:lang w:val="en-US" w:eastAsia="zh-CN" w:bidi="ar"/>
        </w:rPr>
      </w:pPr>
      <w:r>
        <w:rPr>
          <w:rFonts w:hint="eastAsia" w:cs="仿宋_GB2312"/>
          <w:szCs w:val="32"/>
          <w:u w:val="none"/>
          <w:lang w:bidi="ar"/>
        </w:rPr>
        <w:t>坚持开门编规划，建立全流程、多渠道的公众参与和社会协同机制，调动公众和专家参与到规划编制一实施一监督一评估的全过程。创新广泛、多样的公众参与形式，发挥传统纸媒和微信公众号等自媒体的作用，开展问卷调查、调研座谈、主题沙龙、规划展览等公众参与活动，为规划编制、实施、监督提供广泛公众基础，营造全社会积极主动实施和监督规划的良好氛围。</w:t>
      </w:r>
    </w:p>
    <w:sectPr>
      <w:headerReference r:id="rId11" w:type="default"/>
      <w:footerReference r:id="rId12" w:type="default"/>
      <w:pgSz w:w="11906" w:h="16838"/>
      <w:pgMar w:top="1440" w:right="1519" w:bottom="1692" w:left="1800" w:header="850" w:footer="850" w:gutter="0"/>
      <w:pgNumType w:fmt="decimal" w:start="1"/>
      <w:cols w:space="720" w:num="1"/>
      <w:docGrid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720268A-50C8-43A7-9A58-3E3B5A19EB1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1BCD2FEF-02EC-4E58-B859-7615C5869F42}"/>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3" w:fontKey="{21D33C87-0582-4563-A022-06461DAFE266}"/>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4" w:fontKey="{464375CD-F633-4003-92AB-3DD57475DB71}"/>
  </w:font>
  <w:font w:name="楷体_GB2312">
    <w:panose1 w:val="02010609030101010101"/>
    <w:charset w:val="86"/>
    <w:family w:val="modern"/>
    <w:pitch w:val="default"/>
    <w:sig w:usb0="00000001" w:usb1="080E0000" w:usb2="00000000" w:usb3="00000000" w:csb0="00040000" w:csb1="00000000"/>
    <w:embedRegular r:id="rId5" w:fontKey="{06597A16-A1F1-42A5-8E29-235445F65E3F}"/>
  </w:font>
  <w:font w:name="方正小标宋_GBK">
    <w:panose1 w:val="03000509000000000000"/>
    <w:charset w:val="86"/>
    <w:family w:val="auto"/>
    <w:pitch w:val="default"/>
    <w:sig w:usb0="00000001" w:usb1="080E0000" w:usb2="00000000" w:usb3="00000000" w:csb0="00040000" w:csb1="00000000"/>
    <w:embedRegular r:id="rId6" w:fontKey="{D944C9A9-0A69-4225-BB76-B118174DFD1E}"/>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E7854">
    <w:pPr>
      <w:widowControl w:val="0"/>
      <w:adjustRightInd w:val="0"/>
      <w:snapToGrid w:val="0"/>
      <w:spacing w:line="240" w:lineRule="auto"/>
      <w:ind w:firstLine="420" w:firstLineChars="200"/>
      <w:jc w:val="center"/>
      <w:rPr>
        <w:rFonts w:ascii="Times New Roman" w:hAnsi="Times New Roman" w:eastAsia="楷体" w:cs="Times New Roman"/>
        <w:kern w:val="2"/>
        <w:sz w:val="21"/>
        <w:szCs w:val="16"/>
        <w:lang w:val="en-US" w:eastAsia="zh-CN" w:bidi="ar-SA"/>
      </w:rPr>
    </w:pPr>
  </w:p>
  <w:p w14:paraId="154B2129">
    <w:pPr>
      <w:widowControl w:val="0"/>
      <w:adjustRightInd w:val="0"/>
      <w:snapToGrid w:val="0"/>
      <w:spacing w:line="240" w:lineRule="auto"/>
      <w:ind w:firstLine="420" w:firstLineChars="200"/>
      <w:jc w:val="center"/>
      <w:rPr>
        <w:rFonts w:ascii="Times New Roman" w:hAnsi="Times New Roman" w:eastAsia="楷体" w:cs="Times New Roman"/>
        <w:kern w:val="2"/>
        <w:sz w:val="21"/>
        <w:szCs w:val="16"/>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仿宋_GB2312" w:cs="Times New Roman"/>
        <w:kern w:val="2"/>
        <w:sz w:val="32"/>
        <w:szCs w:val="22"/>
        <w:lang w:val="en-US" w:eastAsia="zh-CN" w:bidi="ar-SA"/>
      </w:rPr>
      <w:id w:val="489303037"/>
    </w:sdtPr>
    <w:sdtEndPr>
      <w:rPr>
        <w:rFonts w:hint="eastAsia" w:ascii="宋体" w:hAnsi="宋体" w:eastAsia="宋体" w:cs="宋体"/>
        <w:kern w:val="2"/>
        <w:sz w:val="22"/>
        <w:szCs w:val="22"/>
        <w:lang w:val="en-US" w:eastAsia="zh-CN" w:bidi="ar-SA"/>
      </w:rPr>
    </w:sdtEndPr>
    <w:sdtContent>
      <w:p w14:paraId="49D8307E">
        <w:pPr>
          <w:widowControl w:val="0"/>
          <w:adjustRightInd w:val="0"/>
          <w:snapToGrid w:val="0"/>
          <w:spacing w:line="240" w:lineRule="auto"/>
          <w:ind w:firstLine="640" w:firstLineChars="200"/>
          <w:jc w:val="center"/>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fldChar w:fldCharType="begin"/>
        </w:r>
        <w:r>
          <w:rPr>
            <w:rFonts w:hint="eastAsia" w:ascii="宋体" w:hAnsi="宋体" w:eastAsia="宋体" w:cs="宋体"/>
            <w:kern w:val="2"/>
            <w:sz w:val="22"/>
            <w:szCs w:val="22"/>
            <w:lang w:val="en-US" w:eastAsia="zh-CN" w:bidi="ar-SA"/>
          </w:rPr>
          <w:instrText xml:space="preserve">PAGE   \* MERGEFORMAT</w:instrText>
        </w:r>
        <w:r>
          <w:rPr>
            <w:rFonts w:hint="eastAsia" w:ascii="宋体" w:hAnsi="宋体" w:eastAsia="宋体" w:cs="宋体"/>
            <w:kern w:val="2"/>
            <w:sz w:val="22"/>
            <w:szCs w:val="22"/>
            <w:lang w:val="en-US" w:eastAsia="zh-CN" w:bidi="ar-SA"/>
          </w:rPr>
          <w:fldChar w:fldCharType="separate"/>
        </w:r>
        <w:r>
          <w:rPr>
            <w:rFonts w:hint="eastAsia" w:ascii="宋体" w:hAnsi="宋体" w:eastAsia="宋体" w:cs="宋体"/>
            <w:kern w:val="2"/>
            <w:sz w:val="22"/>
            <w:szCs w:val="22"/>
            <w:lang w:val="zh-CN" w:eastAsia="zh-CN" w:bidi="ar-SA"/>
          </w:rPr>
          <w:t>2</w:t>
        </w:r>
        <w:r>
          <w:rPr>
            <w:rFonts w:hint="eastAsia" w:ascii="宋体" w:hAnsi="宋体" w:eastAsia="宋体" w:cs="宋体"/>
            <w:kern w:val="2"/>
            <w:sz w:val="22"/>
            <w:szCs w:val="22"/>
            <w:lang w:val="en-US" w:eastAsia="zh-CN" w:bidi="ar-SA"/>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仿宋_GB2312" w:cs="Times New Roman"/>
        <w:kern w:val="2"/>
        <w:sz w:val="32"/>
        <w:szCs w:val="22"/>
        <w:lang w:val="en-US" w:eastAsia="zh-CN" w:bidi="ar-SA"/>
      </w:rPr>
      <w:id w:val="1401564337"/>
    </w:sdtPr>
    <w:sdtEndPr>
      <w:rPr>
        <w:rFonts w:hint="eastAsia" w:ascii="宋体" w:hAnsi="宋体" w:eastAsia="宋体" w:cs="宋体"/>
        <w:kern w:val="2"/>
        <w:sz w:val="22"/>
        <w:szCs w:val="22"/>
        <w:lang w:val="en-US" w:eastAsia="zh-CN" w:bidi="ar-SA"/>
      </w:rPr>
    </w:sdtEndPr>
    <w:sdtContent>
      <w:p w14:paraId="360C3C42">
        <w:pPr>
          <w:widowControl w:val="0"/>
          <w:adjustRightInd w:val="0"/>
          <w:snapToGrid w:val="0"/>
          <w:spacing w:line="240" w:lineRule="auto"/>
          <w:ind w:firstLine="640" w:firstLineChars="200"/>
          <w:jc w:val="center"/>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fldChar w:fldCharType="begin"/>
        </w:r>
        <w:r>
          <w:rPr>
            <w:rFonts w:hint="eastAsia" w:ascii="宋体" w:hAnsi="宋体" w:eastAsia="宋体" w:cs="宋体"/>
            <w:kern w:val="2"/>
            <w:sz w:val="22"/>
            <w:szCs w:val="22"/>
            <w:lang w:val="en-US" w:eastAsia="zh-CN" w:bidi="ar-SA"/>
          </w:rPr>
          <w:instrText xml:space="preserve">PAGE   \* MERGEFORMAT</w:instrText>
        </w:r>
        <w:r>
          <w:rPr>
            <w:rFonts w:hint="eastAsia" w:ascii="宋体" w:hAnsi="宋体" w:eastAsia="宋体" w:cs="宋体"/>
            <w:kern w:val="2"/>
            <w:sz w:val="22"/>
            <w:szCs w:val="22"/>
            <w:lang w:val="en-US" w:eastAsia="zh-CN" w:bidi="ar-SA"/>
          </w:rPr>
          <w:fldChar w:fldCharType="separate"/>
        </w:r>
        <w:r>
          <w:rPr>
            <w:rFonts w:hint="eastAsia" w:ascii="宋体" w:hAnsi="宋体" w:eastAsia="宋体" w:cs="宋体"/>
            <w:kern w:val="2"/>
            <w:sz w:val="22"/>
            <w:szCs w:val="22"/>
            <w:lang w:val="zh-CN" w:eastAsia="zh-CN" w:bidi="ar-SA"/>
          </w:rPr>
          <w:t>I</w:t>
        </w:r>
        <w:r>
          <w:rPr>
            <w:rFonts w:hint="eastAsia" w:ascii="宋体" w:hAnsi="宋体" w:eastAsia="宋体" w:cs="宋体"/>
            <w:kern w:val="2"/>
            <w:sz w:val="22"/>
            <w:szCs w:val="22"/>
            <w:lang w:val="en-US" w:eastAsia="zh-CN" w:bidi="ar-SA"/>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D5D03">
    <w:pPr>
      <w:widowControl w:val="0"/>
      <w:adjustRightInd w:val="0"/>
      <w:snapToGrid w:val="0"/>
      <w:spacing w:line="240" w:lineRule="auto"/>
      <w:jc w:val="both"/>
      <w:rPr>
        <w:rFonts w:ascii="Times New Roman" w:hAnsi="Times New Roman" w:eastAsia="楷体" w:cs="Times New Roman"/>
        <w:kern w:val="2"/>
        <w:sz w:val="21"/>
        <w:szCs w:val="16"/>
        <w:lang w:val="en-US" w:eastAsia="zh-CN" w:bidi="ar-SA"/>
      </w:rPr>
    </w:pPr>
    <w:r>
      <w:rPr>
        <w:sz w:val="21"/>
      </w:rPr>
      <mc:AlternateContent>
        <mc:Choice Requires="wps">
          <w:drawing>
            <wp:anchor distT="0" distB="0" distL="114300" distR="114300" simplePos="0" relativeHeight="251659264" behindDoc="0" locked="0" layoutInCell="1" allowOverlap="1">
              <wp:simplePos x="0" y="0"/>
              <wp:positionH relativeFrom="margin">
                <wp:posOffset>2580005</wp:posOffset>
              </wp:positionH>
              <wp:positionV relativeFrom="paragraph">
                <wp:posOffset>-37465</wp:posOffset>
              </wp:positionV>
              <wp:extent cx="606425" cy="175260"/>
              <wp:effectExtent l="0" t="0" r="0" b="0"/>
              <wp:wrapNone/>
              <wp:docPr id="1" name="文本框 1"/>
              <wp:cNvGraphicFramePr/>
              <a:graphic xmlns:a="http://schemas.openxmlformats.org/drawingml/2006/main">
                <a:graphicData uri="http://schemas.microsoft.com/office/word/2010/wordprocessingShape">
                  <wps:wsp>
                    <wps:cNvSpPr txBox="1"/>
                    <wps:spPr>
                      <a:xfrm>
                        <a:off x="0" y="0"/>
                        <a:ext cx="606425" cy="1752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022866">
                          <w:pPr>
                            <w:rPr>
                              <w:rFonts w:hint="eastAsia" w:ascii="宋体" w:hAnsi="宋体" w:eastAsia="宋体" w:cs="宋体"/>
                              <w:sz w:val="22"/>
                              <w:szCs w:val="22"/>
                            </w:rPr>
                          </w:pP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  \* MERGEFORMAT </w:instrText>
                          </w:r>
                          <w:r>
                            <w:rPr>
                              <w:rFonts w:hint="eastAsia" w:ascii="宋体" w:hAnsi="宋体" w:eastAsia="宋体" w:cs="宋体"/>
                              <w:sz w:val="22"/>
                              <w:szCs w:val="22"/>
                            </w:rPr>
                            <w:fldChar w:fldCharType="separate"/>
                          </w:r>
                          <w:r>
                            <w:rPr>
                              <w:rFonts w:hint="eastAsia" w:ascii="宋体" w:hAnsi="宋体" w:eastAsia="宋体" w:cs="宋体"/>
                              <w:sz w:val="22"/>
                              <w:szCs w:val="22"/>
                            </w:rPr>
                            <w:t>4</w:t>
                          </w:r>
                          <w:r>
                            <w:rPr>
                              <w:rFonts w:hint="eastAsia" w:ascii="宋体" w:hAnsi="宋体" w:eastAsia="宋体" w:cs="宋体"/>
                              <w:sz w:val="22"/>
                              <w:szCs w:val="22"/>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203.15pt;margin-top:-2.95pt;height:13.8pt;width:47.75pt;mso-position-horizontal-relative:margin;z-index:251659264;mso-width-relative:page;mso-height-relative:page;" filled="f" stroked="f" coordsize="21600,21600" o:gfxdata="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CrTtuPYAAAACQEAAA8AAAAAAAAAAQAgAAAAIgAAAGRycy9kb3ducmV2&#10;LnhtbFBLAQIUABQAAAAIAIdO4kBK1NeRNQIAAGEEAAAOAAAAAAAAAAEAIAAAACcBAABkcnMvZTJv&#10;RG9jLnhtbFBLBQYAAAAABgAGAFkBAADOBQAAAAA=&#10;">
              <v:fill on="f" focussize="0,0"/>
              <v:stroke on="f" weight="0.5pt"/>
              <v:imagedata o:title=""/>
              <o:lock v:ext="edit" aspectratio="f"/>
              <v:textbox inset="0mm,0mm,0mm,0mm">
                <w:txbxContent>
                  <w:p w14:paraId="4A022866">
                    <w:pPr>
                      <w:rPr>
                        <w:rFonts w:hint="eastAsia" w:ascii="宋体" w:hAnsi="宋体" w:eastAsia="宋体" w:cs="宋体"/>
                        <w:sz w:val="22"/>
                        <w:szCs w:val="22"/>
                      </w:rPr>
                    </w:pP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  \* MERGEFORMAT </w:instrText>
                    </w:r>
                    <w:r>
                      <w:rPr>
                        <w:rFonts w:hint="eastAsia" w:ascii="宋体" w:hAnsi="宋体" w:eastAsia="宋体" w:cs="宋体"/>
                        <w:sz w:val="22"/>
                        <w:szCs w:val="22"/>
                      </w:rPr>
                      <w:fldChar w:fldCharType="separate"/>
                    </w:r>
                    <w:r>
                      <w:rPr>
                        <w:rFonts w:hint="eastAsia" w:ascii="宋体" w:hAnsi="宋体" w:eastAsia="宋体" w:cs="宋体"/>
                        <w:sz w:val="22"/>
                        <w:szCs w:val="22"/>
                      </w:rPr>
                      <w:t>4</w:t>
                    </w:r>
                    <w:r>
                      <w:rPr>
                        <w:rFonts w:hint="eastAsia" w:ascii="宋体" w:hAnsi="宋体" w:eastAsia="宋体" w:cs="宋体"/>
                        <w:sz w:val="22"/>
                        <w:szCs w:val="22"/>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B3260">
    <w:pPr>
      <w:ind w:firstLine="4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63E006">
    <w:pPr>
      <w:ind w:firstLine="48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18906">
    <w:pPr>
      <w:keepNext w:val="0"/>
      <w:keepLines w:val="0"/>
      <w:pageBreakBefore w:val="0"/>
      <w:widowControl w:val="0"/>
      <w:pBdr>
        <w:bottom w:val="single" w:color="auto" w:sz="4" w:space="0"/>
      </w:pBdr>
      <w:kinsoku/>
      <w:wordWrap/>
      <w:overflowPunct/>
      <w:topLinePunct w:val="0"/>
      <w:bidi w:val="0"/>
      <w:adjustRightInd/>
      <w:snapToGrid/>
      <w:spacing w:line="240" w:lineRule="auto"/>
      <w:ind w:firstLine="0" w:firstLineChars="0"/>
      <w:jc w:val="center"/>
      <w:textAlignment w:val="auto"/>
      <w:rPr>
        <w:rFonts w:hint="eastAsia" w:eastAsia="宋体"/>
        <w:sz w:val="21"/>
        <w:szCs w:val="21"/>
        <w:lang w:val="en-US" w:eastAsia="zh-CN"/>
      </w:rPr>
    </w:pPr>
    <w:r>
      <w:rPr>
        <w:rFonts w:hint="eastAsia"/>
        <w:sz w:val="21"/>
        <w:szCs w:val="21"/>
      </w:rPr>
      <w:t>桓仁满族自治县古城镇国土空间总体规划（2021—2035年）</w:t>
    </w:r>
    <w:r>
      <w:rPr>
        <w:rFonts w:hint="eastAsia"/>
        <w:sz w:val="21"/>
        <w:szCs w:val="21"/>
        <w:lang w:val="en-US" w:eastAsia="zh-CN"/>
      </w:rPr>
      <w:t>说明</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DBB71">
    <w:pPr>
      <w:ind w:firstLine="4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87A48F"/>
    <w:multiLevelType w:val="singleLevel"/>
    <w:tmpl w:val="D287A48F"/>
    <w:lvl w:ilvl="0" w:tentative="0">
      <w:start w:val="1"/>
      <w:numFmt w:val="decimal"/>
      <w:suff w:val="nothing"/>
      <w:lvlText w:val="%1"/>
      <w:lvlJc w:val="left"/>
      <w:pPr>
        <w:ind w:left="0" w:leftChars="0" w:firstLine="0" w:firstLineChars="0"/>
      </w:pPr>
      <w:rPr>
        <w:rFonts w:hint="default" w:ascii="仿宋_GB2312" w:hAnsi="仿宋_GB2312" w:eastAsia="仿宋_GB2312"/>
        <w:sz w:val="21"/>
        <w:szCs w:val="21"/>
      </w:rPr>
    </w:lvl>
  </w:abstractNum>
  <w:abstractNum w:abstractNumId="1">
    <w:nsid w:val="DF726E84"/>
    <w:multiLevelType w:val="multilevel"/>
    <w:tmpl w:val="DF726E84"/>
    <w:lvl w:ilvl="0" w:tentative="0">
      <w:start w:val="1"/>
      <w:numFmt w:val="decimal"/>
      <w:pStyle w:val="2"/>
      <w:suff w:val="space"/>
      <w:lvlText w:val="第%1章"/>
      <w:lvlJc w:val="left"/>
      <w:pPr>
        <w:tabs>
          <w:tab w:val="left" w:pos="0"/>
        </w:tabs>
        <w:ind w:left="420" w:hanging="420"/>
      </w:pPr>
      <w:rPr>
        <w:rFonts w:hint="default" w:eastAsia="方正小标宋简体"/>
        <w:sz w:val="36"/>
      </w:rPr>
    </w:lvl>
    <w:lvl w:ilvl="1" w:tentative="0">
      <w:start w:val="1"/>
      <w:numFmt w:val="decimal"/>
      <w:pStyle w:val="3"/>
      <w:suff w:val="space"/>
      <w:lvlText w:val="%1.%2"/>
      <w:lvlJc w:val="left"/>
      <w:pPr>
        <w:tabs>
          <w:tab w:val="left" w:pos="420"/>
        </w:tabs>
        <w:ind w:left="0" w:leftChars="0" w:firstLine="420" w:firstLineChars="0"/>
      </w:pPr>
      <w:rPr>
        <w:rFonts w:hint="default" w:eastAsia="黑体"/>
        <w:sz w:val="32"/>
      </w:rPr>
    </w:lvl>
    <w:lvl w:ilvl="2" w:tentative="0">
      <w:start w:val="1"/>
      <w:numFmt w:val="decimal"/>
      <w:pStyle w:val="4"/>
      <w:suff w:val="space"/>
      <w:lvlText w:val="%1.%2.%3"/>
      <w:lvlJc w:val="left"/>
      <w:pPr>
        <w:tabs>
          <w:tab w:val="left" w:pos="0"/>
        </w:tabs>
        <w:ind w:left="0" w:leftChars="0" w:firstLine="420" w:firstLineChars="0"/>
      </w:pPr>
      <w:rPr>
        <w:rFonts w:hint="default" w:eastAsia="仿宋_GB2312"/>
        <w:sz w:val="32"/>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E9D2C2F"/>
    <w:multiLevelType w:val="multilevel"/>
    <w:tmpl w:val="7E9D2C2F"/>
    <w:lvl w:ilvl="0" w:tentative="0">
      <w:start w:val="1"/>
      <w:numFmt w:val="japaneseCounting"/>
      <w:lvlText w:val="第%1节"/>
      <w:lvlJc w:val="left"/>
      <w:pPr>
        <w:ind w:left="440" w:hanging="44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2"/>
    <w:lvlOverride w:ilvl="0">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hideSpellingErrors/>
  <w:hideGrammaticalErrors/>
  <w:documentProtection w:enforcement="0"/>
  <w:defaultTabStop w:val="420"/>
  <w:noPunctuationKerning w:val="1"/>
  <w:characterSpacingControl w:val="doNotCompress"/>
  <w:footnotePr>
    <w:footnote w:id="0"/>
    <w:footnote w:id="1"/>
  </w:footnotePr>
  <w:endnotePr>
    <w:endnote w:id="0"/>
    <w:endnote w:id="1"/>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QwOThlMGFlYzJiNTMxMDUyNzEwODJiYWFhNGE0YmQifQ=="/>
    <w:docVar w:name="KSO_WPS_MARK_KEY" w:val="6997a9fd-4c2f-4df4-83e6-7913bf9399c1"/>
  </w:docVars>
  <w:rsids>
    <w:rsidRoot w:val="0053662F"/>
    <w:rsid w:val="00001098"/>
    <w:rsid w:val="0000165C"/>
    <w:rsid w:val="0000300A"/>
    <w:rsid w:val="00004679"/>
    <w:rsid w:val="00007DAA"/>
    <w:rsid w:val="00010E83"/>
    <w:rsid w:val="00014B48"/>
    <w:rsid w:val="00014E62"/>
    <w:rsid w:val="00015D02"/>
    <w:rsid w:val="000161EF"/>
    <w:rsid w:val="00017665"/>
    <w:rsid w:val="0002110B"/>
    <w:rsid w:val="00021C93"/>
    <w:rsid w:val="00022455"/>
    <w:rsid w:val="0002522F"/>
    <w:rsid w:val="000258F7"/>
    <w:rsid w:val="00026EAE"/>
    <w:rsid w:val="00030BEE"/>
    <w:rsid w:val="0003164C"/>
    <w:rsid w:val="00031C19"/>
    <w:rsid w:val="00034E81"/>
    <w:rsid w:val="00035199"/>
    <w:rsid w:val="00036495"/>
    <w:rsid w:val="00045F1E"/>
    <w:rsid w:val="000465B7"/>
    <w:rsid w:val="000477AD"/>
    <w:rsid w:val="00047FBF"/>
    <w:rsid w:val="00055140"/>
    <w:rsid w:val="0005626B"/>
    <w:rsid w:val="00056D7B"/>
    <w:rsid w:val="00057983"/>
    <w:rsid w:val="000579DE"/>
    <w:rsid w:val="00062001"/>
    <w:rsid w:val="00070C5A"/>
    <w:rsid w:val="00070DDE"/>
    <w:rsid w:val="000743F8"/>
    <w:rsid w:val="000754F0"/>
    <w:rsid w:val="00076883"/>
    <w:rsid w:val="00080CED"/>
    <w:rsid w:val="000814E2"/>
    <w:rsid w:val="00082133"/>
    <w:rsid w:val="000917EE"/>
    <w:rsid w:val="00091DA2"/>
    <w:rsid w:val="00093505"/>
    <w:rsid w:val="00094328"/>
    <w:rsid w:val="0009545A"/>
    <w:rsid w:val="0009750C"/>
    <w:rsid w:val="00097ACB"/>
    <w:rsid w:val="000A0F78"/>
    <w:rsid w:val="000A0FAB"/>
    <w:rsid w:val="000A1ED4"/>
    <w:rsid w:val="000A4FC7"/>
    <w:rsid w:val="000A5CB3"/>
    <w:rsid w:val="000B168C"/>
    <w:rsid w:val="000B3D3D"/>
    <w:rsid w:val="000B45DB"/>
    <w:rsid w:val="000B4F55"/>
    <w:rsid w:val="000B5BA6"/>
    <w:rsid w:val="000B61D8"/>
    <w:rsid w:val="000C2C7C"/>
    <w:rsid w:val="000C3E6E"/>
    <w:rsid w:val="000C4AEF"/>
    <w:rsid w:val="000C4E1F"/>
    <w:rsid w:val="000C5E44"/>
    <w:rsid w:val="000D04EE"/>
    <w:rsid w:val="000D059D"/>
    <w:rsid w:val="000D0C3A"/>
    <w:rsid w:val="000D1CD9"/>
    <w:rsid w:val="000D23F0"/>
    <w:rsid w:val="000D2AE2"/>
    <w:rsid w:val="000D34E9"/>
    <w:rsid w:val="000D4357"/>
    <w:rsid w:val="000D6719"/>
    <w:rsid w:val="000D684B"/>
    <w:rsid w:val="000D69E7"/>
    <w:rsid w:val="000D710D"/>
    <w:rsid w:val="000D757A"/>
    <w:rsid w:val="000E014F"/>
    <w:rsid w:val="000E1810"/>
    <w:rsid w:val="000E29D6"/>
    <w:rsid w:val="000E3599"/>
    <w:rsid w:val="000E7836"/>
    <w:rsid w:val="000E7EA7"/>
    <w:rsid w:val="000F07D6"/>
    <w:rsid w:val="000F16B8"/>
    <w:rsid w:val="000F1D72"/>
    <w:rsid w:val="000F1F7F"/>
    <w:rsid w:val="000F284E"/>
    <w:rsid w:val="000F4264"/>
    <w:rsid w:val="00102B05"/>
    <w:rsid w:val="00102B71"/>
    <w:rsid w:val="0010434F"/>
    <w:rsid w:val="001051EE"/>
    <w:rsid w:val="00107D1C"/>
    <w:rsid w:val="001106C8"/>
    <w:rsid w:val="0011094C"/>
    <w:rsid w:val="00111CCA"/>
    <w:rsid w:val="001137FD"/>
    <w:rsid w:val="00117536"/>
    <w:rsid w:val="00121327"/>
    <w:rsid w:val="00125A0E"/>
    <w:rsid w:val="00126068"/>
    <w:rsid w:val="001304CD"/>
    <w:rsid w:val="0013476E"/>
    <w:rsid w:val="001370AB"/>
    <w:rsid w:val="00137B9D"/>
    <w:rsid w:val="00140454"/>
    <w:rsid w:val="00141D70"/>
    <w:rsid w:val="00142033"/>
    <w:rsid w:val="001427F5"/>
    <w:rsid w:val="00142FE7"/>
    <w:rsid w:val="00143947"/>
    <w:rsid w:val="00147C51"/>
    <w:rsid w:val="00150FB0"/>
    <w:rsid w:val="00155F0C"/>
    <w:rsid w:val="001576D2"/>
    <w:rsid w:val="00160A53"/>
    <w:rsid w:val="00161A29"/>
    <w:rsid w:val="00162490"/>
    <w:rsid w:val="00162887"/>
    <w:rsid w:val="00163557"/>
    <w:rsid w:val="0016392D"/>
    <w:rsid w:val="0016393C"/>
    <w:rsid w:val="00163E37"/>
    <w:rsid w:val="001650E7"/>
    <w:rsid w:val="001657F2"/>
    <w:rsid w:val="0016581A"/>
    <w:rsid w:val="00166403"/>
    <w:rsid w:val="00172488"/>
    <w:rsid w:val="00173C58"/>
    <w:rsid w:val="001762B8"/>
    <w:rsid w:val="001835D4"/>
    <w:rsid w:val="0018565B"/>
    <w:rsid w:val="0018612F"/>
    <w:rsid w:val="001875F3"/>
    <w:rsid w:val="0019138B"/>
    <w:rsid w:val="00192CB0"/>
    <w:rsid w:val="00193C72"/>
    <w:rsid w:val="00193D88"/>
    <w:rsid w:val="00193F54"/>
    <w:rsid w:val="0019731D"/>
    <w:rsid w:val="001A4B10"/>
    <w:rsid w:val="001A4FBB"/>
    <w:rsid w:val="001B0726"/>
    <w:rsid w:val="001C13B4"/>
    <w:rsid w:val="001C193A"/>
    <w:rsid w:val="001C45D5"/>
    <w:rsid w:val="001C4EBA"/>
    <w:rsid w:val="001D2458"/>
    <w:rsid w:val="001D4958"/>
    <w:rsid w:val="001D521F"/>
    <w:rsid w:val="001D69A2"/>
    <w:rsid w:val="001D69B5"/>
    <w:rsid w:val="001D7A67"/>
    <w:rsid w:val="001E05F1"/>
    <w:rsid w:val="001E52C8"/>
    <w:rsid w:val="001E6456"/>
    <w:rsid w:val="001E660E"/>
    <w:rsid w:val="001E7A36"/>
    <w:rsid w:val="001F14BF"/>
    <w:rsid w:val="001F1D77"/>
    <w:rsid w:val="001F2765"/>
    <w:rsid w:val="001F29D2"/>
    <w:rsid w:val="001F46C5"/>
    <w:rsid w:val="001F46FD"/>
    <w:rsid w:val="001F4CA8"/>
    <w:rsid w:val="001F5C80"/>
    <w:rsid w:val="001F61FA"/>
    <w:rsid w:val="0020104C"/>
    <w:rsid w:val="00210E97"/>
    <w:rsid w:val="00211CE8"/>
    <w:rsid w:val="002120F8"/>
    <w:rsid w:val="00213889"/>
    <w:rsid w:val="00213F2D"/>
    <w:rsid w:val="002148DF"/>
    <w:rsid w:val="00214929"/>
    <w:rsid w:val="00215A51"/>
    <w:rsid w:val="00216376"/>
    <w:rsid w:val="002241B6"/>
    <w:rsid w:val="00224A0E"/>
    <w:rsid w:val="00224A3A"/>
    <w:rsid w:val="0022595A"/>
    <w:rsid w:val="00225E9A"/>
    <w:rsid w:val="002265B3"/>
    <w:rsid w:val="00234885"/>
    <w:rsid w:val="002355C2"/>
    <w:rsid w:val="00236B04"/>
    <w:rsid w:val="00242C96"/>
    <w:rsid w:val="002439F2"/>
    <w:rsid w:val="002446B5"/>
    <w:rsid w:val="002458C7"/>
    <w:rsid w:val="00245A16"/>
    <w:rsid w:val="0024764C"/>
    <w:rsid w:val="0025772F"/>
    <w:rsid w:val="0026293B"/>
    <w:rsid w:val="00264AF2"/>
    <w:rsid w:val="00266317"/>
    <w:rsid w:val="002672C7"/>
    <w:rsid w:val="00267450"/>
    <w:rsid w:val="00270EF8"/>
    <w:rsid w:val="002738B8"/>
    <w:rsid w:val="00274511"/>
    <w:rsid w:val="00274E81"/>
    <w:rsid w:val="002750A7"/>
    <w:rsid w:val="0028022D"/>
    <w:rsid w:val="00281153"/>
    <w:rsid w:val="0028153F"/>
    <w:rsid w:val="00281AE1"/>
    <w:rsid w:val="00282EF9"/>
    <w:rsid w:val="00283B6E"/>
    <w:rsid w:val="00285EBA"/>
    <w:rsid w:val="00287201"/>
    <w:rsid w:val="0028771A"/>
    <w:rsid w:val="002929E2"/>
    <w:rsid w:val="00293706"/>
    <w:rsid w:val="002A0DAF"/>
    <w:rsid w:val="002A169A"/>
    <w:rsid w:val="002B08F2"/>
    <w:rsid w:val="002B3B92"/>
    <w:rsid w:val="002B6602"/>
    <w:rsid w:val="002B7648"/>
    <w:rsid w:val="002C108C"/>
    <w:rsid w:val="002C2BD2"/>
    <w:rsid w:val="002C32C7"/>
    <w:rsid w:val="002C4F53"/>
    <w:rsid w:val="002C58D0"/>
    <w:rsid w:val="002D124B"/>
    <w:rsid w:val="002D1C76"/>
    <w:rsid w:val="002D20ED"/>
    <w:rsid w:val="002D22D6"/>
    <w:rsid w:val="002D24FC"/>
    <w:rsid w:val="002D7343"/>
    <w:rsid w:val="002E01BC"/>
    <w:rsid w:val="002E1322"/>
    <w:rsid w:val="002E229E"/>
    <w:rsid w:val="002E3DED"/>
    <w:rsid w:val="002E3FBB"/>
    <w:rsid w:val="002E48FB"/>
    <w:rsid w:val="002E6ABC"/>
    <w:rsid w:val="002F1A40"/>
    <w:rsid w:val="002F202F"/>
    <w:rsid w:val="002F35DF"/>
    <w:rsid w:val="002F39E9"/>
    <w:rsid w:val="003005DD"/>
    <w:rsid w:val="003020DF"/>
    <w:rsid w:val="003038BF"/>
    <w:rsid w:val="00310FDE"/>
    <w:rsid w:val="00313145"/>
    <w:rsid w:val="00315815"/>
    <w:rsid w:val="00315AFA"/>
    <w:rsid w:val="0031661A"/>
    <w:rsid w:val="0031672A"/>
    <w:rsid w:val="00327473"/>
    <w:rsid w:val="00333310"/>
    <w:rsid w:val="0033399F"/>
    <w:rsid w:val="0033456B"/>
    <w:rsid w:val="003360BA"/>
    <w:rsid w:val="00336C51"/>
    <w:rsid w:val="0034077D"/>
    <w:rsid w:val="003463C6"/>
    <w:rsid w:val="0034653B"/>
    <w:rsid w:val="00346FD2"/>
    <w:rsid w:val="0035511B"/>
    <w:rsid w:val="003558B8"/>
    <w:rsid w:val="003572D3"/>
    <w:rsid w:val="003628F5"/>
    <w:rsid w:val="00365C9E"/>
    <w:rsid w:val="0036656F"/>
    <w:rsid w:val="00372DF9"/>
    <w:rsid w:val="00373F96"/>
    <w:rsid w:val="00374574"/>
    <w:rsid w:val="00374D04"/>
    <w:rsid w:val="00374EAC"/>
    <w:rsid w:val="00376E08"/>
    <w:rsid w:val="0038011B"/>
    <w:rsid w:val="00380ED0"/>
    <w:rsid w:val="0038508B"/>
    <w:rsid w:val="00387BA8"/>
    <w:rsid w:val="003931B0"/>
    <w:rsid w:val="00394CAE"/>
    <w:rsid w:val="00395C04"/>
    <w:rsid w:val="00395D7E"/>
    <w:rsid w:val="003A17F5"/>
    <w:rsid w:val="003A2345"/>
    <w:rsid w:val="003A47EE"/>
    <w:rsid w:val="003A6B6A"/>
    <w:rsid w:val="003A726B"/>
    <w:rsid w:val="003A7C27"/>
    <w:rsid w:val="003A7E0B"/>
    <w:rsid w:val="003B0E43"/>
    <w:rsid w:val="003B4012"/>
    <w:rsid w:val="003B52C4"/>
    <w:rsid w:val="003B62D7"/>
    <w:rsid w:val="003B6A44"/>
    <w:rsid w:val="003B6BD1"/>
    <w:rsid w:val="003B6C38"/>
    <w:rsid w:val="003B76B3"/>
    <w:rsid w:val="003C052E"/>
    <w:rsid w:val="003C53EA"/>
    <w:rsid w:val="003C562A"/>
    <w:rsid w:val="003C6922"/>
    <w:rsid w:val="003C75C9"/>
    <w:rsid w:val="003D0E41"/>
    <w:rsid w:val="003D1FB1"/>
    <w:rsid w:val="003D281D"/>
    <w:rsid w:val="003D4694"/>
    <w:rsid w:val="003D6D82"/>
    <w:rsid w:val="003D78D4"/>
    <w:rsid w:val="003E0E64"/>
    <w:rsid w:val="003E1679"/>
    <w:rsid w:val="003E77C4"/>
    <w:rsid w:val="003F18A5"/>
    <w:rsid w:val="003F2072"/>
    <w:rsid w:val="003F2F02"/>
    <w:rsid w:val="003F302F"/>
    <w:rsid w:val="003F45A9"/>
    <w:rsid w:val="003F4D2E"/>
    <w:rsid w:val="0040071D"/>
    <w:rsid w:val="00403150"/>
    <w:rsid w:val="00405D20"/>
    <w:rsid w:val="00407101"/>
    <w:rsid w:val="00414A02"/>
    <w:rsid w:val="004166F1"/>
    <w:rsid w:val="00416E8C"/>
    <w:rsid w:val="00417CF4"/>
    <w:rsid w:val="00420DC0"/>
    <w:rsid w:val="0042165C"/>
    <w:rsid w:val="004223EC"/>
    <w:rsid w:val="0042439F"/>
    <w:rsid w:val="0042468C"/>
    <w:rsid w:val="00424F66"/>
    <w:rsid w:val="0043218E"/>
    <w:rsid w:val="004341FB"/>
    <w:rsid w:val="00437D85"/>
    <w:rsid w:val="00441763"/>
    <w:rsid w:val="004417B4"/>
    <w:rsid w:val="004425D6"/>
    <w:rsid w:val="00442ACE"/>
    <w:rsid w:val="004444F8"/>
    <w:rsid w:val="00446F93"/>
    <w:rsid w:val="004473D8"/>
    <w:rsid w:val="00451A2D"/>
    <w:rsid w:val="00453696"/>
    <w:rsid w:val="004549B5"/>
    <w:rsid w:val="0045557C"/>
    <w:rsid w:val="0045631A"/>
    <w:rsid w:val="00461911"/>
    <w:rsid w:val="004624E3"/>
    <w:rsid w:val="0046680B"/>
    <w:rsid w:val="00466D98"/>
    <w:rsid w:val="004678A0"/>
    <w:rsid w:val="00470099"/>
    <w:rsid w:val="00471B8C"/>
    <w:rsid w:val="004749E4"/>
    <w:rsid w:val="00474C4A"/>
    <w:rsid w:val="004754F5"/>
    <w:rsid w:val="004800B6"/>
    <w:rsid w:val="00484490"/>
    <w:rsid w:val="00486A37"/>
    <w:rsid w:val="004876D8"/>
    <w:rsid w:val="00487994"/>
    <w:rsid w:val="004900C4"/>
    <w:rsid w:val="004929E5"/>
    <w:rsid w:val="00493B4A"/>
    <w:rsid w:val="00494CC6"/>
    <w:rsid w:val="0049576E"/>
    <w:rsid w:val="004959A4"/>
    <w:rsid w:val="004968E1"/>
    <w:rsid w:val="00497B1B"/>
    <w:rsid w:val="004A0F16"/>
    <w:rsid w:val="004A1D73"/>
    <w:rsid w:val="004A4BD6"/>
    <w:rsid w:val="004A59D5"/>
    <w:rsid w:val="004A74DB"/>
    <w:rsid w:val="004A7E35"/>
    <w:rsid w:val="004B0892"/>
    <w:rsid w:val="004B407F"/>
    <w:rsid w:val="004B457F"/>
    <w:rsid w:val="004B4B1C"/>
    <w:rsid w:val="004B68E7"/>
    <w:rsid w:val="004B7364"/>
    <w:rsid w:val="004B7734"/>
    <w:rsid w:val="004C0AE9"/>
    <w:rsid w:val="004C250E"/>
    <w:rsid w:val="004C64B9"/>
    <w:rsid w:val="004C6993"/>
    <w:rsid w:val="004C767B"/>
    <w:rsid w:val="004D02F1"/>
    <w:rsid w:val="004D0809"/>
    <w:rsid w:val="004D23E7"/>
    <w:rsid w:val="004D2CB0"/>
    <w:rsid w:val="004D58A2"/>
    <w:rsid w:val="004D5A77"/>
    <w:rsid w:val="004D7180"/>
    <w:rsid w:val="004E3090"/>
    <w:rsid w:val="004E51F9"/>
    <w:rsid w:val="004F11D5"/>
    <w:rsid w:val="004F16C2"/>
    <w:rsid w:val="004F2061"/>
    <w:rsid w:val="004F4508"/>
    <w:rsid w:val="004F494B"/>
    <w:rsid w:val="0050079B"/>
    <w:rsid w:val="0050129C"/>
    <w:rsid w:val="005018C5"/>
    <w:rsid w:val="00505324"/>
    <w:rsid w:val="00505EB4"/>
    <w:rsid w:val="00523221"/>
    <w:rsid w:val="0052492A"/>
    <w:rsid w:val="0052633C"/>
    <w:rsid w:val="00526A53"/>
    <w:rsid w:val="00527990"/>
    <w:rsid w:val="00530158"/>
    <w:rsid w:val="00532164"/>
    <w:rsid w:val="0053662F"/>
    <w:rsid w:val="00542613"/>
    <w:rsid w:val="005427B3"/>
    <w:rsid w:val="00542F36"/>
    <w:rsid w:val="005438E9"/>
    <w:rsid w:val="00546B4A"/>
    <w:rsid w:val="005513EF"/>
    <w:rsid w:val="00552042"/>
    <w:rsid w:val="0055367B"/>
    <w:rsid w:val="005544A1"/>
    <w:rsid w:val="00556380"/>
    <w:rsid w:val="00556EC2"/>
    <w:rsid w:val="005574EA"/>
    <w:rsid w:val="00560D10"/>
    <w:rsid w:val="00562661"/>
    <w:rsid w:val="00563D8C"/>
    <w:rsid w:val="00564445"/>
    <w:rsid w:val="0056531F"/>
    <w:rsid w:val="00566BFC"/>
    <w:rsid w:val="00575D18"/>
    <w:rsid w:val="00576301"/>
    <w:rsid w:val="005818F7"/>
    <w:rsid w:val="00583016"/>
    <w:rsid w:val="00585110"/>
    <w:rsid w:val="0058694E"/>
    <w:rsid w:val="00587D8A"/>
    <w:rsid w:val="00593888"/>
    <w:rsid w:val="005A0496"/>
    <w:rsid w:val="005A0745"/>
    <w:rsid w:val="005A4286"/>
    <w:rsid w:val="005A58C2"/>
    <w:rsid w:val="005A5E0C"/>
    <w:rsid w:val="005B1A8A"/>
    <w:rsid w:val="005B1F6C"/>
    <w:rsid w:val="005B5487"/>
    <w:rsid w:val="005C3CF6"/>
    <w:rsid w:val="005C407F"/>
    <w:rsid w:val="005C49A6"/>
    <w:rsid w:val="005D304D"/>
    <w:rsid w:val="005D31CE"/>
    <w:rsid w:val="005D3959"/>
    <w:rsid w:val="005D569E"/>
    <w:rsid w:val="005D6AA0"/>
    <w:rsid w:val="005E104B"/>
    <w:rsid w:val="005E22C5"/>
    <w:rsid w:val="005E284F"/>
    <w:rsid w:val="005E4389"/>
    <w:rsid w:val="005E523C"/>
    <w:rsid w:val="005E5291"/>
    <w:rsid w:val="005E6782"/>
    <w:rsid w:val="005E721C"/>
    <w:rsid w:val="005E75B0"/>
    <w:rsid w:val="005F096A"/>
    <w:rsid w:val="005F0A59"/>
    <w:rsid w:val="005F1E9B"/>
    <w:rsid w:val="006020E6"/>
    <w:rsid w:val="006042C4"/>
    <w:rsid w:val="006050E0"/>
    <w:rsid w:val="006053A1"/>
    <w:rsid w:val="00606F17"/>
    <w:rsid w:val="0061103A"/>
    <w:rsid w:val="006132C3"/>
    <w:rsid w:val="006206EE"/>
    <w:rsid w:val="00623142"/>
    <w:rsid w:val="00623BFA"/>
    <w:rsid w:val="00626B25"/>
    <w:rsid w:val="00627F36"/>
    <w:rsid w:val="006306B6"/>
    <w:rsid w:val="00632581"/>
    <w:rsid w:val="0063489B"/>
    <w:rsid w:val="00637229"/>
    <w:rsid w:val="00637868"/>
    <w:rsid w:val="006400D6"/>
    <w:rsid w:val="006407E6"/>
    <w:rsid w:val="006432F4"/>
    <w:rsid w:val="00645648"/>
    <w:rsid w:val="00652E0D"/>
    <w:rsid w:val="00653145"/>
    <w:rsid w:val="00655A2A"/>
    <w:rsid w:val="00657036"/>
    <w:rsid w:val="0065776C"/>
    <w:rsid w:val="006610B2"/>
    <w:rsid w:val="00661BBC"/>
    <w:rsid w:val="00661D6E"/>
    <w:rsid w:val="00671D37"/>
    <w:rsid w:val="00674A8D"/>
    <w:rsid w:val="00675BEE"/>
    <w:rsid w:val="006770D5"/>
    <w:rsid w:val="00686FD5"/>
    <w:rsid w:val="00690AB5"/>
    <w:rsid w:val="00696ECC"/>
    <w:rsid w:val="006978F5"/>
    <w:rsid w:val="006A0FD7"/>
    <w:rsid w:val="006A414A"/>
    <w:rsid w:val="006A4D09"/>
    <w:rsid w:val="006B30F2"/>
    <w:rsid w:val="006B5935"/>
    <w:rsid w:val="006B7EBA"/>
    <w:rsid w:val="006C1C44"/>
    <w:rsid w:val="006C367A"/>
    <w:rsid w:val="006C6989"/>
    <w:rsid w:val="006D1E89"/>
    <w:rsid w:val="006D5CF6"/>
    <w:rsid w:val="006E02CF"/>
    <w:rsid w:val="006E0C4C"/>
    <w:rsid w:val="006E2E85"/>
    <w:rsid w:val="006E5238"/>
    <w:rsid w:val="006F4471"/>
    <w:rsid w:val="006F5BB1"/>
    <w:rsid w:val="006F69E2"/>
    <w:rsid w:val="0070007D"/>
    <w:rsid w:val="007025DA"/>
    <w:rsid w:val="00704630"/>
    <w:rsid w:val="0070466F"/>
    <w:rsid w:val="00704807"/>
    <w:rsid w:val="00706AA1"/>
    <w:rsid w:val="00707209"/>
    <w:rsid w:val="00710C18"/>
    <w:rsid w:val="007112C1"/>
    <w:rsid w:val="00713710"/>
    <w:rsid w:val="00720ECC"/>
    <w:rsid w:val="00721B7E"/>
    <w:rsid w:val="007223E7"/>
    <w:rsid w:val="00723FCF"/>
    <w:rsid w:val="007253BD"/>
    <w:rsid w:val="00725AD2"/>
    <w:rsid w:val="00725C77"/>
    <w:rsid w:val="007277BE"/>
    <w:rsid w:val="00727E81"/>
    <w:rsid w:val="00731702"/>
    <w:rsid w:val="00734064"/>
    <w:rsid w:val="00741B56"/>
    <w:rsid w:val="00743EDA"/>
    <w:rsid w:val="00745363"/>
    <w:rsid w:val="00745592"/>
    <w:rsid w:val="0075155D"/>
    <w:rsid w:val="007524D8"/>
    <w:rsid w:val="007550D2"/>
    <w:rsid w:val="00756E3B"/>
    <w:rsid w:val="00756F2F"/>
    <w:rsid w:val="00757FC4"/>
    <w:rsid w:val="0076018C"/>
    <w:rsid w:val="00761333"/>
    <w:rsid w:val="00761643"/>
    <w:rsid w:val="007648D6"/>
    <w:rsid w:val="00765F3B"/>
    <w:rsid w:val="00767930"/>
    <w:rsid w:val="00770EDF"/>
    <w:rsid w:val="007749F6"/>
    <w:rsid w:val="007754B7"/>
    <w:rsid w:val="007775DF"/>
    <w:rsid w:val="00781B43"/>
    <w:rsid w:val="007824C4"/>
    <w:rsid w:val="00790722"/>
    <w:rsid w:val="00790B9C"/>
    <w:rsid w:val="00791FC2"/>
    <w:rsid w:val="00794567"/>
    <w:rsid w:val="007A0E3C"/>
    <w:rsid w:val="007A1E7C"/>
    <w:rsid w:val="007A4292"/>
    <w:rsid w:val="007A4EF9"/>
    <w:rsid w:val="007A51A7"/>
    <w:rsid w:val="007A596B"/>
    <w:rsid w:val="007B3C6C"/>
    <w:rsid w:val="007C4B95"/>
    <w:rsid w:val="007D50B6"/>
    <w:rsid w:val="007D67EF"/>
    <w:rsid w:val="007D77EB"/>
    <w:rsid w:val="007D7DC5"/>
    <w:rsid w:val="007E1806"/>
    <w:rsid w:val="007E228E"/>
    <w:rsid w:val="007E29EE"/>
    <w:rsid w:val="007E7C7F"/>
    <w:rsid w:val="007F0B14"/>
    <w:rsid w:val="007F69A1"/>
    <w:rsid w:val="007F7F08"/>
    <w:rsid w:val="0080052B"/>
    <w:rsid w:val="008005AC"/>
    <w:rsid w:val="00800D01"/>
    <w:rsid w:val="0080144C"/>
    <w:rsid w:val="0080231E"/>
    <w:rsid w:val="00807E90"/>
    <w:rsid w:val="00811ABB"/>
    <w:rsid w:val="00814771"/>
    <w:rsid w:val="00815867"/>
    <w:rsid w:val="00823884"/>
    <w:rsid w:val="00823AB5"/>
    <w:rsid w:val="00824DC9"/>
    <w:rsid w:val="00824FAE"/>
    <w:rsid w:val="00833E79"/>
    <w:rsid w:val="008371B4"/>
    <w:rsid w:val="00840440"/>
    <w:rsid w:val="00841E04"/>
    <w:rsid w:val="00844819"/>
    <w:rsid w:val="00845500"/>
    <w:rsid w:val="00847BC6"/>
    <w:rsid w:val="00847E44"/>
    <w:rsid w:val="008503BC"/>
    <w:rsid w:val="008508B4"/>
    <w:rsid w:val="00853249"/>
    <w:rsid w:val="0085508E"/>
    <w:rsid w:val="0085560C"/>
    <w:rsid w:val="00857BBB"/>
    <w:rsid w:val="00863683"/>
    <w:rsid w:val="008639AA"/>
    <w:rsid w:val="0087030E"/>
    <w:rsid w:val="00870CDB"/>
    <w:rsid w:val="008754C2"/>
    <w:rsid w:val="008761F3"/>
    <w:rsid w:val="00880750"/>
    <w:rsid w:val="008819E3"/>
    <w:rsid w:val="008821F9"/>
    <w:rsid w:val="0088297B"/>
    <w:rsid w:val="00884733"/>
    <w:rsid w:val="00884E3A"/>
    <w:rsid w:val="008932A0"/>
    <w:rsid w:val="0089472D"/>
    <w:rsid w:val="008948E6"/>
    <w:rsid w:val="008A519C"/>
    <w:rsid w:val="008A69E1"/>
    <w:rsid w:val="008A6B66"/>
    <w:rsid w:val="008A7A00"/>
    <w:rsid w:val="008A7B8F"/>
    <w:rsid w:val="008B0297"/>
    <w:rsid w:val="008B32EE"/>
    <w:rsid w:val="008C0B08"/>
    <w:rsid w:val="008C1283"/>
    <w:rsid w:val="008C1B27"/>
    <w:rsid w:val="008C4652"/>
    <w:rsid w:val="008C67B9"/>
    <w:rsid w:val="008C7CB0"/>
    <w:rsid w:val="008D7E70"/>
    <w:rsid w:val="008E0D39"/>
    <w:rsid w:val="008E0EAF"/>
    <w:rsid w:val="008E1BBD"/>
    <w:rsid w:val="008E265A"/>
    <w:rsid w:val="008E2840"/>
    <w:rsid w:val="008E3844"/>
    <w:rsid w:val="008E72C2"/>
    <w:rsid w:val="008E76EA"/>
    <w:rsid w:val="008F0791"/>
    <w:rsid w:val="008F214D"/>
    <w:rsid w:val="008F245B"/>
    <w:rsid w:val="008F5F96"/>
    <w:rsid w:val="008F7931"/>
    <w:rsid w:val="0090104A"/>
    <w:rsid w:val="00902C70"/>
    <w:rsid w:val="0090320B"/>
    <w:rsid w:val="00910CB8"/>
    <w:rsid w:val="00912453"/>
    <w:rsid w:val="00913F40"/>
    <w:rsid w:val="0091447C"/>
    <w:rsid w:val="0091745D"/>
    <w:rsid w:val="00921018"/>
    <w:rsid w:val="009220EA"/>
    <w:rsid w:val="00926656"/>
    <w:rsid w:val="00926D3E"/>
    <w:rsid w:val="009329C0"/>
    <w:rsid w:val="00932B58"/>
    <w:rsid w:val="009339F6"/>
    <w:rsid w:val="00941CB6"/>
    <w:rsid w:val="009464EA"/>
    <w:rsid w:val="00947584"/>
    <w:rsid w:val="00947E5D"/>
    <w:rsid w:val="009528B1"/>
    <w:rsid w:val="00952E08"/>
    <w:rsid w:val="009537B8"/>
    <w:rsid w:val="00955865"/>
    <w:rsid w:val="00956193"/>
    <w:rsid w:val="0095619A"/>
    <w:rsid w:val="00956305"/>
    <w:rsid w:val="00956FF3"/>
    <w:rsid w:val="009574D0"/>
    <w:rsid w:val="0096301B"/>
    <w:rsid w:val="00963DA7"/>
    <w:rsid w:val="009659DB"/>
    <w:rsid w:val="009666CE"/>
    <w:rsid w:val="00966DD2"/>
    <w:rsid w:val="009678E4"/>
    <w:rsid w:val="00970E8F"/>
    <w:rsid w:val="00971C14"/>
    <w:rsid w:val="00973644"/>
    <w:rsid w:val="00973AD6"/>
    <w:rsid w:val="0098268D"/>
    <w:rsid w:val="009850C7"/>
    <w:rsid w:val="00986EDB"/>
    <w:rsid w:val="009919EB"/>
    <w:rsid w:val="009930D9"/>
    <w:rsid w:val="00994275"/>
    <w:rsid w:val="009966CB"/>
    <w:rsid w:val="00997D4C"/>
    <w:rsid w:val="009A1124"/>
    <w:rsid w:val="009A19AF"/>
    <w:rsid w:val="009A1B37"/>
    <w:rsid w:val="009A4F5E"/>
    <w:rsid w:val="009A5CF7"/>
    <w:rsid w:val="009A6C4B"/>
    <w:rsid w:val="009A6F5E"/>
    <w:rsid w:val="009A7936"/>
    <w:rsid w:val="009B14F0"/>
    <w:rsid w:val="009B180B"/>
    <w:rsid w:val="009B431F"/>
    <w:rsid w:val="009B7289"/>
    <w:rsid w:val="009C0BEE"/>
    <w:rsid w:val="009C2A06"/>
    <w:rsid w:val="009C2C22"/>
    <w:rsid w:val="009C3593"/>
    <w:rsid w:val="009C5DB1"/>
    <w:rsid w:val="009C6148"/>
    <w:rsid w:val="009C6BCC"/>
    <w:rsid w:val="009C6F0D"/>
    <w:rsid w:val="009C7652"/>
    <w:rsid w:val="009C7FDC"/>
    <w:rsid w:val="009D09D9"/>
    <w:rsid w:val="009D15A1"/>
    <w:rsid w:val="009D317A"/>
    <w:rsid w:val="009D4FD4"/>
    <w:rsid w:val="009D6231"/>
    <w:rsid w:val="009D6599"/>
    <w:rsid w:val="009D7267"/>
    <w:rsid w:val="009E137B"/>
    <w:rsid w:val="009E2288"/>
    <w:rsid w:val="009E22D6"/>
    <w:rsid w:val="009E2CF7"/>
    <w:rsid w:val="009E3B72"/>
    <w:rsid w:val="009F4AD6"/>
    <w:rsid w:val="009F58E0"/>
    <w:rsid w:val="00A00B49"/>
    <w:rsid w:val="00A0209F"/>
    <w:rsid w:val="00A03D10"/>
    <w:rsid w:val="00A04C3F"/>
    <w:rsid w:val="00A069E2"/>
    <w:rsid w:val="00A12FCF"/>
    <w:rsid w:val="00A1501F"/>
    <w:rsid w:val="00A17ABF"/>
    <w:rsid w:val="00A20C44"/>
    <w:rsid w:val="00A31195"/>
    <w:rsid w:val="00A348D4"/>
    <w:rsid w:val="00A34F0F"/>
    <w:rsid w:val="00A37ABA"/>
    <w:rsid w:val="00A41728"/>
    <w:rsid w:val="00A4306D"/>
    <w:rsid w:val="00A45669"/>
    <w:rsid w:val="00A461F3"/>
    <w:rsid w:val="00A5321F"/>
    <w:rsid w:val="00A53972"/>
    <w:rsid w:val="00A54B27"/>
    <w:rsid w:val="00A55659"/>
    <w:rsid w:val="00A564E0"/>
    <w:rsid w:val="00A5785B"/>
    <w:rsid w:val="00A57FB4"/>
    <w:rsid w:val="00A60772"/>
    <w:rsid w:val="00A63AF2"/>
    <w:rsid w:val="00A6460C"/>
    <w:rsid w:val="00A6538A"/>
    <w:rsid w:val="00A65864"/>
    <w:rsid w:val="00A65C87"/>
    <w:rsid w:val="00A67454"/>
    <w:rsid w:val="00A67F32"/>
    <w:rsid w:val="00A703CD"/>
    <w:rsid w:val="00A70878"/>
    <w:rsid w:val="00A71A2B"/>
    <w:rsid w:val="00A75906"/>
    <w:rsid w:val="00A822D3"/>
    <w:rsid w:val="00A84464"/>
    <w:rsid w:val="00A87452"/>
    <w:rsid w:val="00A87C8A"/>
    <w:rsid w:val="00A96184"/>
    <w:rsid w:val="00A9686B"/>
    <w:rsid w:val="00A96AB8"/>
    <w:rsid w:val="00A97E9D"/>
    <w:rsid w:val="00AA05BE"/>
    <w:rsid w:val="00AA3D16"/>
    <w:rsid w:val="00AA4C2E"/>
    <w:rsid w:val="00AA4D57"/>
    <w:rsid w:val="00AA69DB"/>
    <w:rsid w:val="00AB231C"/>
    <w:rsid w:val="00AB2C7D"/>
    <w:rsid w:val="00AB34E0"/>
    <w:rsid w:val="00AB4922"/>
    <w:rsid w:val="00AB626C"/>
    <w:rsid w:val="00AB75F5"/>
    <w:rsid w:val="00AD6288"/>
    <w:rsid w:val="00AD7E31"/>
    <w:rsid w:val="00AE10E7"/>
    <w:rsid w:val="00AE261F"/>
    <w:rsid w:val="00AE5256"/>
    <w:rsid w:val="00AF08A2"/>
    <w:rsid w:val="00AF0FAC"/>
    <w:rsid w:val="00AF37A3"/>
    <w:rsid w:val="00AF59FE"/>
    <w:rsid w:val="00AF6F15"/>
    <w:rsid w:val="00AF700C"/>
    <w:rsid w:val="00B00373"/>
    <w:rsid w:val="00B0096A"/>
    <w:rsid w:val="00B04F0B"/>
    <w:rsid w:val="00B10677"/>
    <w:rsid w:val="00B1211F"/>
    <w:rsid w:val="00B13396"/>
    <w:rsid w:val="00B14678"/>
    <w:rsid w:val="00B175C1"/>
    <w:rsid w:val="00B17A5D"/>
    <w:rsid w:val="00B22740"/>
    <w:rsid w:val="00B27788"/>
    <w:rsid w:val="00B27DDD"/>
    <w:rsid w:val="00B30BDA"/>
    <w:rsid w:val="00B30DBF"/>
    <w:rsid w:val="00B31202"/>
    <w:rsid w:val="00B324C0"/>
    <w:rsid w:val="00B3432E"/>
    <w:rsid w:val="00B34BA5"/>
    <w:rsid w:val="00B41D10"/>
    <w:rsid w:val="00B4407A"/>
    <w:rsid w:val="00B44AC1"/>
    <w:rsid w:val="00B460F1"/>
    <w:rsid w:val="00B47C3B"/>
    <w:rsid w:val="00B50CEE"/>
    <w:rsid w:val="00B54CCC"/>
    <w:rsid w:val="00B55AAE"/>
    <w:rsid w:val="00B5690E"/>
    <w:rsid w:val="00B57FB5"/>
    <w:rsid w:val="00B600A3"/>
    <w:rsid w:val="00B651DB"/>
    <w:rsid w:val="00B70195"/>
    <w:rsid w:val="00B75A3E"/>
    <w:rsid w:val="00B77DFC"/>
    <w:rsid w:val="00B805C7"/>
    <w:rsid w:val="00B80C50"/>
    <w:rsid w:val="00B841EF"/>
    <w:rsid w:val="00B91B5B"/>
    <w:rsid w:val="00B92484"/>
    <w:rsid w:val="00B943F5"/>
    <w:rsid w:val="00B947A2"/>
    <w:rsid w:val="00B94C22"/>
    <w:rsid w:val="00B94FBB"/>
    <w:rsid w:val="00B95CEC"/>
    <w:rsid w:val="00B97761"/>
    <w:rsid w:val="00BA1675"/>
    <w:rsid w:val="00BA2B68"/>
    <w:rsid w:val="00BA4102"/>
    <w:rsid w:val="00BA48B3"/>
    <w:rsid w:val="00BA4A62"/>
    <w:rsid w:val="00BA4FEA"/>
    <w:rsid w:val="00BA655E"/>
    <w:rsid w:val="00BA6F06"/>
    <w:rsid w:val="00BB2C64"/>
    <w:rsid w:val="00BB50F0"/>
    <w:rsid w:val="00BB5C2E"/>
    <w:rsid w:val="00BB6742"/>
    <w:rsid w:val="00BB75EE"/>
    <w:rsid w:val="00BC0CC7"/>
    <w:rsid w:val="00BC1E24"/>
    <w:rsid w:val="00BC2B9D"/>
    <w:rsid w:val="00BC3E9B"/>
    <w:rsid w:val="00BC410E"/>
    <w:rsid w:val="00BC49EA"/>
    <w:rsid w:val="00BC5243"/>
    <w:rsid w:val="00BD105B"/>
    <w:rsid w:val="00BD7CA4"/>
    <w:rsid w:val="00BE03A8"/>
    <w:rsid w:val="00BE1D82"/>
    <w:rsid w:val="00BE21E4"/>
    <w:rsid w:val="00BE36CB"/>
    <w:rsid w:val="00BF126A"/>
    <w:rsid w:val="00BF36FB"/>
    <w:rsid w:val="00BF46A1"/>
    <w:rsid w:val="00BF6296"/>
    <w:rsid w:val="00BF706B"/>
    <w:rsid w:val="00C0234A"/>
    <w:rsid w:val="00C056B2"/>
    <w:rsid w:val="00C07562"/>
    <w:rsid w:val="00C128F8"/>
    <w:rsid w:val="00C130DD"/>
    <w:rsid w:val="00C141E0"/>
    <w:rsid w:val="00C145CC"/>
    <w:rsid w:val="00C15173"/>
    <w:rsid w:val="00C16723"/>
    <w:rsid w:val="00C22C3A"/>
    <w:rsid w:val="00C233FA"/>
    <w:rsid w:val="00C23714"/>
    <w:rsid w:val="00C26FCE"/>
    <w:rsid w:val="00C27768"/>
    <w:rsid w:val="00C317D9"/>
    <w:rsid w:val="00C3292C"/>
    <w:rsid w:val="00C336A4"/>
    <w:rsid w:val="00C41209"/>
    <w:rsid w:val="00C4382C"/>
    <w:rsid w:val="00C44028"/>
    <w:rsid w:val="00C44582"/>
    <w:rsid w:val="00C44B90"/>
    <w:rsid w:val="00C461F5"/>
    <w:rsid w:val="00C46E91"/>
    <w:rsid w:val="00C47136"/>
    <w:rsid w:val="00C50E34"/>
    <w:rsid w:val="00C51916"/>
    <w:rsid w:val="00C52A1A"/>
    <w:rsid w:val="00C52EF6"/>
    <w:rsid w:val="00C54C82"/>
    <w:rsid w:val="00C54F49"/>
    <w:rsid w:val="00C554A4"/>
    <w:rsid w:val="00C5595D"/>
    <w:rsid w:val="00C61066"/>
    <w:rsid w:val="00C6544E"/>
    <w:rsid w:val="00C660E1"/>
    <w:rsid w:val="00C66919"/>
    <w:rsid w:val="00C70F98"/>
    <w:rsid w:val="00C7172D"/>
    <w:rsid w:val="00C73BDE"/>
    <w:rsid w:val="00C759EA"/>
    <w:rsid w:val="00C75B43"/>
    <w:rsid w:val="00C7713D"/>
    <w:rsid w:val="00C80122"/>
    <w:rsid w:val="00C812D4"/>
    <w:rsid w:val="00C81B6E"/>
    <w:rsid w:val="00C82B2C"/>
    <w:rsid w:val="00C83065"/>
    <w:rsid w:val="00C85AC0"/>
    <w:rsid w:val="00C87FBF"/>
    <w:rsid w:val="00C925FE"/>
    <w:rsid w:val="00C93E66"/>
    <w:rsid w:val="00C93EC0"/>
    <w:rsid w:val="00C96E9A"/>
    <w:rsid w:val="00C97E91"/>
    <w:rsid w:val="00CA000E"/>
    <w:rsid w:val="00CA042F"/>
    <w:rsid w:val="00CA08C6"/>
    <w:rsid w:val="00CA11E8"/>
    <w:rsid w:val="00CA2B75"/>
    <w:rsid w:val="00CA402C"/>
    <w:rsid w:val="00CA5B0E"/>
    <w:rsid w:val="00CA6104"/>
    <w:rsid w:val="00CA6D91"/>
    <w:rsid w:val="00CA7DD5"/>
    <w:rsid w:val="00CB0DF6"/>
    <w:rsid w:val="00CB2AF3"/>
    <w:rsid w:val="00CB2CF8"/>
    <w:rsid w:val="00CB7BD1"/>
    <w:rsid w:val="00CC1F5B"/>
    <w:rsid w:val="00CC27C2"/>
    <w:rsid w:val="00CC2A43"/>
    <w:rsid w:val="00CC2E8F"/>
    <w:rsid w:val="00CC3AAC"/>
    <w:rsid w:val="00CC4869"/>
    <w:rsid w:val="00CC6432"/>
    <w:rsid w:val="00CD0C3C"/>
    <w:rsid w:val="00CD1091"/>
    <w:rsid w:val="00CD554E"/>
    <w:rsid w:val="00CD5B95"/>
    <w:rsid w:val="00CE04B6"/>
    <w:rsid w:val="00CE0612"/>
    <w:rsid w:val="00CE1D83"/>
    <w:rsid w:val="00CE56C3"/>
    <w:rsid w:val="00CE59C6"/>
    <w:rsid w:val="00CE71BB"/>
    <w:rsid w:val="00CE7A0C"/>
    <w:rsid w:val="00CF01C1"/>
    <w:rsid w:val="00CF06FE"/>
    <w:rsid w:val="00CF7686"/>
    <w:rsid w:val="00D008F8"/>
    <w:rsid w:val="00D00A8F"/>
    <w:rsid w:val="00D02D34"/>
    <w:rsid w:val="00D02D7C"/>
    <w:rsid w:val="00D04757"/>
    <w:rsid w:val="00D04F47"/>
    <w:rsid w:val="00D0654D"/>
    <w:rsid w:val="00D10280"/>
    <w:rsid w:val="00D11433"/>
    <w:rsid w:val="00D120C4"/>
    <w:rsid w:val="00D133CB"/>
    <w:rsid w:val="00D16421"/>
    <w:rsid w:val="00D17B91"/>
    <w:rsid w:val="00D2010C"/>
    <w:rsid w:val="00D20E11"/>
    <w:rsid w:val="00D2106E"/>
    <w:rsid w:val="00D213C3"/>
    <w:rsid w:val="00D2261A"/>
    <w:rsid w:val="00D22765"/>
    <w:rsid w:val="00D22DD7"/>
    <w:rsid w:val="00D250A0"/>
    <w:rsid w:val="00D253EE"/>
    <w:rsid w:val="00D305E2"/>
    <w:rsid w:val="00D33126"/>
    <w:rsid w:val="00D33A9C"/>
    <w:rsid w:val="00D34E3A"/>
    <w:rsid w:val="00D35AE0"/>
    <w:rsid w:val="00D40FED"/>
    <w:rsid w:val="00D45F7C"/>
    <w:rsid w:val="00D469A1"/>
    <w:rsid w:val="00D471A9"/>
    <w:rsid w:val="00D535FC"/>
    <w:rsid w:val="00D5376F"/>
    <w:rsid w:val="00D55062"/>
    <w:rsid w:val="00D61DB9"/>
    <w:rsid w:val="00D63863"/>
    <w:rsid w:val="00D676CC"/>
    <w:rsid w:val="00D70801"/>
    <w:rsid w:val="00D709CC"/>
    <w:rsid w:val="00D7200C"/>
    <w:rsid w:val="00D7550F"/>
    <w:rsid w:val="00D7565F"/>
    <w:rsid w:val="00D756B0"/>
    <w:rsid w:val="00D75880"/>
    <w:rsid w:val="00D80A22"/>
    <w:rsid w:val="00D81A42"/>
    <w:rsid w:val="00D8337A"/>
    <w:rsid w:val="00D85BAD"/>
    <w:rsid w:val="00D92DC9"/>
    <w:rsid w:val="00D94580"/>
    <w:rsid w:val="00D977E4"/>
    <w:rsid w:val="00DA29DD"/>
    <w:rsid w:val="00DA6054"/>
    <w:rsid w:val="00DB04C1"/>
    <w:rsid w:val="00DB0587"/>
    <w:rsid w:val="00DB1E61"/>
    <w:rsid w:val="00DB1EBE"/>
    <w:rsid w:val="00DB45ED"/>
    <w:rsid w:val="00DB4811"/>
    <w:rsid w:val="00DB66C3"/>
    <w:rsid w:val="00DC1156"/>
    <w:rsid w:val="00DC2895"/>
    <w:rsid w:val="00DC79E1"/>
    <w:rsid w:val="00DD05BC"/>
    <w:rsid w:val="00DD1FEC"/>
    <w:rsid w:val="00DD30D5"/>
    <w:rsid w:val="00DD4182"/>
    <w:rsid w:val="00DD5556"/>
    <w:rsid w:val="00DE0A82"/>
    <w:rsid w:val="00DE32AA"/>
    <w:rsid w:val="00DE36F5"/>
    <w:rsid w:val="00DE5A2D"/>
    <w:rsid w:val="00DE6EAB"/>
    <w:rsid w:val="00DF48EE"/>
    <w:rsid w:val="00DF61B1"/>
    <w:rsid w:val="00DF6F40"/>
    <w:rsid w:val="00E05160"/>
    <w:rsid w:val="00E06C81"/>
    <w:rsid w:val="00E12066"/>
    <w:rsid w:val="00E125D9"/>
    <w:rsid w:val="00E12F92"/>
    <w:rsid w:val="00E20A84"/>
    <w:rsid w:val="00E20E6E"/>
    <w:rsid w:val="00E21992"/>
    <w:rsid w:val="00E24771"/>
    <w:rsid w:val="00E24D37"/>
    <w:rsid w:val="00E33576"/>
    <w:rsid w:val="00E35681"/>
    <w:rsid w:val="00E41326"/>
    <w:rsid w:val="00E43BEF"/>
    <w:rsid w:val="00E4482E"/>
    <w:rsid w:val="00E44DA3"/>
    <w:rsid w:val="00E455DF"/>
    <w:rsid w:val="00E47666"/>
    <w:rsid w:val="00E520C5"/>
    <w:rsid w:val="00E54BAF"/>
    <w:rsid w:val="00E559E5"/>
    <w:rsid w:val="00E56784"/>
    <w:rsid w:val="00E57AB4"/>
    <w:rsid w:val="00E6273D"/>
    <w:rsid w:val="00E63895"/>
    <w:rsid w:val="00E701BD"/>
    <w:rsid w:val="00E74053"/>
    <w:rsid w:val="00E75DAD"/>
    <w:rsid w:val="00E765DF"/>
    <w:rsid w:val="00E81B72"/>
    <w:rsid w:val="00E82369"/>
    <w:rsid w:val="00E82873"/>
    <w:rsid w:val="00E83FEC"/>
    <w:rsid w:val="00E84C96"/>
    <w:rsid w:val="00E86742"/>
    <w:rsid w:val="00E87B8D"/>
    <w:rsid w:val="00E94A0F"/>
    <w:rsid w:val="00E96EFE"/>
    <w:rsid w:val="00EA0144"/>
    <w:rsid w:val="00EA71D3"/>
    <w:rsid w:val="00EA7435"/>
    <w:rsid w:val="00EB0C3A"/>
    <w:rsid w:val="00EB1B5F"/>
    <w:rsid w:val="00EB5675"/>
    <w:rsid w:val="00EB5C1A"/>
    <w:rsid w:val="00EB68F7"/>
    <w:rsid w:val="00EC1197"/>
    <w:rsid w:val="00EC1511"/>
    <w:rsid w:val="00EC16CA"/>
    <w:rsid w:val="00EC175E"/>
    <w:rsid w:val="00EC794B"/>
    <w:rsid w:val="00ED038B"/>
    <w:rsid w:val="00ED133F"/>
    <w:rsid w:val="00ED4CFB"/>
    <w:rsid w:val="00ED7A89"/>
    <w:rsid w:val="00EE02AA"/>
    <w:rsid w:val="00EE3B67"/>
    <w:rsid w:val="00EE610D"/>
    <w:rsid w:val="00EE6194"/>
    <w:rsid w:val="00EE6B77"/>
    <w:rsid w:val="00EF5ABA"/>
    <w:rsid w:val="00EF63A6"/>
    <w:rsid w:val="00EF74D1"/>
    <w:rsid w:val="00F004BD"/>
    <w:rsid w:val="00F00FD9"/>
    <w:rsid w:val="00F026F7"/>
    <w:rsid w:val="00F0297D"/>
    <w:rsid w:val="00F03503"/>
    <w:rsid w:val="00F035ED"/>
    <w:rsid w:val="00F0483A"/>
    <w:rsid w:val="00F05595"/>
    <w:rsid w:val="00F06445"/>
    <w:rsid w:val="00F075E8"/>
    <w:rsid w:val="00F12067"/>
    <w:rsid w:val="00F1402D"/>
    <w:rsid w:val="00F21B4C"/>
    <w:rsid w:val="00F2331D"/>
    <w:rsid w:val="00F262F8"/>
    <w:rsid w:val="00F27B67"/>
    <w:rsid w:val="00F301DC"/>
    <w:rsid w:val="00F353FA"/>
    <w:rsid w:val="00F35FBA"/>
    <w:rsid w:val="00F414B1"/>
    <w:rsid w:val="00F4183B"/>
    <w:rsid w:val="00F427B7"/>
    <w:rsid w:val="00F46836"/>
    <w:rsid w:val="00F51558"/>
    <w:rsid w:val="00F51A16"/>
    <w:rsid w:val="00F5218D"/>
    <w:rsid w:val="00F57BF5"/>
    <w:rsid w:val="00F601AE"/>
    <w:rsid w:val="00F6435A"/>
    <w:rsid w:val="00F66E91"/>
    <w:rsid w:val="00F70ECB"/>
    <w:rsid w:val="00F70EE1"/>
    <w:rsid w:val="00F711BB"/>
    <w:rsid w:val="00F71488"/>
    <w:rsid w:val="00F71EBF"/>
    <w:rsid w:val="00F71F47"/>
    <w:rsid w:val="00F774B2"/>
    <w:rsid w:val="00F81A01"/>
    <w:rsid w:val="00F846DE"/>
    <w:rsid w:val="00F863DE"/>
    <w:rsid w:val="00F91491"/>
    <w:rsid w:val="00F946D9"/>
    <w:rsid w:val="00F97BE2"/>
    <w:rsid w:val="00FA0956"/>
    <w:rsid w:val="00FA7508"/>
    <w:rsid w:val="00FB01C1"/>
    <w:rsid w:val="00FB3E9C"/>
    <w:rsid w:val="00FB5251"/>
    <w:rsid w:val="00FB79AF"/>
    <w:rsid w:val="00FC0C2D"/>
    <w:rsid w:val="00FC1678"/>
    <w:rsid w:val="00FC1F75"/>
    <w:rsid w:val="00FC259F"/>
    <w:rsid w:val="00FC32D9"/>
    <w:rsid w:val="00FC414B"/>
    <w:rsid w:val="00FC4427"/>
    <w:rsid w:val="00FC6574"/>
    <w:rsid w:val="00FC6F0D"/>
    <w:rsid w:val="00FD00DD"/>
    <w:rsid w:val="00FE0563"/>
    <w:rsid w:val="00FE18EF"/>
    <w:rsid w:val="00FE2122"/>
    <w:rsid w:val="00FE42E8"/>
    <w:rsid w:val="00FE4A9C"/>
    <w:rsid w:val="00FF3F0A"/>
    <w:rsid w:val="00FF6BC5"/>
    <w:rsid w:val="00FF71D7"/>
    <w:rsid w:val="00FF7CC7"/>
    <w:rsid w:val="011F5BDB"/>
    <w:rsid w:val="013F29A4"/>
    <w:rsid w:val="019B58B9"/>
    <w:rsid w:val="01AC43D5"/>
    <w:rsid w:val="01E73C46"/>
    <w:rsid w:val="01FC185F"/>
    <w:rsid w:val="02053A38"/>
    <w:rsid w:val="02A457F3"/>
    <w:rsid w:val="02B92306"/>
    <w:rsid w:val="034F5CEC"/>
    <w:rsid w:val="0398338F"/>
    <w:rsid w:val="03B77229"/>
    <w:rsid w:val="04383963"/>
    <w:rsid w:val="044666C6"/>
    <w:rsid w:val="047D2ACD"/>
    <w:rsid w:val="04AF604F"/>
    <w:rsid w:val="04ED064B"/>
    <w:rsid w:val="051C683A"/>
    <w:rsid w:val="0526590B"/>
    <w:rsid w:val="05FD02C2"/>
    <w:rsid w:val="061B4495"/>
    <w:rsid w:val="06450013"/>
    <w:rsid w:val="064918B1"/>
    <w:rsid w:val="06D118A6"/>
    <w:rsid w:val="06EE34B4"/>
    <w:rsid w:val="07723341"/>
    <w:rsid w:val="07C338E5"/>
    <w:rsid w:val="08564759"/>
    <w:rsid w:val="08932D2D"/>
    <w:rsid w:val="09063A89"/>
    <w:rsid w:val="093F343F"/>
    <w:rsid w:val="099142C2"/>
    <w:rsid w:val="09EF4AF1"/>
    <w:rsid w:val="09F41CF4"/>
    <w:rsid w:val="0A851326"/>
    <w:rsid w:val="0A8F5D00"/>
    <w:rsid w:val="0A9F23E7"/>
    <w:rsid w:val="0B2C17A1"/>
    <w:rsid w:val="0B714B4A"/>
    <w:rsid w:val="0BAD3718"/>
    <w:rsid w:val="0BC1013B"/>
    <w:rsid w:val="0CDA58EC"/>
    <w:rsid w:val="0D0B2393"/>
    <w:rsid w:val="0D3D1A44"/>
    <w:rsid w:val="0D8E0CD4"/>
    <w:rsid w:val="0DFF756C"/>
    <w:rsid w:val="0E211365"/>
    <w:rsid w:val="0E7B2450"/>
    <w:rsid w:val="0E8339BC"/>
    <w:rsid w:val="0F444EAE"/>
    <w:rsid w:val="0F561677"/>
    <w:rsid w:val="0FA259A5"/>
    <w:rsid w:val="0FB4605D"/>
    <w:rsid w:val="0FDF26DD"/>
    <w:rsid w:val="103709CC"/>
    <w:rsid w:val="106122C9"/>
    <w:rsid w:val="10B27F91"/>
    <w:rsid w:val="10C2307D"/>
    <w:rsid w:val="10DC3AC5"/>
    <w:rsid w:val="112E6D0B"/>
    <w:rsid w:val="114322A7"/>
    <w:rsid w:val="11A5749F"/>
    <w:rsid w:val="11B16C35"/>
    <w:rsid w:val="11CD31BE"/>
    <w:rsid w:val="11D77181"/>
    <w:rsid w:val="11F56D91"/>
    <w:rsid w:val="12553B21"/>
    <w:rsid w:val="12860C15"/>
    <w:rsid w:val="12D1335A"/>
    <w:rsid w:val="131312EA"/>
    <w:rsid w:val="133D705A"/>
    <w:rsid w:val="14052364"/>
    <w:rsid w:val="16820409"/>
    <w:rsid w:val="168A398A"/>
    <w:rsid w:val="17177A7E"/>
    <w:rsid w:val="177C13BA"/>
    <w:rsid w:val="18552337"/>
    <w:rsid w:val="18793F85"/>
    <w:rsid w:val="18EC56F3"/>
    <w:rsid w:val="193B70B8"/>
    <w:rsid w:val="194E1AD7"/>
    <w:rsid w:val="19D33F9B"/>
    <w:rsid w:val="1A6C077E"/>
    <w:rsid w:val="1A966AE4"/>
    <w:rsid w:val="1ACB2192"/>
    <w:rsid w:val="1AF057F3"/>
    <w:rsid w:val="1B324BB2"/>
    <w:rsid w:val="1B683033"/>
    <w:rsid w:val="1B740A13"/>
    <w:rsid w:val="1BDD3298"/>
    <w:rsid w:val="1C395ACC"/>
    <w:rsid w:val="1C563F0F"/>
    <w:rsid w:val="1D0936F0"/>
    <w:rsid w:val="1E135E59"/>
    <w:rsid w:val="1E1427EA"/>
    <w:rsid w:val="1E3D7AF5"/>
    <w:rsid w:val="1E7E5DFD"/>
    <w:rsid w:val="1EB4156B"/>
    <w:rsid w:val="1EDA5344"/>
    <w:rsid w:val="1F1F3FD3"/>
    <w:rsid w:val="1F953961"/>
    <w:rsid w:val="20A774A8"/>
    <w:rsid w:val="20A93A6E"/>
    <w:rsid w:val="20C56D1E"/>
    <w:rsid w:val="20C62E51"/>
    <w:rsid w:val="2116462E"/>
    <w:rsid w:val="212F4FBA"/>
    <w:rsid w:val="2199474E"/>
    <w:rsid w:val="2248738E"/>
    <w:rsid w:val="22B20394"/>
    <w:rsid w:val="238D0267"/>
    <w:rsid w:val="23BB14BE"/>
    <w:rsid w:val="23C860B3"/>
    <w:rsid w:val="23ED78C8"/>
    <w:rsid w:val="24792CB8"/>
    <w:rsid w:val="24B146F1"/>
    <w:rsid w:val="2506416A"/>
    <w:rsid w:val="25594DB4"/>
    <w:rsid w:val="258E1FB4"/>
    <w:rsid w:val="25A873EE"/>
    <w:rsid w:val="25C0398A"/>
    <w:rsid w:val="25C57008"/>
    <w:rsid w:val="25E51816"/>
    <w:rsid w:val="263F0183"/>
    <w:rsid w:val="26DE13D8"/>
    <w:rsid w:val="276A0484"/>
    <w:rsid w:val="28021016"/>
    <w:rsid w:val="283F26BC"/>
    <w:rsid w:val="28583657"/>
    <w:rsid w:val="28D147AF"/>
    <w:rsid w:val="2901798F"/>
    <w:rsid w:val="29086828"/>
    <w:rsid w:val="291A383D"/>
    <w:rsid w:val="29AE5D4B"/>
    <w:rsid w:val="29B778CB"/>
    <w:rsid w:val="2A391AB9"/>
    <w:rsid w:val="2A6E1037"/>
    <w:rsid w:val="2B6D12EE"/>
    <w:rsid w:val="2B894C22"/>
    <w:rsid w:val="2BDD23B6"/>
    <w:rsid w:val="2BEB7E24"/>
    <w:rsid w:val="2C145130"/>
    <w:rsid w:val="2C2E20E8"/>
    <w:rsid w:val="2CB21867"/>
    <w:rsid w:val="2CF03823"/>
    <w:rsid w:val="2D594220"/>
    <w:rsid w:val="2D8A6187"/>
    <w:rsid w:val="2DE735DA"/>
    <w:rsid w:val="2E4914E7"/>
    <w:rsid w:val="2EB30810"/>
    <w:rsid w:val="2ED9510F"/>
    <w:rsid w:val="2F2E3726"/>
    <w:rsid w:val="2F8220B1"/>
    <w:rsid w:val="2FAE7E95"/>
    <w:rsid w:val="2FDE27BA"/>
    <w:rsid w:val="2FE36023"/>
    <w:rsid w:val="2FFC25FA"/>
    <w:rsid w:val="2FFC461E"/>
    <w:rsid w:val="301F34FF"/>
    <w:rsid w:val="31096235"/>
    <w:rsid w:val="31622267"/>
    <w:rsid w:val="31826C8E"/>
    <w:rsid w:val="31905D36"/>
    <w:rsid w:val="31EF6F01"/>
    <w:rsid w:val="321E77E6"/>
    <w:rsid w:val="32425002"/>
    <w:rsid w:val="324A2389"/>
    <w:rsid w:val="32E94E5B"/>
    <w:rsid w:val="32F119D4"/>
    <w:rsid w:val="3328091C"/>
    <w:rsid w:val="332848FF"/>
    <w:rsid w:val="33504359"/>
    <w:rsid w:val="33967D6F"/>
    <w:rsid w:val="33CD7321"/>
    <w:rsid w:val="341D3D9E"/>
    <w:rsid w:val="344C13E4"/>
    <w:rsid w:val="345563BE"/>
    <w:rsid w:val="34693723"/>
    <w:rsid w:val="3498034E"/>
    <w:rsid w:val="34CA155F"/>
    <w:rsid w:val="34CA7D5E"/>
    <w:rsid w:val="352B5FE8"/>
    <w:rsid w:val="359636A6"/>
    <w:rsid w:val="35C56221"/>
    <w:rsid w:val="36D93043"/>
    <w:rsid w:val="372F1B4E"/>
    <w:rsid w:val="37355523"/>
    <w:rsid w:val="375B6C9C"/>
    <w:rsid w:val="37F3761C"/>
    <w:rsid w:val="384168B8"/>
    <w:rsid w:val="386F4ECC"/>
    <w:rsid w:val="38AC16A8"/>
    <w:rsid w:val="38BC5368"/>
    <w:rsid w:val="38D17394"/>
    <w:rsid w:val="398E4D5A"/>
    <w:rsid w:val="39D05863"/>
    <w:rsid w:val="3A5F420A"/>
    <w:rsid w:val="3ABA1E05"/>
    <w:rsid w:val="3ABD5DEE"/>
    <w:rsid w:val="3B11718F"/>
    <w:rsid w:val="3B437C64"/>
    <w:rsid w:val="3B820DE6"/>
    <w:rsid w:val="3BA72425"/>
    <w:rsid w:val="3BA743A8"/>
    <w:rsid w:val="3C37572C"/>
    <w:rsid w:val="3C6C63FC"/>
    <w:rsid w:val="3C7004BE"/>
    <w:rsid w:val="3C9B1673"/>
    <w:rsid w:val="3CA803D8"/>
    <w:rsid w:val="3D2A3A5D"/>
    <w:rsid w:val="3D766728"/>
    <w:rsid w:val="3D8A5BA5"/>
    <w:rsid w:val="3E3F6FAD"/>
    <w:rsid w:val="3E5755E5"/>
    <w:rsid w:val="3E7D115F"/>
    <w:rsid w:val="3E8F1850"/>
    <w:rsid w:val="3EEF0540"/>
    <w:rsid w:val="3FA251FD"/>
    <w:rsid w:val="3FDB6D16"/>
    <w:rsid w:val="3FF44198"/>
    <w:rsid w:val="402B4847"/>
    <w:rsid w:val="406B3BF6"/>
    <w:rsid w:val="40C21D4C"/>
    <w:rsid w:val="40E23178"/>
    <w:rsid w:val="410635DC"/>
    <w:rsid w:val="41270041"/>
    <w:rsid w:val="41821C19"/>
    <w:rsid w:val="418C2076"/>
    <w:rsid w:val="41BC2D80"/>
    <w:rsid w:val="41E33AEE"/>
    <w:rsid w:val="41F30347"/>
    <w:rsid w:val="420B7727"/>
    <w:rsid w:val="434445C5"/>
    <w:rsid w:val="43656A9D"/>
    <w:rsid w:val="43B65AD0"/>
    <w:rsid w:val="43FC3C13"/>
    <w:rsid w:val="44446C38"/>
    <w:rsid w:val="445A6791"/>
    <w:rsid w:val="44C10F93"/>
    <w:rsid w:val="44C2785B"/>
    <w:rsid w:val="450C33D3"/>
    <w:rsid w:val="452151CC"/>
    <w:rsid w:val="45A51C4F"/>
    <w:rsid w:val="45CB66F3"/>
    <w:rsid w:val="45F5194F"/>
    <w:rsid w:val="46651743"/>
    <w:rsid w:val="46767799"/>
    <w:rsid w:val="46B5206F"/>
    <w:rsid w:val="471548BC"/>
    <w:rsid w:val="475858F4"/>
    <w:rsid w:val="47CA7D9C"/>
    <w:rsid w:val="48223734"/>
    <w:rsid w:val="482C45B3"/>
    <w:rsid w:val="48481841"/>
    <w:rsid w:val="485E6B79"/>
    <w:rsid w:val="4A0716EB"/>
    <w:rsid w:val="4A595408"/>
    <w:rsid w:val="4A746029"/>
    <w:rsid w:val="4ADF76BB"/>
    <w:rsid w:val="4B6E4EE3"/>
    <w:rsid w:val="4C0D1B91"/>
    <w:rsid w:val="4C347210"/>
    <w:rsid w:val="4CAE37E9"/>
    <w:rsid w:val="4DF01BDF"/>
    <w:rsid w:val="4DF46F04"/>
    <w:rsid w:val="4F1D2EA8"/>
    <w:rsid w:val="4F950C90"/>
    <w:rsid w:val="4FF1123E"/>
    <w:rsid w:val="50364CA9"/>
    <w:rsid w:val="509B5A55"/>
    <w:rsid w:val="50A368D9"/>
    <w:rsid w:val="510522A9"/>
    <w:rsid w:val="52895978"/>
    <w:rsid w:val="52A253AD"/>
    <w:rsid w:val="52AE4D91"/>
    <w:rsid w:val="530A7D45"/>
    <w:rsid w:val="532F68AA"/>
    <w:rsid w:val="53B4545D"/>
    <w:rsid w:val="548C4DF7"/>
    <w:rsid w:val="5492678A"/>
    <w:rsid w:val="550541C2"/>
    <w:rsid w:val="550B04E3"/>
    <w:rsid w:val="55362AB7"/>
    <w:rsid w:val="555A2B29"/>
    <w:rsid w:val="556510A0"/>
    <w:rsid w:val="55BD4A9D"/>
    <w:rsid w:val="55DD6602"/>
    <w:rsid w:val="575C19AB"/>
    <w:rsid w:val="57E36310"/>
    <w:rsid w:val="58675193"/>
    <w:rsid w:val="587E29C7"/>
    <w:rsid w:val="58E457D1"/>
    <w:rsid w:val="58F47012"/>
    <w:rsid w:val="59126EAD"/>
    <w:rsid w:val="59193278"/>
    <w:rsid w:val="599452EB"/>
    <w:rsid w:val="599D6EF2"/>
    <w:rsid w:val="59B877C6"/>
    <w:rsid w:val="5A274BDA"/>
    <w:rsid w:val="5A32074B"/>
    <w:rsid w:val="5A8047CE"/>
    <w:rsid w:val="5ABF1E0F"/>
    <w:rsid w:val="5B1C04B7"/>
    <w:rsid w:val="5B201FCB"/>
    <w:rsid w:val="5B3E21DC"/>
    <w:rsid w:val="5BC8419B"/>
    <w:rsid w:val="5BDB7A2A"/>
    <w:rsid w:val="5BEA4111"/>
    <w:rsid w:val="5C98797B"/>
    <w:rsid w:val="5CC46711"/>
    <w:rsid w:val="5D153410"/>
    <w:rsid w:val="5D2116D4"/>
    <w:rsid w:val="5D417D61"/>
    <w:rsid w:val="5D616655"/>
    <w:rsid w:val="5DFD4CF1"/>
    <w:rsid w:val="5EE62362"/>
    <w:rsid w:val="5FA024CF"/>
    <w:rsid w:val="606C29F4"/>
    <w:rsid w:val="60787E25"/>
    <w:rsid w:val="608F5287"/>
    <w:rsid w:val="60B14ECE"/>
    <w:rsid w:val="60C362FA"/>
    <w:rsid w:val="61202383"/>
    <w:rsid w:val="615B67C7"/>
    <w:rsid w:val="61A11716"/>
    <w:rsid w:val="61E417BF"/>
    <w:rsid w:val="622E5D18"/>
    <w:rsid w:val="624A7915"/>
    <w:rsid w:val="62CD4E22"/>
    <w:rsid w:val="62F6339C"/>
    <w:rsid w:val="631B3E14"/>
    <w:rsid w:val="63705D83"/>
    <w:rsid w:val="63716192"/>
    <w:rsid w:val="63C95B92"/>
    <w:rsid w:val="63DB3D41"/>
    <w:rsid w:val="63EF49BB"/>
    <w:rsid w:val="64032214"/>
    <w:rsid w:val="64111246"/>
    <w:rsid w:val="64286012"/>
    <w:rsid w:val="64836EB1"/>
    <w:rsid w:val="65273FDE"/>
    <w:rsid w:val="653F727C"/>
    <w:rsid w:val="667A4E32"/>
    <w:rsid w:val="6695787D"/>
    <w:rsid w:val="67334C3A"/>
    <w:rsid w:val="679B09B6"/>
    <w:rsid w:val="67DD2D7C"/>
    <w:rsid w:val="67F1102B"/>
    <w:rsid w:val="68077E0C"/>
    <w:rsid w:val="68632E7E"/>
    <w:rsid w:val="694179CC"/>
    <w:rsid w:val="69671847"/>
    <w:rsid w:val="696F0B82"/>
    <w:rsid w:val="69890DEB"/>
    <w:rsid w:val="699157B4"/>
    <w:rsid w:val="699A58EB"/>
    <w:rsid w:val="6A5111F2"/>
    <w:rsid w:val="6A6107F2"/>
    <w:rsid w:val="6A6E4BD9"/>
    <w:rsid w:val="6AF134FF"/>
    <w:rsid w:val="6AF8732C"/>
    <w:rsid w:val="6B325FBE"/>
    <w:rsid w:val="6B5415A7"/>
    <w:rsid w:val="6B7F1E93"/>
    <w:rsid w:val="6BA20565"/>
    <w:rsid w:val="6BCC3138"/>
    <w:rsid w:val="6BE2312B"/>
    <w:rsid w:val="6C1F76CA"/>
    <w:rsid w:val="6CD55F5A"/>
    <w:rsid w:val="6D8C09C0"/>
    <w:rsid w:val="6D913503"/>
    <w:rsid w:val="6DCE5641"/>
    <w:rsid w:val="6E523F33"/>
    <w:rsid w:val="6F0A1F94"/>
    <w:rsid w:val="6F477AEC"/>
    <w:rsid w:val="7012220E"/>
    <w:rsid w:val="707A176C"/>
    <w:rsid w:val="70F84783"/>
    <w:rsid w:val="717958C4"/>
    <w:rsid w:val="72376B2C"/>
    <w:rsid w:val="72E50B8C"/>
    <w:rsid w:val="733F427E"/>
    <w:rsid w:val="74111B22"/>
    <w:rsid w:val="742E6C09"/>
    <w:rsid w:val="74E04563"/>
    <w:rsid w:val="74E904EF"/>
    <w:rsid w:val="7504132D"/>
    <w:rsid w:val="75706FDE"/>
    <w:rsid w:val="765B5E5D"/>
    <w:rsid w:val="765D4F59"/>
    <w:rsid w:val="778C2BC7"/>
    <w:rsid w:val="77B64547"/>
    <w:rsid w:val="77F2077D"/>
    <w:rsid w:val="77FA4B1C"/>
    <w:rsid w:val="7948012C"/>
    <w:rsid w:val="796F0365"/>
    <w:rsid w:val="79777F7A"/>
    <w:rsid w:val="799325F8"/>
    <w:rsid w:val="79D76191"/>
    <w:rsid w:val="79DC06E9"/>
    <w:rsid w:val="7A2F56B9"/>
    <w:rsid w:val="7A615FC4"/>
    <w:rsid w:val="7A7604C3"/>
    <w:rsid w:val="7AD759DC"/>
    <w:rsid w:val="7B3A02BB"/>
    <w:rsid w:val="7BE947A4"/>
    <w:rsid w:val="7C7A6994"/>
    <w:rsid w:val="7D77240C"/>
    <w:rsid w:val="7D824484"/>
    <w:rsid w:val="7E1E6B61"/>
    <w:rsid w:val="7EC81C39"/>
    <w:rsid w:val="7F57609A"/>
    <w:rsid w:val="7F86024D"/>
    <w:rsid w:val="7F9E0BEB"/>
    <w:rsid w:val="7FB15414"/>
    <w:rsid w:val="7FD604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sdException w:uiPriority="99" w:name="footnote text"/>
    <w:lsdException w:unhideWhenUsed="0" w:uiPriority="0" w:semiHidden="0" w:name="annotation text"/>
    <w:lsdException w:unhideWhenUsed="0" w:uiPriority="0" w:semiHidden="0" w:name="header"/>
    <w:lsdException w:unhideWhenUsed="0" w:uiPriority="0"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line="600" w:lineRule="atLeast"/>
      <w:ind w:firstLine="640" w:firstLineChars="200"/>
      <w:jc w:val="both"/>
    </w:pPr>
    <w:rPr>
      <w:rFonts w:ascii="Times New Roman" w:hAnsi="Times New Roman" w:eastAsia="仿宋_GB2312" w:cs="Times New Roman"/>
      <w:color w:val="auto"/>
      <w:kern w:val="2"/>
      <w:sz w:val="32"/>
      <w:szCs w:val="22"/>
      <w:lang w:val="en-US" w:eastAsia="zh-CN" w:bidi="ar-SA"/>
    </w:rPr>
  </w:style>
  <w:style w:type="paragraph" w:styleId="2">
    <w:name w:val="heading 1"/>
    <w:basedOn w:val="1"/>
    <w:next w:val="1"/>
    <w:link w:val="12"/>
    <w:qFormat/>
    <w:uiPriority w:val="9"/>
    <w:pPr>
      <w:keepNext/>
      <w:keepLines/>
      <w:pageBreakBefore/>
      <w:numPr>
        <w:ilvl w:val="0"/>
        <w:numId w:val="1"/>
      </w:numPr>
      <w:spacing w:before="360" w:after="150" w:afterLines="150"/>
      <w:ind w:left="420" w:leftChars="0" w:hanging="420" w:firstLineChars="0"/>
      <w:jc w:val="center"/>
      <w:outlineLvl w:val="0"/>
    </w:pPr>
    <w:rPr>
      <w:rFonts w:ascii="Times New Roman" w:hAnsi="Times New Roman" w:eastAsia="方正小标宋简体" w:cs="Times New Roman"/>
      <w:color w:val="auto"/>
      <w:kern w:val="2"/>
      <w:sz w:val="36"/>
      <w:szCs w:val="22"/>
      <w:lang w:val="en-US" w:eastAsia="zh-CN" w:bidi="ar-SA"/>
    </w:rPr>
  </w:style>
  <w:style w:type="paragraph" w:styleId="3">
    <w:name w:val="heading 2"/>
    <w:basedOn w:val="1"/>
    <w:next w:val="1"/>
    <w:link w:val="13"/>
    <w:unhideWhenUsed/>
    <w:qFormat/>
    <w:uiPriority w:val="9"/>
    <w:pPr>
      <w:keepNext/>
      <w:keepLines/>
      <w:numPr>
        <w:ilvl w:val="1"/>
        <w:numId w:val="1"/>
      </w:numPr>
      <w:spacing w:before="200" w:after="120"/>
      <w:ind w:left="0" w:leftChars="0" w:firstLine="420" w:firstLineChars="0"/>
      <w:jc w:val="left"/>
      <w:outlineLvl w:val="1"/>
    </w:pPr>
    <w:rPr>
      <w:rFonts w:ascii="Times New Roman" w:hAnsi="Times New Roman" w:eastAsia="黑体" w:cs="Times New Roman"/>
      <w:color w:val="auto"/>
      <w:kern w:val="2"/>
      <w:sz w:val="32"/>
      <w:szCs w:val="22"/>
      <w:lang w:val="en-US" w:eastAsia="zh-CN" w:bidi="ar-SA"/>
    </w:rPr>
  </w:style>
  <w:style w:type="paragraph" w:styleId="4">
    <w:name w:val="heading 3"/>
    <w:next w:val="1"/>
    <w:link w:val="14"/>
    <w:unhideWhenUsed/>
    <w:qFormat/>
    <w:uiPriority w:val="9"/>
    <w:pPr>
      <w:widowControl w:val="0"/>
      <w:numPr>
        <w:ilvl w:val="2"/>
        <w:numId w:val="1"/>
      </w:numPr>
      <w:tabs>
        <w:tab w:val="left" w:pos="420"/>
        <w:tab w:val="clear" w:pos="0"/>
      </w:tabs>
      <w:spacing w:line="600" w:lineRule="atLeast"/>
      <w:ind w:firstLine="420" w:firstLineChars="0"/>
      <w:jc w:val="left"/>
      <w:outlineLvl w:val="2"/>
    </w:pPr>
    <w:rPr>
      <w:rFonts w:ascii="楷体" w:hAnsi="楷体" w:eastAsia="楷体" w:cs="Times New Roman"/>
      <w:sz w:val="32"/>
    </w:rPr>
  </w:style>
  <w:style w:type="paragraph" w:styleId="5">
    <w:name w:val="heading 4"/>
    <w:basedOn w:val="1"/>
    <w:next w:val="1"/>
    <w:link w:val="15"/>
    <w:unhideWhenUsed/>
    <w:qFormat/>
    <w:uiPriority w:val="9"/>
    <w:pPr>
      <w:spacing w:line="240" w:lineRule="auto"/>
      <w:ind w:firstLine="0" w:firstLineChars="0"/>
      <w:jc w:val="center"/>
      <w:outlineLvl w:val="9"/>
    </w:pPr>
    <w:rPr>
      <w:rFonts w:ascii="Times New Roman" w:hAnsi="Times New Roman"/>
    </w:rPr>
  </w:style>
  <w:style w:type="paragraph" w:styleId="6">
    <w:name w:val="heading 5"/>
    <w:basedOn w:val="1"/>
    <w:next w:val="1"/>
    <w:link w:val="16"/>
    <w:unhideWhenUsed/>
    <w:qFormat/>
    <w:uiPriority w:val="9"/>
    <w:pPr>
      <w:spacing w:line="240" w:lineRule="auto"/>
      <w:ind w:firstLine="0" w:firstLineChars="0"/>
      <w:jc w:val="center"/>
      <w:outlineLvl w:val="9"/>
    </w:pPr>
    <w:rPr>
      <w:rFonts w:ascii="Times New Roman" w:hAnsi="Times New Roman"/>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7">
    <w:name w:val="toc 3"/>
    <w:next w:val="1"/>
    <w:hidden/>
    <w:qFormat/>
    <w:uiPriority w:val="39"/>
    <w:pPr>
      <w:adjustRightInd w:val="0"/>
      <w:snapToGrid w:val="0"/>
      <w:spacing w:line="600" w:lineRule="exact"/>
      <w:ind w:left="640" w:firstLine="200" w:firstLineChars="200"/>
    </w:pPr>
    <w:rPr>
      <w:rFonts w:hAnsi="仿宋" w:cs="仿宋" w:asciiTheme="minorHAnsi" w:eastAsiaTheme="minorHAnsi"/>
      <w:color w:val="000000"/>
      <w:kern w:val="2"/>
      <w:lang w:val="en-US" w:eastAsia="zh-CN" w:bidi="ar-SA"/>
    </w:rPr>
  </w:style>
  <w:style w:type="paragraph" w:styleId="8">
    <w:name w:val="toc 2"/>
    <w:next w:val="1"/>
    <w:hidden/>
    <w:qFormat/>
    <w:uiPriority w:val="39"/>
    <w:pPr>
      <w:adjustRightInd w:val="0"/>
      <w:snapToGrid w:val="0"/>
      <w:spacing w:line="600" w:lineRule="exact"/>
      <w:ind w:firstLine="200" w:firstLineChars="200"/>
    </w:pPr>
    <w:rPr>
      <w:rFonts w:ascii="Times New Roman" w:hAnsi="Times New Roman" w:eastAsia="仿宋_GB2312" w:cs="仿宋"/>
      <w:iCs/>
      <w:color w:val="000000"/>
      <w:kern w:val="2"/>
      <w:sz w:val="32"/>
      <w:lang w:val="en-US" w:eastAsia="zh-CN" w:bidi="ar-SA"/>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标题 1 字符"/>
    <w:link w:val="2"/>
    <w:qFormat/>
    <w:uiPriority w:val="9"/>
    <w:rPr>
      <w:rFonts w:ascii="Times New Roman" w:hAnsi="Times New Roman" w:eastAsia="方正小标宋简体" w:cs="Times New Roman"/>
      <w:color w:val="auto"/>
      <w:kern w:val="2"/>
      <w:sz w:val="36"/>
      <w:szCs w:val="22"/>
      <w:lang w:val="en-US" w:eastAsia="zh-CN" w:bidi="ar-SA"/>
    </w:rPr>
  </w:style>
  <w:style w:type="character" w:customStyle="1" w:styleId="13">
    <w:name w:val="标题 2 字符"/>
    <w:link w:val="3"/>
    <w:qFormat/>
    <w:uiPriority w:val="9"/>
    <w:rPr>
      <w:rFonts w:ascii="Times New Roman" w:hAnsi="Times New Roman" w:eastAsia="黑体" w:cs="Times New Roman"/>
      <w:color w:val="auto"/>
      <w:kern w:val="2"/>
      <w:sz w:val="32"/>
      <w:szCs w:val="22"/>
      <w:lang w:val="en-US" w:eastAsia="zh-CN" w:bidi="ar-SA"/>
    </w:rPr>
  </w:style>
  <w:style w:type="character" w:customStyle="1" w:styleId="14">
    <w:name w:val="标题 3 字符"/>
    <w:link w:val="4"/>
    <w:qFormat/>
    <w:uiPriority w:val="9"/>
    <w:rPr>
      <w:rFonts w:ascii="楷体" w:hAnsi="楷体" w:eastAsia="楷体" w:cs="Times New Roman"/>
      <w:color w:val="auto"/>
      <w:kern w:val="2"/>
      <w:sz w:val="32"/>
      <w:szCs w:val="22"/>
      <w:lang w:val="en-US" w:eastAsia="zh-CN" w:bidi="ar-SA"/>
    </w:rPr>
  </w:style>
  <w:style w:type="character" w:customStyle="1" w:styleId="15">
    <w:name w:val="标题 4 字符"/>
    <w:link w:val="5"/>
    <w:qFormat/>
    <w:uiPriority w:val="9"/>
    <w:rPr>
      <w:rFonts w:ascii="Times New Roman" w:hAnsi="Times New Roman" w:eastAsia="仿宋_GB2312" w:cs="Times New Roman"/>
      <w:color w:val="auto"/>
      <w:kern w:val="2"/>
      <w:sz w:val="32"/>
      <w:szCs w:val="22"/>
      <w:lang w:val="en-US" w:eastAsia="zh-CN" w:bidi="ar-SA"/>
    </w:rPr>
  </w:style>
  <w:style w:type="character" w:customStyle="1" w:styleId="16">
    <w:name w:val="标题 5 字符"/>
    <w:basedOn w:val="11"/>
    <w:link w:val="6"/>
    <w:qFormat/>
    <w:uiPriority w:val="9"/>
    <w:rPr>
      <w:rFonts w:ascii="Times New Roman" w:hAnsi="Times New Roman" w:eastAsia="仿宋_GB2312" w:cs="仿宋"/>
      <w:color w:val="000000"/>
      <w:sz w:val="32"/>
    </w:rPr>
  </w:style>
  <w:style w:type="table" w:customStyle="1" w:styleId="17">
    <w:name w:val="TableGrid"/>
    <w:basedOn w:val="9"/>
    <w:qFormat/>
    <w:uiPriority w:val="0"/>
    <w:tblPr>
      <w:tblCellMar>
        <w:left w:w="0" w:type="dxa"/>
        <w:right w:w="0" w:type="dxa"/>
      </w:tblCellMar>
    </w:tblPr>
  </w:style>
  <w:style w:type="paragraph" w:customStyle="1" w:styleId="18">
    <w:name w:val="修订1"/>
    <w:hidden/>
    <w:semiHidden/>
    <w:qFormat/>
    <w:uiPriority w:val="99"/>
    <w:rPr>
      <w:rFonts w:ascii="仿宋_GB2312" w:hAnsi="仿宋_GB2312" w:eastAsia="仿宋_GB2312" w:cstheme="minorBidi"/>
      <w:kern w:val="2"/>
      <w:sz w:val="32"/>
      <w:szCs w:val="22"/>
      <w:lang w:val="en-US" w:eastAsia="zh-CN" w:bidi="ar-SA"/>
    </w:rPr>
  </w:style>
  <w:style w:type="paragraph" w:customStyle="1" w:styleId="19">
    <w:name w:val="修订11"/>
    <w:hidden/>
    <w:semiHidden/>
    <w:qFormat/>
    <w:uiPriority w:val="99"/>
    <w:rPr>
      <w:rFonts w:ascii="仿宋_GB2312" w:hAnsi="仿宋_GB2312" w:eastAsia="仿宋_GB2312" w:cstheme="minorBidi"/>
      <w:kern w:val="2"/>
      <w:sz w:val="32"/>
      <w:szCs w:val="22"/>
      <w:lang w:val="en-US" w:eastAsia="zh-CN" w:bidi="ar-SA"/>
    </w:rPr>
  </w:style>
  <w:style w:type="table" w:customStyle="1" w:styleId="20">
    <w:name w:val="Table Normal"/>
    <w:basedOn w:val="9"/>
    <w:semiHidden/>
    <w:unhideWhenUsed/>
    <w:qFormat/>
    <w:uiPriority w:val="2"/>
    <w:pPr>
      <w:widowControl w:val="0"/>
      <w:autoSpaceDE w:val="0"/>
      <w:autoSpaceDN w:val="0"/>
    </w:pPr>
    <w:rPr>
      <w:sz w:val="22"/>
      <w:lang w:eastAsia="en-US"/>
    </w:rPr>
    <w:tblPr>
      <w:tblCellMar>
        <w:left w:w="0" w:type="dxa"/>
        <w:right w:w="0" w:type="dxa"/>
      </w:tblCellMar>
    </w:tblPr>
  </w:style>
  <w:style w:type="paragraph" w:customStyle="1" w:styleId="21">
    <w:name w:val="修订2"/>
    <w:hidden/>
    <w:unhideWhenUsed/>
    <w:qFormat/>
    <w:uiPriority w:val="99"/>
    <w:rPr>
      <w:rFonts w:ascii="仿宋_GB2312" w:hAnsi="仿宋" w:eastAsia="仿宋_GB2312" w:cs="仿宋"/>
      <w:color w:val="000000"/>
      <w:kern w:val="2"/>
      <w:sz w:val="32"/>
      <w:szCs w:val="22"/>
      <w:lang w:val="en-US" w:eastAsia="zh-CN" w:bidi="ar-SA"/>
    </w:rPr>
  </w:style>
  <w:style w:type="table" w:customStyle="1" w:styleId="22">
    <w:name w:val="网格型1"/>
    <w:basedOn w:val="9"/>
    <w:qFormat/>
    <w:uiPriority w:val="39"/>
    <w:rPr>
      <w:rFonts w:ascii="等线" w:hAnsi="等线" w:eastAsia="等线" w:cs="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3" Type="http://schemas.openxmlformats.org/officeDocument/2006/relationships/fontTable" Target="fontTable.xml"/><Relationship Id="rId42" Type="http://schemas.openxmlformats.org/officeDocument/2006/relationships/customXml" Target="../customXml/item3.xml"/><Relationship Id="rId41" Type="http://schemas.openxmlformats.org/officeDocument/2006/relationships/customXml" Target="../customXml/item2.xml"/><Relationship Id="rId40" Type="http://schemas.openxmlformats.org/officeDocument/2006/relationships/numbering" Target="numbering.xml"/><Relationship Id="rId4" Type="http://schemas.openxmlformats.org/officeDocument/2006/relationships/endnotes" Target="endnotes.xml"/><Relationship Id="rId39" Type="http://schemas.openxmlformats.org/officeDocument/2006/relationships/customXml" Target="../customXml/item1.xml"/><Relationship Id="rId38" Type="http://schemas.openxmlformats.org/officeDocument/2006/relationships/image" Target="media/image25.jpeg"/><Relationship Id="rId37" Type="http://schemas.openxmlformats.org/officeDocument/2006/relationships/image" Target="media/image24.jpeg"/><Relationship Id="rId36" Type="http://schemas.openxmlformats.org/officeDocument/2006/relationships/image" Target="media/image23.jpeg"/><Relationship Id="rId35" Type="http://schemas.openxmlformats.org/officeDocument/2006/relationships/image" Target="media/image22.jpeg"/><Relationship Id="rId34" Type="http://schemas.openxmlformats.org/officeDocument/2006/relationships/image" Target="media/image21.jpeg"/><Relationship Id="rId33" Type="http://schemas.openxmlformats.org/officeDocument/2006/relationships/image" Target="media/image20.jpeg"/><Relationship Id="rId32" Type="http://schemas.openxmlformats.org/officeDocument/2006/relationships/image" Target="media/image19.jpeg"/><Relationship Id="rId31" Type="http://schemas.openxmlformats.org/officeDocument/2006/relationships/image" Target="media/image18.jpeg"/><Relationship Id="rId30" Type="http://schemas.openxmlformats.org/officeDocument/2006/relationships/image" Target="media/image17.jpeg"/><Relationship Id="rId3" Type="http://schemas.openxmlformats.org/officeDocument/2006/relationships/footnotes" Target="footnotes.xml"/><Relationship Id="rId29" Type="http://schemas.openxmlformats.org/officeDocument/2006/relationships/image" Target="media/image16.jpeg"/><Relationship Id="rId28" Type="http://schemas.openxmlformats.org/officeDocument/2006/relationships/image" Target="media/image15.jpeg"/><Relationship Id="rId27" Type="http://schemas.openxmlformats.org/officeDocument/2006/relationships/image" Target="media/image14.jpeg"/><Relationship Id="rId26" Type="http://schemas.openxmlformats.org/officeDocument/2006/relationships/image" Target="media/image13.jpeg"/><Relationship Id="rId25" Type="http://schemas.openxmlformats.org/officeDocument/2006/relationships/image" Target="media/image12.jpeg"/><Relationship Id="rId24" Type="http://schemas.openxmlformats.org/officeDocument/2006/relationships/image" Target="media/image11.jpeg"/><Relationship Id="rId23" Type="http://schemas.openxmlformats.org/officeDocument/2006/relationships/image" Target="media/image10.jpeg"/><Relationship Id="rId22" Type="http://schemas.openxmlformats.org/officeDocument/2006/relationships/image" Target="media/image9.jpeg"/><Relationship Id="rId21" Type="http://schemas.openxmlformats.org/officeDocument/2006/relationships/image" Target="media/image8.jpeg"/><Relationship Id="rId20" Type="http://schemas.openxmlformats.org/officeDocument/2006/relationships/image" Target="media/image7.jpeg"/><Relationship Id="rId2" Type="http://schemas.openxmlformats.org/officeDocument/2006/relationships/settings" Target="settings.xml"/><Relationship Id="rId19" Type="http://schemas.openxmlformats.org/officeDocument/2006/relationships/image" Target="media/image6.jpeg"/><Relationship Id="rId18" Type="http://schemas.openxmlformats.org/officeDocument/2006/relationships/image" Target="media/image5.jpeg"/><Relationship Id="rId17" Type="http://schemas.openxmlformats.org/officeDocument/2006/relationships/image" Target="media/image4.jpeg"/><Relationship Id="rId16" Type="http://schemas.openxmlformats.org/officeDocument/2006/relationships/image" Target="media/image3.jpeg"/><Relationship Id="rId15" Type="http://schemas.openxmlformats.org/officeDocument/2006/relationships/image" Target="media/image2.jpeg"/><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43c12d03-8067-4e4d-a3b6-eca425498fe6</errorID>
      <errorWord>曽</errorWord>
      <group>L1_Word</group>
      <groupName>字词问题</groupName>
      <ability>L2_Variant</ability>
      <abilityName>异形词</abilityName>
      <candidateList>
        <item>曾</item>
      </candidateList>
      <explain>词汇[曽]的规范词形写作[曾]。</explain>
      <paraID>7C7076A8</paraID>
      <start>76</start>
      <end>77</end>
      <status>ignored</status>
      <modifiedWord/>
      <trackRevisions>false</trackRevisions>
    </reviewItem>
    <reviewItem>
      <errorID>1d8881af-fb00-47f0-8f94-663d85b97fdd</errorID>
      <errorWord>曽</errorWord>
      <group>L1_Word</group>
      <groupName>字词问题</groupName>
      <ability>L2_Variant</ability>
      <abilityName>异形词</abilityName>
      <candidateList>
        <item>曾</item>
      </candidateList>
      <explain>词汇[曽]的规范词形写作[曾]。</explain>
      <paraID>7C7076A8</paraID>
      <start>127</start>
      <end>128</end>
      <status>ignored</status>
      <modifiedWord/>
      <trackRevisions>false</trackRevisions>
    </reviewItem>
    <reviewItem>
      <errorID>d7032aca-931f-4685-a2fd-1d00da0fdc16</errorID>
      <errorWord>曽</errorWord>
      <group>L1_Word</group>
      <groupName>字词问题</groupName>
      <ability>L2_Variant</ability>
      <abilityName>异形词</abilityName>
      <candidateList>
        <item>曾</item>
      </candidateList>
      <explain>词汇[曽]的规范词形写作[曾]。</explain>
      <paraID>7C7076A8</paraID>
      <start>230</start>
      <end>231</end>
      <status>ignored</status>
      <modifiedWord/>
      <trackRevisions>false</trackRevisions>
    </reviewItem>
    <reviewItem>
      <errorID>e8027f66-3b33-4ba2-852c-716d0926a927</errorID>
      <errorWord>曽</errorWord>
      <group>L1_Word</group>
      <groupName>字词问题</groupName>
      <ability>L2_Variant</ability>
      <abilityName>异形词</abilityName>
      <candidateList>
        <item>曾</item>
      </candidateList>
      <explain>词汇[曽]的规范词形写作[曾]。</explain>
      <paraID>7C7076A8</paraID>
      <start>423</start>
      <end>424</end>
      <status>ignored</status>
      <modifiedWord/>
      <trackRevisions>false</trackRevisions>
    </reviewItem>
    <reviewItem>
      <errorID>4912c400-bc93-499b-8bd2-9cb435bb3efc</errorID>
      <errorWord>台</errorWord>
      <group>L1_Word</group>
      <groupName>字词问题</groupName>
      <ability>L2_Typo</ability>
      <abilityName>字词错误</abilityName>
      <candidateList>
        <item>台村</item>
      </candidateList>
      <explain/>
      <paraID>7C7076A8</paraID>
      <start>485</start>
      <end>486</end>
      <status>ignored</status>
      <modifiedWord/>
      <trackRevisions>false</trackRevisions>
    </reviewItem>
    <reviewItem>
      <errorID>43c9b39f-897b-4598-847a-2af16034897a</errorID>
      <errorWord>亟需采取</errorWord>
      <group>L1_Word</group>
      <groupName>字词问题</groupName>
      <ability>L2_Typo</ability>
      <abilityName>字词错误</abilityName>
      <candidateList>
        <item>亟须采取</item>
      </candidateList>
      <explain/>
      <paraID> F0C6C67</paraID>
      <start>101</start>
      <end>105</end>
      <status>ignored</status>
      <modifiedWord/>
      <trackRevisions>false</trackRevisions>
    </reviewItem>
    <reviewItem>
      <errorID>ea1e0b4f-3178-4635-87be-66ed795d7f41</errorID>
      <errorWord>满足居民日益增长的精神文化需求</errorWord>
      <group>L1_Political</group>
      <groupName>政治性问题</groupName>
      <ability>L2_Keyword</ability>
      <abilityName>固定表述</abilityName>
      <candidateList>
        <item>满足人民日益增长的精神文化需求</item>
      </candidateList>
      <explain>词汇“满足人民日益增长的精神文化需求”在特定场景下为固定表述形式，请确认此处的“满足居民日益增长的精神文化需求”是否存在不当。</explain>
      <paraID>3120C6EC</paraID>
      <start>185</start>
      <end>200</end>
      <status>ignored</status>
      <modifiedWord/>
      <trackRevisions>false</trackRevisions>
    </reviewItem>
    <reviewItem>
      <errorID>c04c8476-6750-4660-8539-d2da60ba81a5</errorID>
      <errorWord>当前亟需</errorWord>
      <group>L1_Word</group>
      <groupName>字词问题</groupName>
      <ability>L2_Typo</ability>
      <abilityName>字词错误</abilityName>
      <candidateList>
        <item>当前亟须</item>
      </candidateList>
      <explain/>
      <paraID>1FADBE6A</paraID>
      <start>67</start>
      <end>71</end>
      <status>ignored</status>
      <modifiedWord/>
      <trackRevisions>false</trackRevisions>
    </reviewItem>
    <reviewItem>
      <errorID>97433656-230d-4f56-bc75-35b473b8928c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658B99EE</paraID>
      <start>19</start>
      <end>20</end>
      <status>ignored</status>
      <modifiedWord/>
      <trackRevisions>false</trackRevisions>
    </reviewItem>
    <reviewItem>
      <errorID>5680f2a3-71fa-4991-83c3-e2aae9b61d46</errorID>
      <errorWord>现代工业产业体系</errorWord>
      <group>L1_Political</group>
      <groupName>政治性问题</groupName>
      <ability>L2_Keyword</ability>
      <abilityName>固定表述</abilityName>
      <candidateList>
        <item>现代化产业体系</item>
      </candidateList>
      <explain>词汇“现代化产业体系”在特定场景下为固定表述形式，请确认此处的“现代工业产业体系”是否存在不当。</explain>
      <paraID>7FC87964</paraID>
      <start>214</start>
      <end>222</end>
      <status>ignored</status>
      <modifiedWord/>
      <trackRevisions>false</trackRevisions>
    </reviewItem>
    <reviewItem>
      <errorID>93761307-b372-4672-a8ae-dee2f258fd11</errorID>
      <errorWord>药品</errorWord>
      <group>L1_Word</group>
      <groupName>字词问题</groupName>
      <ability>L2_Typo</ability>
      <abilityName>字词错误</abilityName>
      <candidateList>
        <item>品</item>
      </candidateList>
      <explain/>
      <paraID>39FC6E4F</paraID>
      <start>254</start>
      <end>256</end>
      <status>ignored</status>
      <modifiedWord/>
      <trackRevisions>false</trackRevisions>
    </reviewItem>
    <reviewItem>
      <errorID>ccaefdc7-603b-449d-826d-b6613043bce8</errorID>
      <errorWord>国家“一带一路”倡议</errorWord>
      <group>L1_Word</group>
      <groupName>字词问题</groupName>
      <ability>L2_Typo</ability>
      <abilityName>字词错误</abilityName>
      <candidateList>
        <item>共建“一带一路”倡议</item>
      </candidateList>
      <explain/>
      <paraID>3028D856</paraID>
      <start>19</start>
      <end>29</end>
      <status>ignored</status>
      <modifiedWord/>
      <trackRevisions>false</trackRevisions>
    </reviewItem>
    <reviewItem>
      <errorID>1c30f40c-7bc4-4648-993f-9220f369b8a7</errorID>
      <errorWord>产业的转型升级</errorWord>
      <group>L1_Political</group>
      <groupName>政治性问题</groupName>
      <ability>L2_Keyword</ability>
      <abilityName>固定表述</abilityName>
      <candidateList>
        <item>产业转型升级</item>
      </candidateList>
      <explain>词汇“产业转型升级”在特定场景下为固定表述形式，请确认此处的“产业的转型升级”是否存在不当。</explain>
      <paraID>2E8579C5</paraID>
      <start>37</start>
      <end>44</end>
      <status>ignored</status>
      <modifiedWord/>
      <trackRevisions>false</trackRevisions>
    </reviewItem>
    <reviewItem>
      <errorID>e94e61b3-c819-4217-924d-8b58859da39d</errorID>
      <errorWord>多层次的社会保障体系</errorWord>
      <group>L1_Political</group>
      <groupName>政治性问题</groupName>
      <ability>L2_Keyword</ability>
      <abilityName>固定表述</abilityName>
      <candidateList>
        <item>多层次社会保障体系</item>
      </candidateList>
      <explain>词汇“多层次社会保障体系”在特定场景下为固定表述形式，请确认此处的“多层次的社会保障体系”是否存在不当。</explain>
      <paraID>1CAE1823</paraID>
      <start>128</start>
      <end>138</end>
      <status>ignored</status>
      <modifiedWord/>
      <trackRevisions>false</trackRevisions>
    </reviewItem>
    <reviewItem>
      <errorID>d842c2a0-dcb7-428c-a8f5-d5d6be98273c</errorID>
      <errorWord>幸福感、获得感、安全感</errorWord>
      <group>L1_Political</group>
      <groupName>政治性问题</groupName>
      <ability>L2_Keyword</ability>
      <abilityName>固定表述</abilityName>
      <candidateList>
        <item>获得感、幸福感、安全感</item>
      </candidateList>
      <explain>词汇“获得感、幸福感、安全感”在特定场景下为固定表述形式，请确认此处的“幸福感、获得感、安全感”是否存在不当。</explain>
      <paraID>1CAE1823</paraID>
      <start>223</start>
      <end>234</end>
      <status>ignored</status>
      <modifiedWord/>
      <trackRevisions>false</trackRevisions>
    </reviewItem>
    <reviewItem>
      <errorID>82ae7e5f-38b5-4865-8693-9b714a61f975</errorID>
      <errorWord>，</errorWord>
      <group>L1_Word</group>
      <groupName>字词问题</groupName>
      <ability>L2_Typo</ability>
      <abilityName>字词错误</abilityName>
      <candidateList>
        <item>，将</item>
      </candidateList>
      <explain/>
      <paraID>1F8B834F</paraID>
      <start>56</start>
      <end>57</end>
      <status>ignored</status>
      <modifiedWord/>
      <trackRevisions>false</trackRevisions>
    </reviewItem>
    <reviewItem>
      <errorID>4a0db994-d22c-4e92-bddd-e94fcbba7fd0</errorID>
      <errorWord>，</errorWord>
      <group>L1_Word</group>
      <groupName>字词问题</groupName>
      <ability>L2_Typo</ability>
      <abilityName>字词错误</abilityName>
      <candidateList>
        <item>，在</item>
      </candidateList>
      <explain/>
      <paraID>53995E74</paraID>
      <start>62</start>
      <end>63</end>
      <status>ignored</status>
      <modifiedWord/>
      <trackRevisions>false</trackRevisions>
    </reviewItem>
    <reviewItem>
      <errorID>a8f40f60-a7e6-4dd5-abf8-ad0c89d2c59d</errorID>
      <errorWord>-</errorWord>
      <group>L1_Format</group>
      <groupName>格式问题</groupName>
      <ability>L2_HalfPunc</ability>
      <abilityName>全半角检查</abilityName>
      <candidateList>
        <item>－</item>
      </candidateList>
      <explain>文本全半角错误。</explain>
      <paraID>7B088DED</paraID>
      <start>24</start>
      <end>25</end>
      <status>ignored</status>
      <modifiedWord/>
      <trackRevisions>false</trackRevisions>
    </reviewItem>
    <reviewItem>
      <errorID>edb35ada-82eb-499c-8fbb-826703dcea61</errorID>
      <errorWord>-</errorWord>
      <group>L1_Format</group>
      <groupName>格式问题</groupName>
      <ability>L2_HalfPunc</ability>
      <abilityName>全半角检查</abilityName>
      <candidateList>
        <item>－</item>
      </candidateList>
      <explain>文本全半角错误。</explain>
      <paraID>7B088DED</paraID>
      <start>27</start>
      <end>28</end>
      <status>ignored</status>
      <modifiedWord/>
      <trackRevisions>false</trackRevisions>
    </reviewItem>
    <reviewItem>
      <errorID>012610e6-b172-4ead-bb52-5bdcd7e4fe7f</errorID>
      <errorWord>涉及</errorWord>
      <group>L1_Word</group>
      <groupName>字词问题</groupName>
      <ability>L2_Typo</ability>
      <abilityName>字词错误</abilityName>
      <candidateList>
        <item>设计</item>
      </candidateList>
      <explain>❶〈动〉在正式做某项工作之前，根据一定的目的要求，预先制定方法、图样等：～师｜～图纸。❷〈名〉设计的方案或规划的蓝图等：那两项～已经完成。</explain>
      <paraID>26F20295</paraID>
      <start>328</start>
      <end>330</end>
      <status>ignored</status>
      <modifiedWord/>
      <trackRevisions>false</trackRevisions>
    </reviewItem>
    <reviewItem>
      <errorID>1ddbf0d8-9ec5-4864-bddc-9fee2bf2d66d</errorID>
      <errorWord>或</errorWord>
      <group>L1_Word</group>
      <groupName>字词问题</groupName>
      <ability>L2_Typo</ability>
      <abilityName>字词错误</abilityName>
      <candidateList>
        <item>或不</item>
      </candidateList>
      <explain/>
      <paraID>26F20295</paraID>
      <start>419</start>
      <end>420</end>
      <status>ignored</status>
      <modifiedWord/>
      <trackRevisions>false</trackRevisions>
    </reviewItem>
    <reviewItem>
      <errorID>c76abc54-4cde-413c-a418-d7bef8d86448</errorID>
      <errorWord>全域国土综合整治</errorWord>
      <group>L1_Political</group>
      <groupName>政治性问题</groupName>
      <ability>L2_Keyword</ability>
      <abilityName>固定表述</abilityName>
      <candidateList>
        <item>全域土地综合整治</item>
      </candidateList>
      <explain>词汇“全域土地综合整治”在特定场景下为固定表述形式，请确认此处的“全域国土综合整治”是否存在不当。</explain>
      <paraID>351DA68E</paraID>
      <start>306</start>
      <end>314</end>
      <status>ignored</status>
      <modifiedWord/>
      <trackRevisions>false</trackRevisions>
    </reviewItem>
    <reviewItem>
      <errorID>8bd1d19f-9459-4c8d-8239-8f46d4a44c10</errorID>
      <errorWord>曽</errorWord>
      <group>L1_Word</group>
      <groupName>字词问题</groupName>
      <ability>L2_Variant</ability>
      <abilityName>异形词</abilityName>
      <candidateList>
        <item>曾</item>
      </candidateList>
      <explain>词汇[曽]的规范词形写作[曾]。</explain>
      <paraID>5319205C</paraID>
      <start>0</start>
      <end>1</end>
      <status>ignored</status>
      <modifiedWord/>
      <trackRevisions>false</trackRevisions>
    </reviewItem>
    <reviewItem>
      <errorID>264190c1-eb3a-41bf-a402-a0dc1426e8ac</errorID>
      <errorWord>-</errorWord>
      <group>L1_Format</group>
      <groupName>格式问题</groupName>
      <ability>L2_HalfPunc</ability>
      <abilityName>全半角检查</abilityName>
      <candidateList>
        <item>－</item>
      </candidateList>
      <explain>文本全半角错误。</explain>
      <paraID>7B6E0C71</paraID>
      <start>79</start>
      <end>80</end>
      <status>ignored</status>
      <modifiedWord/>
      <trackRevisions>false</trackRevisions>
    </reviewItem>
    <reviewItem>
      <errorID>4f0840fb-96ce-4559-8c00-d4ee1c98b8df</errorID>
      <errorWord>强</errorWord>
      <group>L1_Word</group>
      <groupName>字词问题</groupName>
      <ability>L2_Typo</ability>
      <abilityName>字词错误</abilityName>
      <candidateList>
        <item>强对</item>
      </candidateList>
      <explain/>
      <paraID>185408D9</paraID>
      <start>54</start>
      <end>55</end>
      <status>ignored</status>
      <modifiedWord/>
      <trackRevisions>false</trackRevisions>
    </reviewItem>
    <reviewItem>
      <errorID>fde5c7ca-bf51-4f4a-bad3-1033a5cc0401</errorID>
      <errorWord>，</errorWord>
      <group>L1_Word</group>
      <groupName>字词问题</groupName>
      <ability>L2_Typo</ability>
      <abilityName>字词错误</abilityName>
      <candidateList>
        <item>，在</item>
      </candidateList>
      <explain/>
      <paraID>78507CD8</paraID>
      <start>30</start>
      <end>31</end>
      <status>ignored</status>
      <modifiedWord/>
      <trackRevisions>false</trackRevisions>
    </reviewItem>
    <reviewItem>
      <errorID>f6f2d9d1-2594-4490-891b-c49f8b9d28b4</errorID>
      <errorWord>生物多样性维护</errorWord>
      <group>L1_Political</group>
      <groupName>政治性问题</groupName>
      <ability>L2_Keyword</ability>
      <abilityName>固定表述</abilityName>
      <candidateList>
        <item>生物多样性保护</item>
      </candidateList>
      <explain>词汇“生物多样性保护”在特定场景下为固定表述形式，请确认此处的“生物多样性维护”是否存在不当。</explain>
      <paraID>42D27037</paraID>
      <start>118</start>
      <end>125</end>
      <status>ignored</status>
      <modifiedWord/>
      <trackRevisions>false</trackRevisions>
    </reviewItem>
    <reviewItem>
      <errorID>93a0b119-775c-4dad-bc69-c6acfa09eb81</errorID>
      <errorWord>-</errorWord>
      <group>L1_Format</group>
      <groupName>格式问题</groupName>
      <ability>L2_HalfPunc</ability>
      <abilityName>全半角检查</abilityName>
      <candidateList>
        <item>－</item>
      </candidateList>
      <explain>文本全半角错误。</explain>
      <paraID>57070E2E</paraID>
      <start>140</start>
      <end>141</end>
      <status>ignored</status>
      <modifiedWord/>
      <trackRevisions>false</trackRevisions>
    </reviewItem>
    <reviewItem>
      <errorID>9accc3a9-13bf-4ea6-97db-e561865dd591</errorID>
      <errorWord>-</errorWord>
      <group>L1_Format</group>
      <groupName>格式问题</groupName>
      <ability>L2_HalfPunc</ability>
      <abilityName>全半角检查</abilityName>
      <candidateList>
        <item>－</item>
      </candidateList>
      <explain>文本全半角错误。</explain>
      <paraID> 9048A36</paraID>
      <start>33</start>
      <end>34</end>
      <status>ignored</status>
      <modifiedWord/>
      <trackRevisions>false</trackRevisions>
    </reviewItem>
    <reviewItem>
      <errorID>0a3f43cc-9a48-4512-a0ed-f3860929df00</errorID>
      <errorWord>开放利用</errorWord>
      <group>L1_Word</group>
      <groupName>字词问题</groupName>
      <ability>L2_Typo</ability>
      <abilityName>字词错误</abilityName>
      <candidateList>
        <item>开发利用</item>
      </candidateList>
      <explain/>
      <paraID>536419C9</paraID>
      <start>202</start>
      <end>206</end>
      <status>ignored</status>
      <modifiedWord/>
      <trackRevisions>false</trackRevisions>
    </reviewItem>
    <reviewItem>
      <errorID>2ffb7ac2-46bf-46bd-9c4d-b95d11611ae7</errorID>
      <errorWord>滥砍滥伐</errorWord>
      <group>L1_Word</group>
      <groupName>字词问题</groupName>
      <ability>L2_Typo</ability>
      <abilityName>字词错误</abilityName>
      <candidateList>
        <item>乱砍滥伐</item>
      </candidateList>
      <explain/>
      <paraID>31BDE87F</paraID>
      <start>96</start>
      <end>100</end>
      <status>ignored</status>
      <modifiedWord/>
      <trackRevisions>false</trackRevisions>
    </reviewItem>
    <reviewItem>
      <errorID>53bd91c5-02f1-4c7a-93f1-14dd72b63514</errorID>
      <errorWord>曽</errorWord>
      <group>L1_Word</group>
      <groupName>字词问题</groupName>
      <ability>L2_Variant</ability>
      <abilityName>异形词</abilityName>
      <candidateList>
        <item>曾</item>
      </candidateList>
      <explain>词汇[曽]的规范词形写作[曾]。</explain>
      <paraID> 6A8BA2D</paraID>
      <start>5</start>
      <end>6</end>
      <status>ignored</status>
      <modifiedWord/>
      <trackRevisions>false</trackRevisions>
    </reviewItem>
    <reviewItem>
      <errorID>6a8a3b04-0365-443f-a15a-6e8c17e39ea7</errorID>
      <errorWord>加工业</errorWord>
      <group>L1_Word</group>
      <groupName>字词问题</groupName>
      <ability>L2_Typo</ability>
      <abilityName>字词错误</abilityName>
      <candidateList>
        <item>加工</item>
      </candidateList>
      <explain/>
      <paraID>46BCA178</paraID>
      <start>27</start>
      <end>30</end>
      <status>ignored</status>
      <modifiedWord/>
      <trackRevisions>false</trackRevisions>
    </reviewItem>
    <reviewItem>
      <errorID>3f9bfff4-526f-49dc-a39c-e073c60a9776</errorID>
      <errorWord>一、二、三产业</errorWord>
      <group>L1_Punc</group>
      <groupName>标点问题</groupName>
      <ability>L2_Punc</ability>
      <abilityName>标点符号检查</abilityName>
      <candidateList>
        <item>一二三产业</item>
      </candidateList>
      <explain/>
      <paraID>529E1DA6</paraID>
      <start>43</start>
      <end>50</end>
      <status>ignored</status>
      <modifiedWord/>
      <trackRevisions>false</trackRevisions>
    </reviewItem>
    <reviewItem>
      <errorID>38a73336-60b8-495a-ab8c-e80ac9d15d1e</errorID>
      <errorWord>一、二、三产业</errorWord>
      <group>L1_Punc</group>
      <groupName>标点问题</groupName>
      <ability>L2_Punc</ability>
      <abilityName>标点符号检查</abilityName>
      <candidateList>
        <item>一二三产业</item>
      </candidateList>
      <explain/>
      <paraID>6F1B7609</paraID>
      <start>73</start>
      <end>80</end>
      <status>ignored</status>
      <modifiedWord/>
      <trackRevisions>false</trackRevisions>
    </reviewItem>
    <reviewItem>
      <errorID>39a4bec2-fd17-4b32-8155-49354450b530</errorID>
      <errorWord>曽</errorWord>
      <group>L1_Word</group>
      <groupName>字词问题</groupName>
      <ability>L2_Variant</ability>
      <abilityName>异形词</abilityName>
      <candidateList>
        <item>曾</item>
      </candidateList>
      <explain>词汇[曽]的规范词形写作[曾]。</explain>
      <paraID>1DBA482B</paraID>
      <start>0</start>
      <end>1</end>
      <status>ignored</status>
      <modifiedWord/>
      <trackRevisions>false</trackRevisions>
    </reviewItem>
    <reviewItem>
      <errorID>4f2cc16c-d6c9-470f-8f93-33242e15a770</errorID>
      <errorWord>产业链与供应链</errorWord>
      <group>L1_Political</group>
      <groupName>政治性问题</groupName>
      <ability>L2_Keyword</ability>
      <abilityName>固定表述</abilityName>
      <candidateList>
        <item>产业链供应链</item>
      </candidateList>
      <explain>词汇“产业链供应链”在特定场景下为固定表述形式，请确认此处的“产业链与供应链”是否存在不当。</explain>
      <paraID>1658DD2D</paraID>
      <start>151</start>
      <end>158</end>
      <status>ignored</status>
      <modifiedWord/>
      <trackRevisions>false</trackRevisions>
    </reviewItem>
    <reviewItem>
      <errorID>b4734e82-2ba6-4caf-9e3c-7c4e62fa2392</errorID>
      <errorWord>一二三产的融合</errorWord>
      <group>L1_Political</group>
      <groupName>政治性问题</groupName>
      <ability>L2_Keyword</ability>
      <abilityName>固定表述</abilityName>
      <candidateList>
        <item>一二三产业融合</item>
      </candidateList>
      <explain>词汇“一二三产业融合”在特定场景下为固定表述形式，请确认此处的“一二三产的融合”是否存在不当。</explain>
      <paraID>10A2483A</paraID>
      <start>104</start>
      <end>111</end>
      <status>ignored</status>
      <modifiedWord/>
      <trackRevisions>false</trackRevisions>
    </reviewItem>
    <reviewItem>
      <errorID>8962b384-2146-4279-8e08-1aab0adcf401</errorID>
      <errorWord>城市的融合发展</errorWord>
      <group>L1_Political</group>
      <groupName>政治性问题</groupName>
      <ability>L2_Keyword</ability>
      <abilityName>固定表述</abilityName>
      <candidateList>
        <item>城乡融合发展</item>
      </candidateList>
      <explain>词汇“城乡融合发展”在特定场景下为固定表述形式，请确认此处的“城市的融合发展”是否存在不当。</explain>
      <paraID>10A2483A</paraID>
      <start>116</start>
      <end>123</end>
      <status>ignored</status>
      <modifiedWord/>
      <trackRevisions>false</trackRevisions>
    </reviewItem>
    <reviewItem>
      <errorID>20b3cce6-5a96-4097-9ebf-33d643560db0</errorID>
      <errorWord>农事</errorWord>
      <group>L1_Word</group>
      <groupName>字词问题</groupName>
      <ability>L2_Typo</ability>
      <abilityName>字词错误</abilityName>
      <candidateList>
        <item>农</item>
      </candidateList>
      <explain/>
      <paraID>4D1D5D2D</paraID>
      <start>75</start>
      <end>77</end>
      <status>ignored</status>
      <modifiedWord/>
      <trackRevisions>false</trackRevisions>
    </reviewItem>
    <reviewItem>
      <errorID>ad2e9185-27e2-4786-b621-83d8f7e6f204</errorID>
      <errorWord>一、二、三产业</errorWord>
      <group>L1_Punc</group>
      <groupName>标点问题</groupName>
      <ability>L2_Punc</ability>
      <abilityName>标点符号检查</abilityName>
      <candidateList>
        <item>一二三产业</item>
      </candidateList>
      <explain/>
      <paraID>  27C51A</paraID>
      <start>4</start>
      <end>11</end>
      <status>ignored</status>
      <modifiedWord/>
      <trackRevisions>false</trackRevisions>
    </reviewItem>
    <reviewItem>
      <errorID>6083f4f3-8e4e-415f-a066-fe8d7fad9e4a</errorID>
      <errorWord>涉及到</errorWord>
      <group>L1_Word</group>
      <groupName>字词问题</groupName>
      <ability>L2_Typo</ability>
      <abilityName>字词错误</abilityName>
      <candidateList>
        <item>涉及</item>
      </candidateList>
      <explain>〈动〉牵涉到；关联到：案子～好几个人｜这个问题～面很广。</explain>
      <paraID> B90C4A1</paraID>
      <start>101</start>
      <end>104</end>
      <status>ignored</status>
      <modifiedWord/>
      <trackRevisions>false</trackRevisions>
    </reviewItem>
    <reviewItem>
      <errorID>a3932de6-7fd9-4bb8-bcd1-4c5e5beef196</errorID>
      <errorWord>生态价值实现机制</errorWord>
      <group>L1_Political</group>
      <groupName>政治性问题</groupName>
      <ability>L2_Keyword</ability>
      <abilityName>固定表述</abilityName>
      <candidateList>
        <item>生态产品价值实现机制</item>
      </candidateList>
      <explain>词汇“生态产品价值实现机制”在特定场景下为固定表述形式，请确认此处的“生态价值实现机制”是否存在不当。</explain>
      <paraID>5D6999FA</paraID>
      <start>78</start>
      <end>86</end>
      <status>ignored</status>
      <modifiedWord/>
      <trackRevisions>false</trackRevisions>
    </reviewItem>
    <reviewItem>
      <errorID>f6233c9c-cafb-4ea5-9eb5-346bb62954d6</errorID>
      <errorWord>城镇更新行动</errorWord>
      <group>L1_Political</group>
      <groupName>政治性问题</groupName>
      <ability>L2_Keyword</ability>
      <abilityName>固定表述</abilityName>
      <candidateList>
        <item>城市更新行动</item>
      </candidateList>
      <explain>词汇“城市更新行动”在特定场景下为固定表述形式，请确认此处的“城镇更新行动”是否存在不当。</explain>
      <paraID>2B82A2DA</paraID>
      <start>61</start>
      <end>67</end>
      <status>ignored</status>
      <modifiedWord/>
      <trackRevisions>false</trackRevisions>
    </reviewItem>
    <reviewItem>
      <errorID>18245394-4a2b-42b8-8fee-12ef7711c3ce</errorID>
      <errorWord>全域国土综合整治</errorWord>
      <group>L1_Political</group>
      <groupName>政治性问题</groupName>
      <ability>L2_Keyword</ability>
      <abilityName>固定表述</abilityName>
      <candidateList>
        <item>全域土地综合整治</item>
      </candidateList>
      <explain>词汇“全域土地综合整治”在特定场景下为固定表述形式，请确认此处的“全域国土综合整治”是否存在不当。</explain>
      <paraID>35A60C43</paraID>
      <start>25</start>
      <end>33</end>
      <status>ignored</status>
      <modifiedWord/>
      <trackRevisions>false</trackRevisions>
    </reviewItem>
    <reviewItem>
      <errorID>0e65d1e1-0ad1-4e54-b933-83b03dd936e3</errorID>
      <errorWord>一、二、三产业</errorWord>
      <group>L1_Punc</group>
      <groupName>标点问题</groupName>
      <ability>L2_Punc</ability>
      <abilityName>标点符号检查</abilityName>
      <candidateList>
        <item>一二三产业</item>
      </candidateList>
      <explain/>
      <paraID>3E313085</paraID>
      <start>131</start>
      <end>138</end>
      <status>ignored</status>
      <modifiedWord/>
      <trackRevisions>false</trackRevisions>
    </reviewItem>
    <reviewItem>
      <errorID>37f03bfc-b02b-4b42-aaaf-dd68754f3e8b</errorID>
      <errorWord>农村面源污染</errorWord>
      <group>L1_Political</group>
      <groupName>政治性问题</groupName>
      <ability>L2_Keyword</ability>
      <abilityName>固定表述</abilityName>
      <candidateList>
        <item>农业面源污染</item>
      </candidateList>
      <explain>词汇“农业面源污染”在特定场景下为固定表述形式，请确认此处的“农村面源污染”是否存在不当。</explain>
      <paraID>50056F50</paraID>
      <start>38</start>
      <end>44</end>
      <status>ignored</status>
      <modifiedWord/>
      <trackRevisions>false</trackRevisions>
    </reviewItem>
    <reviewItem>
      <errorID>0725be14-76b5-4861-9a48-cc02b2149c45</errorID>
      <errorWord>，应</errorWord>
      <group>L1_Word</group>
      <groupName>字词问题</groupName>
      <ability>L2_Typo</ability>
      <abilityName>字词错误</abilityName>
      <candidateList>
        <item>，</item>
      </candidateList>
      <explain/>
      <paraID>3FF1D9CE</paraID>
      <start>450</start>
      <end>452</end>
      <status>ignored</status>
      <modifiedWord/>
      <trackRevisions>false</trackRevisions>
    </reviewItem>
    <reviewItem>
      <errorID>a0c9582a-2846-4254-a367-39e8fbd34634</errorID>
      <errorWord>城镇融合发展</errorWord>
      <group>L1_Political</group>
      <groupName>政治性问题</groupName>
      <ability>L2_Keyword</ability>
      <abilityName>固定表述</abilityName>
      <candidateList>
        <item>城乡融合发展</item>
      </candidateList>
      <explain>词汇“城乡融合发展”在特定场景下为固定表述形式，请确认此处的“城镇融合发展”是否存在不当。</explain>
      <paraID>768CEF31</paraID>
      <start>22</start>
      <end>28</end>
      <status>ignored</status>
      <modifiedWord/>
      <trackRevisions>false</trackRevisions>
    </reviewItem>
    <reviewItem>
      <errorID>101db365-8dc1-4bbb-acf2-398f25e258da</errorID>
      <errorWord>绿地</errorWord>
      <group>L1_Word</group>
      <groupName>字词问题</groupName>
      <ability>L2_Typo</ability>
      <abilityName>字词错误</abilityName>
      <candidateList>
        <item>绿带</item>
      </candidateList>
      <explain/>
      <paraID>5AB9D558</paraID>
      <start>47</start>
      <end>49</end>
      <status>ignored</status>
      <modifiedWord/>
      <trackRevisions>false</trackRevisions>
    </reviewItem>
    <reviewItem>
      <errorID>fb787fa1-1339-4d21-a6db-ed58e068e351</errorID>
      <errorWord>》</errorWord>
      <group>L1_Word</group>
      <groupName>字词问题</groupName>
      <ability>L2_Typo</ability>
      <abilityName>字词错误</abilityName>
      <candidateList>
        <item>》和</item>
      </candidateList>
      <explain/>
      <paraID>5AB9D558</paraID>
      <start>91</start>
      <end>92</end>
      <status>ignored</status>
      <modifiedWord/>
      <trackRevisions>false</trackRevisions>
    </reviewItem>
    <reviewItem>
      <errorID>e3cd9bc9-05ea-4297-8935-76577b363f64</errorID>
      <errorWord>(</errorWord>
      <group>L1_Format</group>
      <groupName>格式问题</groupName>
      <ability>L2_HalfPunc</ability>
      <abilityName>全半角检查</abilityName>
      <candidateList>
        <item>（</item>
      </candidateList>
      <explain>文本全半角错误。</explain>
      <paraID>6D19D6E5</paraID>
      <start>146</start>
      <end>147</end>
      <status>modified</status>
      <modifiedWord>（</modifiedWord>
      <trackRevisions>false</trackRevisions>
    </reviewItem>
    <reviewItem>
      <errorID>aa6f61f8-1276-4738-9585-311f3add8114</errorID>
      <errorWord>)</errorWord>
      <group>L1_Format</group>
      <groupName>格式问题</groupName>
      <ability>L2_HalfPunc</ability>
      <abilityName>全半角检查</abilityName>
      <candidateList>
        <item>）</item>
      </candidateList>
      <explain>文本全半角错误。</explain>
      <paraID>6D19D6E5</paraID>
      <start>154</start>
      <end>155</end>
      <status>modified</status>
      <modifiedWord>）</modifiedWord>
      <trackRevisions>false</trackRevisions>
    </reviewItem>
    <reviewItem>
      <errorID>96835eb4-36d6-4f8f-9989-d7dc3b4acb4a</errorID>
      <errorWord>0.5万-1.2万</errorWord>
      <group>L1_Knowledge</group>
      <groupName>知识性问题</groupName>
      <ability>L2_Knowledge</ability>
      <abilityName>其他知识</abilityName>
      <candidateList>
        <item>0.5万—1.2万</item>
      </candidateList>
      <explain>1. “0.5万-1.2万”中的单位“万”仅出现在后一个数字上，容易引起歧义；根据《现代汉语标点符号数字用法规范手册》，数字表示范围两边需要使用统一的格式。2.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111802CA</paraID>
      <start>38</start>
      <end>47</end>
      <status>ignored</status>
      <modifiedWord/>
      <trackRevisions>false</trackRevisions>
    </reviewItem>
    <reviewItem>
      <errorID>bfaa30f5-71ce-4c19-8c24-96b77828944f</errorID>
      <errorWord>绿线控制</errorWord>
      <group>L1_Knowledge</group>
      <groupName>知识性问题</groupName>
      <ability>L2_Term</ability>
      <abilityName>专业术语</abilityName>
      <candidateList>
        <item>总线控制</item>
      </candidateList>
      <explain/>
      <paraID>616D1AA5</paraID>
      <start>0</start>
      <end>4</end>
      <status>ignored</status>
      <modifiedWord/>
      <trackRevisions>false</trackRevisions>
    </reviewItem>
    <reviewItem>
      <errorID>fce6ebb0-c447-47b0-a735-fddb0361ef50</errorID>
      <errorWord>，</errorWord>
      <group>L1_Word</group>
      <groupName>字词问题</groupName>
      <ability>L2_Typo</ability>
      <abilityName>字词错误</abilityName>
      <candidateList>
        <item>，经</item>
      </candidateList>
      <explain/>
      <paraID>7C9B5A08</paraID>
      <start>52</start>
      <end>53</end>
      <status>ignored</status>
      <modifiedWord/>
      <trackRevisions>false</trackRevisions>
    </reviewItem>
    <reviewItem>
      <errorID>4b4c7af7-9312-4576-b25c-b6d114377b04</errorID>
      <errorWord>黄线控制</errorWord>
      <group>L1_Knowledge</group>
      <groupName>知识性问题</groupName>
      <ability>L2_Term</ability>
      <abilityName>专业术语</abilityName>
      <candidateList>
        <item>总线控制</item>
      </candidateList>
      <explain/>
      <paraID>6ED9E1CF</paraID>
      <start>0</start>
      <end>4</end>
      <status>ignored</status>
      <modifiedWord/>
      <trackRevisions>false</trackRevisions>
    </reviewItem>
    <reviewItem>
      <errorID>758f1cd5-98b3-4376-ba5d-6013d54b2b1e</errorID>
      <errorWord>量力而行、尽力而为</errorWord>
      <group>L1_Political</group>
      <groupName>政治性问题</groupName>
      <ability>L2_Keyword</ability>
      <abilityName>固定表述</abilityName>
      <candidateList>
        <item>尽力而为、量力而行</item>
      </candidateList>
      <explain>词汇“尽力而为、量力而行”在特定场景下为固定表述形式，请确认此处的“量力而行、尽力而为”是否存在不当。</explain>
      <paraID>414C1ECF</paraID>
      <start>22</start>
      <end>31</end>
      <status>ignored</status>
      <modifiedWord/>
      <trackRevisions>false</trackRevisions>
    </reviewItem>
    <reviewItem>
      <errorID>8475a980-025c-4252-82ab-ae83d5a826f6</errorID>
      <errorWord>，，</errorWord>
      <group>L1_Punc</group>
      <groupName>标点问题</groupName>
      <ability>L2_Punc</ability>
      <abilityName>标点符号检查</abilityName>
      <candidateList>
        <item>，</item>
      </candidateList>
      <explain/>
      <paraID>733D4CE8</paraID>
      <start>38</start>
      <end>39</end>
      <status>modified</status>
      <modifiedWord>，</modifiedWord>
      <trackRevisions>false</trackRevisions>
    </reviewItem>
    <reviewItem>
      <errorID>f6cd7f00-02b5-444f-aca5-3781327cb22a</errorID>
      <errorWord>0.5万-1.2万</errorWord>
      <group>L1_Knowledge</group>
      <groupName>知识性问题</groupName>
      <ability>L2_Knowledge</ability>
      <abilityName>其他知识</abilityName>
      <candidateList>
        <item>0.5万—1.2万</item>
      </candidateList>
      <explain>1. “0.5万-1.2万”中的单位“万”仅出现在后一个数字上，容易引起歧义；根据《现代汉语标点符号数字用法规范手册》，数字表示范围两边需要使用统一的格式。2.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4426B384</paraID>
      <start>121</start>
      <end>130</end>
      <status>ignored</status>
      <modifiedWord/>
      <trackRevisions>false</trackRevisions>
    </reviewItem>
    <reviewItem>
      <errorID>f6aeac51-9f93-4a16-ba6b-841701a36a43</errorID>
      <errorWord>，</errorWord>
      <group>L1_Word</group>
      <groupName>字词问题</groupName>
      <ability>L2_Typo</ability>
      <abilityName>字词错误</abilityName>
      <candidateList>
        <item>，以</item>
      </candidateList>
      <explain/>
      <paraID>1882EB0C</paraID>
      <start>56</start>
      <end>57</end>
      <status>ignored</status>
      <modifiedWord/>
      <trackRevisions>false</trackRevisions>
    </reviewItem>
    <reviewItem>
      <errorID>8152ecec-7718-49ae-9524-ae04dfa71d44</errorID>
      <errorWord>次级</errorWord>
      <group>L1_Word</group>
      <groupName>字词问题</groupName>
      <ability>L2_Typo</ability>
      <abilityName>字词错误</abilityName>
      <candidateList>
        <item>级</item>
      </candidateList>
      <explain/>
      <paraID>6CEBFB33</paraID>
      <start>63</start>
      <end>65</end>
      <status>ignored</status>
      <modifiedWord/>
      <trackRevisions>false</trackRevisions>
    </reviewItem>
    <reviewItem>
      <errorID>ae621323-befd-4f3a-8c95-77670bb97bf3</errorID>
      <errorWord>辽宁省公路管理条例</errorWord>
      <group>L1_Knowledge</group>
      <groupName>知识性问题</groupName>
      <ability>L2_Knowledge</ability>
      <abilityName>其他知识</abilityName>
      <candidateList>
        <item>辽宁省高速公路管理条例</item>
      </candidateList>
      <explain>当前法律法规未收录或尚未生效，注意核查是否正确。</explain>
      <paraID>6BEF3392</paraID>
      <start>50</start>
      <end>59</end>
      <status>ignored</status>
      <modifiedWord/>
      <trackRevisions>false</trackRevisions>
    </reviewItem>
    <reviewItem>
      <errorID>f00ac32d-629b-4417-9f7e-09f401de2deb</errorID>
      <errorWord>，</errorWord>
      <group>L1_Word</group>
      <groupName>字词问题</groupName>
      <ability>L2_Typo</ability>
      <abilityName>字词错误</abilityName>
      <candidateList>
        <item>，将</item>
      </candidateList>
      <explain/>
      <paraID>17AA4DF5</paraID>
      <start>66</start>
      <end>67</end>
      <status>ignored</status>
      <modifiedWord/>
      <trackRevisions>false</trackRevisions>
    </reviewItem>
    <reviewItem>
      <errorID>d5f073e9-f50e-4990-842a-b31339b99c7d</errorID>
      <errorWord>档距</errorWord>
      <group>L1_Word</group>
      <groupName>字词问题</groupName>
      <ability>L2_Typo</ability>
      <abilityName>字词错误</abilityName>
      <candidateList>
        <item>挡距</item>
      </candidateList>
      <explain/>
      <paraID>369BD6F6</paraID>
      <start>52</start>
      <end>54</end>
      <status>ignored</status>
      <modifiedWord/>
      <trackRevisions>false</trackRevisions>
    </reviewItem>
    <reviewItem>
      <errorID>ec21252c-3f57-4c19-a5ce-4016a51633d7</errorID>
      <errorWord>减小</errorWord>
      <group>L1_Word</group>
      <groupName>字词问题</groupName>
      <ability>L2_Typo</ability>
      <abilityName>字词错误</abilityName>
      <candidateList>
        <item>减少</item>
      </candidateList>
      <explain>存在字形相近字词的误用。</explain>
      <paraID>14C60BC2</paraID>
      <start>198</start>
      <end>200</end>
      <status>ignored</status>
      <modifiedWord/>
      <trackRevisions>false</trackRevisions>
    </reviewItem>
    <reviewItem>
      <errorID>0084bc9a-21cf-4f0f-9258-eaaf2c9759d5</errorID>
      <errorWord>，</errorWord>
      <group>L1_Word</group>
      <groupName>字词问题</groupName>
      <ability>L2_Typo</ability>
      <abilityName>字词错误</abilityName>
      <candidateList>
        <item>，在</item>
      </candidateList>
      <explain/>
      <paraID>14C60BC2</paraID>
      <start>249</start>
      <end>250</end>
      <status>ignored</status>
      <modifiedWord/>
      <trackRevisions>false</trackRevisions>
    </reviewItem>
    <reviewItem>
      <errorID>15c7e407-7e89-4376-8849-ce271f04c5b8</errorID>
      <errorWord>，</errorWord>
      <group>L1_Word</group>
      <groupName>字词问题</groupName>
      <ability>L2_Typo</ability>
      <abilityName>字词错误</abilityName>
      <candidateList>
        <item>，农</item>
      </candidateList>
      <explain/>
      <paraID>7EFE5C20</paraID>
      <start>73</start>
      <end>74</end>
      <status>ignored</status>
      <modifiedWord/>
      <trackRevisions>false</trackRevisions>
    </reviewItem>
    <reviewItem>
      <errorID>4de299a4-8bce-41d3-9ddd-b856bf76a000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7EFE5C20</paraID>
      <start>288</start>
      <end>289</end>
      <status>ignored</status>
      <modifiedWord/>
      <trackRevisions>false</trackRevisions>
    </reviewItem>
    <reviewItem>
      <errorID>16310d8a-b84f-4eb5-a802-b99baf06b431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7EFE5C20</paraID>
      <start>310</start>
      <end>311</end>
      <status>ignored</status>
      <modifiedWord/>
      <trackRevisions>false</trackRevisions>
    </reviewItem>
    <reviewItem>
      <errorID>5fc50b56-1568-4788-a8ac-955e11e5b6d8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7EFE5C20</paraID>
      <start>333</start>
      <end>334</end>
      <status>ignored</status>
      <modifiedWord/>
      <trackRevisions>false</trackRevisions>
    </reviewItem>
    <reviewItem>
      <errorID>b8024ea4-401e-4658-804a-32831e81b43e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7EFE5C20</paraID>
      <start>355</start>
      <end>356</end>
      <status>ignored</status>
      <modifiedWord/>
      <trackRevisions>false</trackRevisions>
    </reviewItem>
    <reviewItem>
      <errorID>93414dd1-89cc-4a47-bc5a-3ef28591ec0b</errorID>
      <errorWord>公用</errorWord>
      <group>L1_Word</group>
      <groupName>字词问题</groupName>
      <ability>L2_Typo</ability>
      <abilityName>字词错误</abilityName>
      <candidateList>
        <item>公共</item>
      </candidateList>
      <explain>存在发音相近字词的误用。</explain>
      <paraID>7EFE5C20</paraID>
      <start>411</start>
      <end>413</end>
      <status>ignored</status>
      <modifiedWord/>
      <trackRevisions>false</trackRevisions>
    </reviewItem>
    <reviewItem>
      <errorID>9d9179b9-54ef-4ad2-8b59-98b94bd8627c</errorID>
      <errorWord>-</errorWord>
      <group>L1_Format</group>
      <groupName>格式问题</groupName>
      <ability>L2_HalfPunc</ability>
      <abilityName>全半角检查</abilityName>
      <candidateList>
        <item>－</item>
      </candidateList>
      <explain>文本全半角错误。</explain>
      <paraID>6A3F3F68</paraID>
      <start>88</start>
      <end>89</end>
      <status>ignored</status>
      <modifiedWord/>
      <trackRevisions>false</trackRevisions>
    </reviewItem>
    <reviewItem>
      <errorID>16e1bc89-a111-4083-a21c-4b4a28b9d829</errorID>
      <errorWord>-</errorWord>
      <group>L1_Format</group>
      <groupName>格式问题</groupName>
      <ability>L2_HalfPunc</ability>
      <abilityName>全半角检查</abilityName>
      <candidateList>
        <item>－</item>
      </candidateList>
      <explain>文本全半角错误。</explain>
      <paraID>4EFB42F2</paraID>
      <start>43</start>
      <end>44</end>
      <status>ignored</status>
      <modifiedWord/>
      <trackRevisions>false</trackRevisions>
    </reviewItem>
    <reviewItem>
      <errorID>d8e7f512-28bd-411e-bac6-679292d243e7</errorID>
      <errorWord>、</errorWord>
      <group>L1_Word</group>
      <groupName>字词问题</groupName>
      <ability>L2_Typo</ability>
      <abilityName>字词错误</abilityName>
      <candidateList>
        <item>、场</item>
      </candidateList>
      <explain/>
      <paraID>   5A1F0</paraID>
      <start>181</start>
      <end>182</end>
      <status>ignored</status>
      <modifiedWord/>
      <trackRevisions>false</trackRevisions>
    </reviewItem>
    <reviewItem>
      <errorID>e1286adf-9887-4428-b90c-4f9757af351d</errorID>
      <errorWord>以</errorWord>
      <group>L1_Word</group>
      <groupName>字词问题</groupName>
      <ability>L2_Typo</ability>
      <abilityName>字词错误</abilityName>
      <candidateList>
        <item>以在</item>
      </candidateList>
      <explain/>
      <paraID> EE58985</paraID>
      <start>29</start>
      <end>30</end>
      <status>ignored</status>
      <modifiedWord/>
      <trackRevisions>false</trackRevisions>
    </reviewItem>
    <reviewItem>
      <errorID>3e851199-2cd9-4f22-a5df-c79997a066ad</errorID>
      <errorWord>党委政府</errorWord>
      <group>L1_Political</group>
      <groupName>政治性问题</groupName>
      <ability>L2_Keyword</ability>
      <abilityName>固定表述</abilityName>
      <candidateList>
        <item>党委、政府</item>
      </candidateList>
      <explain>注意检查当前固定表述标点是否使用规范。</explain>
      <paraID>33DA42FD</paraID>
      <start>89</start>
      <end>93</end>
      <status>ignored</status>
      <modifiedWord/>
      <trackRevisions>false</trackRevisions>
    </reviewItem>
    <reviewItem>
      <errorID>e60a7706-fe8f-4626-8df2-20c3afb6c595</errorID>
      <errorWord>曽</errorWord>
      <group>L1_Word</group>
      <groupName>字词问题</groupName>
      <ability>L2_Variant</ability>
      <abilityName>异形词</abilityName>
      <candidateList>
        <item>曾</item>
      </candidateList>
      <explain>词汇[曽]的规范词形写作[曾]。</explain>
      <paraID>110ADECB</paraID>
      <start>81</start>
      <end>82</end>
      <status>ignored</status>
      <modifiedWord/>
      <trackRevisions>false</trackRevisions>
    </reviewItem>
    <reviewItem>
      <errorID>9be98b30-4be4-4ff1-81ac-772cc565e4b4</errorID>
      <errorWord>台</errorWord>
      <group>L1_Word</group>
      <groupName>字词问题</groupName>
      <ability>L2_Typo</ability>
      <abilityName>字词错误</abilityName>
      <candidateList>
        <item>台村</item>
      </candidateList>
      <explain/>
      <paraID>110ADECB</paraID>
      <start>141</start>
      <end>142</end>
      <status>ignored</status>
      <modifiedWord/>
      <trackRevisions>false</trackRevisions>
    </reviewItem>
    <reviewItem>
      <errorID>7f7a0e1c-7eda-44f6-84f9-a3484fd08e4f</errorID>
      <errorWord>曽</errorWord>
      <group>L1_Word</group>
      <groupName>字词问题</groupName>
      <ability>L2_Variant</ability>
      <abilityName>异形词</abilityName>
      <candidateList>
        <item>曾</item>
      </candidateList>
      <explain>词汇[曽]的规范词形写作[曾]。</explain>
      <paraID>612BDDD8</paraID>
      <start>0</start>
      <end>1</end>
      <status>ignored</status>
      <modifiedWord/>
      <trackRevisions>false</trackRevisions>
    </reviewItem>
    <reviewItem>
      <errorID>5c2d1809-ef96-4ac3-ad00-b5963cf65d31</errorID>
      <errorWord>编制单元</errorWord>
      <group>L1_Knowledge</group>
      <groupName>知识性问题</groupName>
      <ability>L2_Term</ability>
      <abilityName>专业术语</abilityName>
      <candidateList>
        <item>控制单元</item>
      </candidateList>
      <explain/>
      <paraID>5D9F5D0A</paraID>
      <start>4</start>
      <end>8</end>
      <status>ignored</status>
      <modifiedWord/>
      <trackRevisions>false</trackRevisions>
    </reviewItem>
    <reviewItem>
      <errorID>fef5c11d-931f-432d-9e91-bef6b8e9586f</errorID>
      <errorWord>，</errorWord>
      <group>L1_Word</group>
      <groupName>字词问题</groupName>
      <ability>L2_Typo</ability>
      <abilityName>字词错误</abilityName>
      <candidateList>
        <item>，以</item>
      </candidateList>
      <explain/>
      <paraID>7B677605</paraID>
      <start>308</start>
      <end>309</end>
      <status>ignored</status>
      <modifiedWord/>
      <trackRevisions>false</trackRevisions>
    </reviewItem>
    <reviewItem>
      <errorID>5d7e9996-ce7f-437e-935a-c147fea9b11f</errorID>
      <errorWord>设</errorWord>
      <group>L1_Word</group>
      <groupName>字词问题</groupName>
      <ability>L2_Typo</ability>
      <abilityName>字词错误</abilityName>
      <candidateList>
        <item>设完</item>
      </candidateList>
      <explain/>
      <paraID>4EDF8664</paraID>
      <start>158</start>
      <end>159</end>
      <status>ignored</status>
      <modifiedWord/>
      <trackRevisions>false</trackRevisions>
    </reviewItem>
    <reviewItem>
      <errorID>6ca98b04-9aa6-48c3-922e-8682b81d72b4</errorID>
      <errorWord>精神文体生活</errorWord>
      <group>L1_Word</group>
      <groupName>字词问题</groupName>
      <ability>L2_Typo</ability>
      <abilityName>字词错误</abilityName>
      <candidateList>
        <item>精神文化生活</item>
      </candidateList>
      <explain/>
      <paraID>4EDF8664</paraID>
      <start>174</start>
      <end>180</end>
      <status>ignored</status>
      <modifiedWord/>
      <trackRevisions>false</trackRevisions>
    </reviewItem>
    <reviewItem>
      <errorID>9fc1c331-4a66-4644-9512-5b828a3d477d</errorID>
      <errorWord>中类</errorWord>
      <group>L1_Word</group>
      <groupName>字词问题</groupName>
      <ability>L2_Typo</ability>
      <abilityName>字词错误</abilityName>
      <candidateList>
        <item>种类</item>
      </candidateList>
      <explain/>
      <paraID>2558C17F</paraID>
      <start>2</start>
      <end>4</end>
      <status>ignored</status>
      <modifiedWord/>
      <trackRevisions>false</trackRevisions>
    </reviewItem>
    <reviewItem>
      <errorID>60a20b45-dd82-47d3-9fd2-e0538e7c002a</errorID>
      <errorWord>禽畜</errorWord>
      <group>L1_Word</group>
      <groupName>字词问题</groupName>
      <ability>L2_Typo</ability>
      <abilityName>字词错误</abilityName>
      <candidateList>
        <item>畜禽</item>
      </candidateList>
      <explain/>
      <paraID>59A97956</paraID>
      <start>195</start>
      <end>197</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DA59BC-DEEE-4A37-B58C-1CF1614102A4}">
  <ds:schemaRefs/>
</ds:datastoreItem>
</file>

<file path=customXml/itemProps3.xml><?xml version="1.0" encoding="utf-8"?>
<ds:datastoreItem xmlns:ds="http://schemas.openxmlformats.org/officeDocument/2006/customXml" ds:itemID="{ebe15c46-4cc7-48fe-aedd-1621c3c4075d}">
  <ds:schemaRefs/>
</ds:datastoreItem>
</file>

<file path=docProps/app.xml><?xml version="1.0" encoding="utf-8"?>
<Properties xmlns="http://schemas.openxmlformats.org/officeDocument/2006/extended-properties" xmlns:vt="http://schemas.openxmlformats.org/officeDocument/2006/docPropsVTypes">
  <Template>Normal.dotm</Template>
  <Pages>110</Pages>
  <Words>10598</Words>
  <Characters>11361</Characters>
  <Lines>413</Lines>
  <Paragraphs>116</Paragraphs>
  <TotalTime>1</TotalTime>
  <ScaleCrop>false</ScaleCrop>
  <LinksUpToDate>false</LinksUpToDate>
  <CharactersWithSpaces>11612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2024-08-26T00:44:00Z</dcterms:created>
  <dc:creator>JonMMx 2000</dc:creator>
  <cp:lastModifiedBy>杨起</cp:lastModifiedBy>
  <cp:lastPrinted>2024-10-22T12:31:00Z</cp:lastPrinted>
  <dcterms:modified xsi:type="dcterms:W3CDTF">2026-03-24T07:19:54Z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71D66EB5011B4C08A1553D06BAF4AD5E_13</vt:lpwstr>
  </property>
  <property fmtid="{D5CDD505-2E9C-101B-9397-08002B2CF9AE}" pid="4" name="KSOTemplateDocerSaveRecord">
    <vt:lpwstr>eyJoZGlkIjoiOGQzMDYwYTU2NDdjMDE1YjIxNmRiZGU2ZDFkZmVlNmYiLCJ1c2VySWQiOiIxNDkzNjE0MzUyIn0=</vt:lpwstr>
  </property>
</Properties>
</file>