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CCCE">
      <w:pPr>
        <w:spacing w:line="240" w:lineRule="auto"/>
        <w:ind w:firstLine="0" w:firstLineChars="0"/>
        <w:jc w:val="left"/>
        <w:rPr>
          <w:rFonts w:eastAsia="楷体_GB2312" w:cs="Times New Roman"/>
          <w:kern w:val="0"/>
          <w:sz w:val="20"/>
          <w:szCs w:val="20"/>
        </w:rPr>
      </w:pPr>
    </w:p>
    <w:p w14:paraId="525B1915">
      <w:pPr>
        <w:pStyle w:val="68"/>
        <w:rPr>
          <w:rFonts w:hint="eastAsia"/>
        </w:rPr>
      </w:pPr>
    </w:p>
    <w:p w14:paraId="0BDE0E68">
      <w:pPr>
        <w:spacing w:line="240" w:lineRule="auto"/>
        <w:ind w:firstLine="0" w:firstLineChars="0"/>
        <w:jc w:val="center"/>
        <w:rPr>
          <w:rFonts w:hint="eastAsia" w:ascii="方正小标宋_GBK" w:hAnsi="方正小标宋_GBK" w:eastAsia="方正小标宋_GBK"/>
          <w:kern w:val="0"/>
          <w:sz w:val="52"/>
          <w:szCs w:val="52"/>
        </w:rPr>
      </w:pPr>
    </w:p>
    <w:p w14:paraId="43B4FDF4">
      <w:pPr>
        <w:spacing w:line="240" w:lineRule="auto"/>
        <w:ind w:firstLine="0" w:firstLineChars="0"/>
        <w:jc w:val="both"/>
        <w:rPr>
          <w:rFonts w:hint="eastAsia" w:ascii="方正小标宋_GBK" w:hAnsi="方正小标宋_GBK" w:eastAsia="方正小标宋_GBK" w:cs="方正小标宋_GBK"/>
          <w:kern w:val="0"/>
          <w:sz w:val="52"/>
          <w:szCs w:val="52"/>
        </w:rPr>
      </w:pPr>
    </w:p>
    <w:p w14:paraId="5D1422F5">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桓仁满族自治县华来镇国土空间</w:t>
      </w:r>
    </w:p>
    <w:p w14:paraId="688DF7BA">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总体规划</w:t>
      </w:r>
    </w:p>
    <w:p w14:paraId="29659BE6">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（2021—2035年）</w:t>
      </w:r>
    </w:p>
    <w:p w14:paraId="3A1A8DAA">
      <w:pPr>
        <w:spacing w:line="240" w:lineRule="auto"/>
        <w:ind w:firstLine="0" w:firstLineChars="0"/>
        <w:jc w:val="left"/>
        <w:rPr>
          <w:rFonts w:hint="eastAsia" w:ascii="楷体_GB2312" w:hAnsi="楷体_GB2312" w:eastAsia="楷体_GB2312" w:cs="楷体_GB2312"/>
          <w:kern w:val="0"/>
          <w:sz w:val="36"/>
          <w:szCs w:val="36"/>
        </w:rPr>
      </w:pPr>
    </w:p>
    <w:p w14:paraId="27B974B2">
      <w:pPr>
        <w:spacing w:line="240" w:lineRule="auto"/>
        <w:ind w:firstLine="0" w:firstLineChars="0"/>
        <w:jc w:val="left"/>
        <w:rPr>
          <w:rFonts w:hint="eastAsia" w:ascii="楷体_GB2312" w:hAnsi="楷体_GB2312" w:eastAsia="楷体_GB2312" w:cs="楷体_GB2312"/>
          <w:kern w:val="0"/>
          <w:sz w:val="36"/>
          <w:szCs w:val="36"/>
        </w:rPr>
      </w:pPr>
    </w:p>
    <w:p w14:paraId="10BEA483">
      <w:pPr>
        <w:spacing w:line="240" w:lineRule="auto"/>
        <w:ind w:firstLine="0" w:firstLineChars="0"/>
        <w:jc w:val="left"/>
        <w:rPr>
          <w:rFonts w:hint="eastAsia" w:ascii="楷体_GB2312" w:hAnsi="楷体_GB2312" w:eastAsia="楷体_GB2312" w:cs="楷体_GB2312"/>
          <w:kern w:val="0"/>
          <w:sz w:val="36"/>
          <w:szCs w:val="36"/>
        </w:rPr>
      </w:pPr>
    </w:p>
    <w:p w14:paraId="7CB9F2E1">
      <w:pPr>
        <w:spacing w:line="240" w:lineRule="auto"/>
        <w:ind w:firstLine="0" w:firstLineChars="0"/>
        <w:jc w:val="left"/>
        <w:rPr>
          <w:rFonts w:hint="eastAsia" w:ascii="楷体_GB2312" w:hAnsi="楷体_GB2312" w:eastAsia="楷体_GB2312" w:cs="楷体_GB2312"/>
          <w:kern w:val="0"/>
          <w:sz w:val="36"/>
          <w:szCs w:val="36"/>
        </w:rPr>
      </w:pPr>
    </w:p>
    <w:p w14:paraId="04A791E9">
      <w:pPr>
        <w:spacing w:line="240" w:lineRule="auto"/>
        <w:ind w:firstLine="0" w:firstLineChars="0"/>
        <w:jc w:val="left"/>
        <w:rPr>
          <w:rFonts w:hint="eastAsia" w:ascii="楷体_GB2312" w:hAnsi="楷体_GB2312" w:eastAsia="楷体_GB2312" w:cs="楷体_GB2312"/>
          <w:kern w:val="0"/>
          <w:sz w:val="36"/>
          <w:szCs w:val="36"/>
        </w:rPr>
      </w:pPr>
    </w:p>
    <w:p w14:paraId="2B9547FA">
      <w:pPr>
        <w:spacing w:line="240" w:lineRule="auto"/>
        <w:ind w:firstLine="0" w:firstLineChars="0"/>
        <w:jc w:val="left"/>
        <w:rPr>
          <w:rFonts w:hint="eastAsia" w:ascii="楷体_GB2312" w:hAnsi="楷体_GB2312" w:eastAsia="楷体_GB2312" w:cs="楷体_GB2312"/>
          <w:kern w:val="0"/>
          <w:sz w:val="36"/>
          <w:szCs w:val="36"/>
        </w:rPr>
      </w:pPr>
    </w:p>
    <w:p w14:paraId="18F6FB5E">
      <w:pPr>
        <w:spacing w:line="240" w:lineRule="auto"/>
        <w:ind w:firstLine="0" w:firstLineChars="0"/>
        <w:jc w:val="left"/>
        <w:rPr>
          <w:rFonts w:hint="eastAsia" w:ascii="楷体_GB2312" w:hAnsi="楷体_GB2312" w:eastAsia="楷体_GB2312" w:cs="楷体_GB2312"/>
          <w:kern w:val="0"/>
          <w:sz w:val="36"/>
          <w:szCs w:val="36"/>
        </w:rPr>
      </w:pPr>
    </w:p>
    <w:p w14:paraId="56160BCE">
      <w:pPr>
        <w:spacing w:line="240" w:lineRule="auto"/>
        <w:ind w:firstLine="0" w:firstLineChars="0"/>
        <w:jc w:val="left"/>
        <w:rPr>
          <w:rFonts w:hint="eastAsia" w:ascii="楷体_GB2312" w:hAnsi="楷体_GB2312" w:eastAsia="楷体_GB2312" w:cs="楷体_GB2312"/>
          <w:kern w:val="0"/>
          <w:sz w:val="36"/>
          <w:szCs w:val="36"/>
        </w:rPr>
      </w:pPr>
    </w:p>
    <w:p w14:paraId="26CFC2B1">
      <w:pPr>
        <w:spacing w:line="240" w:lineRule="auto"/>
        <w:ind w:firstLine="0" w:firstLineChars="0"/>
        <w:jc w:val="left"/>
        <w:rPr>
          <w:rFonts w:hint="eastAsia" w:ascii="楷体_GB2312" w:hAnsi="楷体_GB2312" w:eastAsia="楷体_GB2312" w:cs="楷体_GB2312"/>
          <w:kern w:val="0"/>
          <w:sz w:val="36"/>
          <w:szCs w:val="36"/>
        </w:rPr>
      </w:pPr>
    </w:p>
    <w:p w14:paraId="0B6CC683">
      <w:pPr>
        <w:spacing w:line="240" w:lineRule="auto"/>
        <w:ind w:firstLine="0" w:firstLineChars="0"/>
        <w:jc w:val="center"/>
        <w:rPr>
          <w:rFonts w:eastAsia="楷体_GB2312"/>
          <w:szCs w:val="32"/>
        </w:rPr>
      </w:pPr>
    </w:p>
    <w:p w14:paraId="67084AA2">
      <w:pPr>
        <w:spacing w:line="240" w:lineRule="auto"/>
        <w:ind w:firstLine="0" w:firstLineChars="0"/>
        <w:rPr>
          <w:rFonts w:eastAsia="楷体_GB2312"/>
          <w:szCs w:val="32"/>
        </w:rPr>
      </w:pPr>
    </w:p>
    <w:p w14:paraId="442407C9">
      <w:pPr>
        <w:spacing w:line="240" w:lineRule="auto"/>
        <w:ind w:firstLine="0" w:firstLineChars="0"/>
        <w:rPr>
          <w:rFonts w:eastAsia="楷体_GB2312"/>
          <w:szCs w:val="32"/>
        </w:rPr>
      </w:pPr>
    </w:p>
    <w:p w14:paraId="354B892E">
      <w:pPr>
        <w:spacing w:line="240" w:lineRule="auto"/>
        <w:ind w:firstLine="0" w:firstLineChars="0"/>
        <w:rPr>
          <w:rFonts w:eastAsia="楷体_GB2312"/>
          <w:szCs w:val="32"/>
        </w:rPr>
      </w:pPr>
    </w:p>
    <w:p w14:paraId="2DDA776A">
      <w:pPr>
        <w:adjustRightInd w:val="0"/>
        <w:snapToGrid w:val="0"/>
        <w:spacing w:line="240" w:lineRule="auto"/>
        <w:ind w:firstLine="0" w:firstLineChars="0"/>
        <w:jc w:val="center"/>
        <w:rPr>
          <w:rFonts w:eastAsia="楷体_GB2312" w:cs="Times New Roman"/>
          <w:color w:val="000000"/>
          <w:szCs w:val="32"/>
        </w:rPr>
      </w:pPr>
    </w:p>
    <w:p w14:paraId="3123DED9">
      <w:pPr>
        <w:spacing w:line="240" w:lineRule="auto"/>
        <w:ind w:firstLine="0" w:firstLineChars="0"/>
        <w:jc w:val="center"/>
        <w:rPr>
          <w:rFonts w:eastAsia="楷体_GB2312" w:cs="Times New Roman"/>
          <w:b w:val="0"/>
          <w:bCs w:val="0"/>
          <w:color w:val="000000"/>
          <w:szCs w:val="32"/>
        </w:rPr>
      </w:pPr>
      <w:r>
        <w:rPr>
          <w:rFonts w:hint="eastAsia" w:eastAsia="楷体_GB2312" w:cs="Times New Roman"/>
          <w:color w:val="000000"/>
          <w:szCs w:val="32"/>
        </w:rPr>
        <w:t>桓仁满族自治县</w:t>
      </w:r>
      <w:r>
        <w:rPr>
          <w:rFonts w:hint="eastAsia" w:eastAsia="楷体_GB2312" w:cs="Times New Roman"/>
          <w:b w:val="0"/>
          <w:bCs w:val="0"/>
          <w:color w:val="000000"/>
          <w:szCs w:val="32"/>
        </w:rPr>
        <w:t>华来镇人民政府</w:t>
      </w:r>
    </w:p>
    <w:p w14:paraId="4828ED4B">
      <w:pPr>
        <w:spacing w:line="240" w:lineRule="auto"/>
        <w:ind w:firstLine="0" w:firstLineChars="0"/>
        <w:jc w:val="center"/>
        <w:rPr>
          <w:rFonts w:hint="eastAsia" w:ascii="Times New Roman" w:hAnsi="Times New Roman" w:eastAsia="楷体_GB2312" w:cs="Times New Roman"/>
          <w:color w:val="000000"/>
          <w:sz w:val="32"/>
          <w:szCs w:val="32"/>
        </w:rPr>
      </w:pPr>
      <w:r>
        <w:rPr>
          <w:rFonts w:hint="eastAsia" w:eastAsia="楷体_GB2312" w:cs="Times New Roman"/>
          <w:b w:val="0"/>
          <w:bCs w:val="0"/>
          <w:color w:val="000000"/>
          <w:szCs w:val="32"/>
        </w:rPr>
        <w:t>2025年</w:t>
      </w:r>
      <w:r>
        <w:rPr>
          <w:rFonts w:hint="eastAsia" w:eastAsia="楷体_GB2312" w:cs="Times New Roman"/>
          <w:color w:val="000000"/>
          <w:szCs w:val="32"/>
        </w:rPr>
        <w:t>12</w:t>
      </w:r>
      <w:r>
        <w:rPr>
          <w:rFonts w:hint="eastAsia" w:eastAsia="楷体_GB2312" w:cs="Times New Roman"/>
          <w:b w:val="0"/>
          <w:bCs w:val="0"/>
          <w:color w:val="000000"/>
          <w:szCs w:val="32"/>
        </w:rPr>
        <w:t>月</w:t>
      </w:r>
    </w:p>
    <w:p w14:paraId="65243481">
      <w:pPr>
        <w:pStyle w:val="68"/>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491" w:right="1809" w:bottom="991" w:left="1800" w:header="720" w:footer="992" w:gutter="0"/>
          <w:cols w:space="720" w:num="1"/>
          <w:titlePg/>
          <w:docGrid w:linePitch="435" w:charSpace="0"/>
        </w:sectPr>
      </w:pPr>
    </w:p>
    <w:p w14:paraId="38FF2609">
      <w:pPr>
        <w:pStyle w:val="68"/>
        <w:rPr>
          <w:rFonts w:hint="eastAsia"/>
        </w:rPr>
      </w:pPr>
    </w:p>
    <w:p w14:paraId="2F62F3B3">
      <w:pPr>
        <w:pStyle w:val="68"/>
        <w:rPr>
          <w:rFonts w:hint="eastAsia"/>
        </w:rPr>
      </w:pPr>
    </w:p>
    <w:p w14:paraId="54A3FA82">
      <w:pPr>
        <w:spacing w:line="240" w:lineRule="auto"/>
        <w:ind w:firstLine="0" w:firstLineChars="0"/>
        <w:jc w:val="both"/>
        <w:rPr>
          <w:rFonts w:hint="eastAsia" w:ascii="方正小标宋简体" w:hAnsi="方正小标宋简体" w:eastAsia="方正小标宋简体" w:cs="方正小标宋简体"/>
          <w:kern w:val="0"/>
          <w:sz w:val="52"/>
          <w:szCs w:val="52"/>
        </w:rPr>
      </w:pPr>
    </w:p>
    <w:p w14:paraId="4FDF84C4">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桓仁满族自治县华来镇国土空间</w:t>
      </w:r>
    </w:p>
    <w:p w14:paraId="4CF52DB7">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总体规划</w:t>
      </w:r>
    </w:p>
    <w:p w14:paraId="74E7AF80">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（2021—2035年）</w:t>
      </w:r>
    </w:p>
    <w:p w14:paraId="7744C286">
      <w:pPr>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（说 明 书）</w:t>
      </w:r>
    </w:p>
    <w:p w14:paraId="22C4B194">
      <w:pPr>
        <w:spacing w:line="240" w:lineRule="auto"/>
        <w:ind w:firstLine="0" w:firstLineChars="0"/>
        <w:jc w:val="left"/>
        <w:rPr>
          <w:rFonts w:hint="eastAsia" w:ascii="楷体_GB2312" w:hAnsi="楷体_GB2312" w:eastAsia="楷体_GB2312" w:cs="楷体_GB2312"/>
          <w:kern w:val="0"/>
          <w:sz w:val="36"/>
          <w:szCs w:val="36"/>
        </w:rPr>
      </w:pPr>
    </w:p>
    <w:p w14:paraId="6EDD386E">
      <w:pPr>
        <w:spacing w:line="240" w:lineRule="auto"/>
        <w:ind w:firstLine="0" w:firstLineChars="0"/>
        <w:jc w:val="left"/>
        <w:rPr>
          <w:rFonts w:hint="eastAsia" w:ascii="楷体_GB2312" w:hAnsi="楷体_GB2312" w:eastAsia="楷体_GB2312" w:cs="楷体_GB2312"/>
          <w:kern w:val="0"/>
          <w:sz w:val="36"/>
          <w:szCs w:val="36"/>
        </w:rPr>
      </w:pPr>
    </w:p>
    <w:p w14:paraId="37CAC09C">
      <w:pPr>
        <w:spacing w:line="240" w:lineRule="auto"/>
        <w:ind w:firstLine="0" w:firstLineChars="0"/>
        <w:jc w:val="left"/>
        <w:rPr>
          <w:rFonts w:hint="eastAsia" w:ascii="楷体_GB2312" w:hAnsi="楷体_GB2312" w:eastAsia="楷体_GB2312" w:cs="楷体_GB2312"/>
          <w:kern w:val="0"/>
          <w:sz w:val="36"/>
          <w:szCs w:val="36"/>
        </w:rPr>
      </w:pPr>
    </w:p>
    <w:p w14:paraId="784BE2D5">
      <w:pPr>
        <w:spacing w:line="240" w:lineRule="auto"/>
        <w:ind w:firstLine="0" w:firstLineChars="0"/>
        <w:jc w:val="left"/>
        <w:rPr>
          <w:rFonts w:hint="eastAsia" w:ascii="楷体_GB2312" w:hAnsi="楷体_GB2312" w:eastAsia="楷体_GB2312" w:cs="楷体_GB2312"/>
          <w:kern w:val="0"/>
          <w:sz w:val="36"/>
          <w:szCs w:val="36"/>
        </w:rPr>
      </w:pPr>
    </w:p>
    <w:p w14:paraId="3D084A88">
      <w:pPr>
        <w:spacing w:line="240" w:lineRule="auto"/>
        <w:ind w:firstLine="0" w:firstLineChars="0"/>
        <w:jc w:val="left"/>
        <w:rPr>
          <w:rFonts w:hint="eastAsia" w:ascii="楷体_GB2312" w:hAnsi="楷体_GB2312" w:eastAsia="楷体_GB2312" w:cs="楷体_GB2312"/>
          <w:kern w:val="0"/>
          <w:sz w:val="36"/>
          <w:szCs w:val="36"/>
        </w:rPr>
      </w:pPr>
    </w:p>
    <w:p w14:paraId="74468E7C">
      <w:pPr>
        <w:spacing w:line="240" w:lineRule="auto"/>
        <w:ind w:firstLine="0" w:firstLineChars="0"/>
        <w:jc w:val="left"/>
        <w:rPr>
          <w:rFonts w:hint="eastAsia" w:ascii="楷体_GB2312" w:hAnsi="楷体_GB2312" w:eastAsia="楷体_GB2312" w:cs="楷体_GB2312"/>
          <w:kern w:val="0"/>
          <w:sz w:val="36"/>
          <w:szCs w:val="36"/>
        </w:rPr>
      </w:pPr>
    </w:p>
    <w:p w14:paraId="3BBD8930">
      <w:pPr>
        <w:spacing w:line="240" w:lineRule="auto"/>
        <w:ind w:firstLine="0" w:firstLineChars="0"/>
        <w:jc w:val="left"/>
        <w:rPr>
          <w:rFonts w:hint="eastAsia" w:ascii="楷体_GB2312" w:hAnsi="楷体_GB2312" w:eastAsia="楷体_GB2312" w:cs="楷体_GB2312"/>
          <w:kern w:val="0"/>
          <w:sz w:val="36"/>
          <w:szCs w:val="36"/>
        </w:rPr>
      </w:pPr>
    </w:p>
    <w:p w14:paraId="1249EE22">
      <w:pPr>
        <w:spacing w:line="240" w:lineRule="auto"/>
        <w:ind w:firstLine="0" w:firstLineChars="0"/>
        <w:jc w:val="left"/>
        <w:rPr>
          <w:rFonts w:hint="eastAsia" w:ascii="楷体_GB2312" w:hAnsi="楷体_GB2312" w:eastAsia="楷体_GB2312" w:cs="楷体_GB2312"/>
          <w:kern w:val="0"/>
          <w:sz w:val="36"/>
          <w:szCs w:val="36"/>
        </w:rPr>
      </w:pPr>
    </w:p>
    <w:p w14:paraId="39413F6E">
      <w:pPr>
        <w:spacing w:line="240" w:lineRule="auto"/>
        <w:ind w:firstLine="0" w:firstLineChars="0"/>
        <w:rPr>
          <w:rFonts w:eastAsia="楷体_GB2312"/>
          <w:szCs w:val="32"/>
        </w:rPr>
      </w:pPr>
    </w:p>
    <w:p w14:paraId="172B37D4">
      <w:pPr>
        <w:spacing w:line="240" w:lineRule="auto"/>
        <w:ind w:firstLine="0" w:firstLineChars="0"/>
        <w:jc w:val="center"/>
        <w:rPr>
          <w:rFonts w:eastAsia="楷体_GB2312" w:cs="Times New Roman"/>
          <w:color w:val="000000"/>
          <w:szCs w:val="32"/>
        </w:rPr>
      </w:pPr>
      <w:r>
        <w:rPr>
          <w:rFonts w:hint="eastAsia" w:eastAsia="楷体_GB2312" w:cs="Times New Roman"/>
          <w:color w:val="000000"/>
          <w:szCs w:val="32"/>
        </w:rPr>
        <w:t>桓仁满族自治县华来镇人民政府</w:t>
      </w:r>
    </w:p>
    <w:p w14:paraId="507C6CF8">
      <w:pPr>
        <w:ind w:firstLine="643"/>
        <w:jc w:val="center"/>
        <w:rPr>
          <w:rFonts w:eastAsia="楷体_GB2312"/>
          <w:b/>
          <w:bCs/>
          <w:szCs w:val="32"/>
        </w:rPr>
      </w:pPr>
      <w:r>
        <w:rPr>
          <w:rFonts w:hint="eastAsia" w:eastAsia="楷体_GB2312" w:cs="Times New Roman"/>
          <w:color w:val="000000"/>
          <w:szCs w:val="32"/>
        </w:rPr>
        <w:t>2025年12月</w:t>
      </w:r>
    </w:p>
    <w:p w14:paraId="5D8486E0">
      <w:pPr>
        <w:ind w:firstLine="800"/>
        <w:jc w:val="center"/>
        <w:rPr>
          <w:rFonts w:eastAsia="方正小标宋简体" w:cs="Times New Roman"/>
          <w:sz w:val="40"/>
          <w:szCs w:val="40"/>
        </w:rPr>
      </w:pPr>
    </w:p>
    <w:p w14:paraId="4F5E5AFE">
      <w:pPr>
        <w:ind w:firstLine="800"/>
        <w:jc w:val="center"/>
        <w:rPr>
          <w:rFonts w:eastAsia="方正小标宋简体" w:cs="Times New Roman"/>
          <w:sz w:val="40"/>
          <w:szCs w:val="40"/>
        </w:rPr>
      </w:pPr>
    </w:p>
    <w:p w14:paraId="506D3943">
      <w:pPr>
        <w:ind w:firstLine="800"/>
        <w:jc w:val="center"/>
        <w:rPr>
          <w:rFonts w:eastAsia="方正小标宋简体" w:cs="Times New Roman"/>
          <w:sz w:val="40"/>
          <w:szCs w:val="40"/>
        </w:rPr>
      </w:pPr>
      <w:r>
        <w:rPr>
          <w:rFonts w:eastAsia="方正小标宋简体" w:cs="Times New Roman"/>
          <w:sz w:val="40"/>
          <w:szCs w:val="40"/>
        </w:rPr>
        <w:t>目  录</w:t>
      </w:r>
    </w:p>
    <w:p w14:paraId="093AB102">
      <w:pPr>
        <w:ind w:firstLine="720"/>
        <w:jc w:val="center"/>
        <w:rPr>
          <w:rFonts w:eastAsia="方正小标宋简体" w:cs="Times New Roman"/>
          <w:sz w:val="36"/>
          <w:szCs w:val="36"/>
        </w:rPr>
      </w:pPr>
    </w:p>
    <w:p w14:paraId="4D01B9AE">
      <w:pPr>
        <w:pStyle w:val="13"/>
        <w:tabs>
          <w:tab w:val="right" w:leader="dot" w:pos="8312"/>
          <w:tab w:val="clear" w:pos="8302"/>
        </w:tabs>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rPr>
          <w:rFonts w:eastAsia="黑体" w:cs="Times New Roman"/>
        </w:rPr>
        <w:fldChar w:fldCharType="begin"/>
      </w:r>
      <w:r>
        <w:rPr>
          <w:rFonts w:eastAsia="黑体" w:cs="Times New Roman"/>
        </w:rPr>
        <w:instrText xml:space="preserve"> HYPERLINK \l _Toc5940 </w:instrText>
      </w:r>
      <w:r>
        <w:rPr>
          <w:rFonts w:eastAsia="黑体" w:cs="Times New Roman"/>
        </w:rPr>
        <w:fldChar w:fldCharType="separate"/>
      </w:r>
      <w:r>
        <w:rPr>
          <w:rFonts w:ascii="Times New Roman" w:hAnsi="Times New Roman" w:cs="Times New Roman"/>
        </w:rPr>
        <w:t>第一章 总 则</w:t>
      </w:r>
      <w:r>
        <w:tab/>
      </w:r>
      <w:r>
        <w:fldChar w:fldCharType="begin"/>
      </w:r>
      <w:r>
        <w:instrText xml:space="preserve"> PAGEREF _Toc5940 \h </w:instrText>
      </w:r>
      <w:r>
        <w:fldChar w:fldCharType="separate"/>
      </w:r>
      <w:r>
        <w:t>1</w:t>
      </w:r>
      <w:r>
        <w:fldChar w:fldCharType="end"/>
      </w:r>
      <w:r>
        <w:rPr>
          <w:rFonts w:eastAsia="黑体" w:cs="Times New Roman"/>
        </w:rPr>
        <w:fldChar w:fldCharType="end"/>
      </w:r>
    </w:p>
    <w:p w14:paraId="0E052E5D">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_Toc27626 </w:instrText>
      </w:r>
      <w:r>
        <w:rPr>
          <w:rFonts w:eastAsia="黑体" w:cs="Times New Roman"/>
        </w:rPr>
        <w:fldChar w:fldCharType="separate"/>
      </w:r>
      <w:r>
        <w:rPr>
          <w:rFonts w:ascii="Times New Roman" w:hAnsi="Times New Roman" w:cs="Times New Roman"/>
        </w:rPr>
        <w:t>第二章 发展定位与目标</w:t>
      </w:r>
      <w:r>
        <w:tab/>
      </w:r>
      <w:r>
        <w:fldChar w:fldCharType="begin"/>
      </w:r>
      <w:r>
        <w:instrText xml:space="preserve"> PAGEREF _Toc27626 \h </w:instrText>
      </w:r>
      <w:r>
        <w:fldChar w:fldCharType="separate"/>
      </w:r>
      <w:r>
        <w:t>5</w:t>
      </w:r>
      <w:r>
        <w:fldChar w:fldCharType="end"/>
      </w:r>
      <w:r>
        <w:rPr>
          <w:rFonts w:eastAsia="黑体" w:cs="Times New Roman"/>
        </w:rPr>
        <w:fldChar w:fldCharType="end"/>
      </w:r>
    </w:p>
    <w:p w14:paraId="29BD639E">
      <w:pPr>
        <w:pStyle w:val="14"/>
        <w:tabs>
          <w:tab w:val="right" w:leader="dot" w:pos="8312"/>
        </w:tabs>
      </w:pPr>
      <w:r>
        <w:rPr>
          <w:rFonts w:eastAsia="黑体" w:cs="Times New Roman"/>
        </w:rPr>
        <w:fldChar w:fldCharType="begin"/>
      </w:r>
      <w:r>
        <w:rPr>
          <w:rFonts w:eastAsia="黑体" w:cs="Times New Roman"/>
        </w:rPr>
        <w:instrText xml:space="preserve"> HYPERLINK \l _Toc16119 </w:instrText>
      </w:r>
      <w:r>
        <w:rPr>
          <w:rFonts w:eastAsia="黑体" w:cs="Times New Roman"/>
        </w:rPr>
        <w:fldChar w:fldCharType="separate"/>
      </w:r>
      <w:r>
        <w:rPr>
          <w:rFonts w:ascii="Times New Roman" w:hAnsi="Times New Roman" w:cs="Times New Roman"/>
        </w:rPr>
        <w:t>第一节 乡镇功能定位</w:t>
      </w:r>
      <w:r>
        <w:tab/>
      </w:r>
      <w:r>
        <w:fldChar w:fldCharType="begin"/>
      </w:r>
      <w:r>
        <w:instrText xml:space="preserve"> PAGEREF _Toc16119 \h </w:instrText>
      </w:r>
      <w:r>
        <w:fldChar w:fldCharType="separate"/>
      </w:r>
      <w:r>
        <w:t>5</w:t>
      </w:r>
      <w:r>
        <w:fldChar w:fldCharType="end"/>
      </w:r>
      <w:r>
        <w:rPr>
          <w:rFonts w:eastAsia="黑体" w:cs="Times New Roman"/>
        </w:rPr>
        <w:fldChar w:fldCharType="end"/>
      </w:r>
    </w:p>
    <w:p w14:paraId="7D9B252C">
      <w:pPr>
        <w:pStyle w:val="14"/>
        <w:tabs>
          <w:tab w:val="right" w:leader="dot" w:pos="8312"/>
        </w:tabs>
      </w:pPr>
      <w:r>
        <w:rPr>
          <w:rFonts w:eastAsia="黑体" w:cs="Times New Roman"/>
        </w:rPr>
        <w:fldChar w:fldCharType="begin"/>
      </w:r>
      <w:r>
        <w:rPr>
          <w:rFonts w:eastAsia="黑体" w:cs="Times New Roman"/>
        </w:rPr>
        <w:instrText xml:space="preserve"> HYPERLINK \l _Toc23407 </w:instrText>
      </w:r>
      <w:r>
        <w:rPr>
          <w:rFonts w:eastAsia="黑体" w:cs="Times New Roman"/>
        </w:rPr>
        <w:fldChar w:fldCharType="separate"/>
      </w:r>
      <w:r>
        <w:rPr>
          <w:rFonts w:ascii="Times New Roman" w:hAnsi="Times New Roman" w:cs="Times New Roman"/>
        </w:rPr>
        <w:t>第二节 国土空间开发保护目标</w:t>
      </w:r>
      <w:r>
        <w:tab/>
      </w:r>
      <w:r>
        <w:fldChar w:fldCharType="begin"/>
      </w:r>
      <w:r>
        <w:instrText xml:space="preserve"> PAGEREF _Toc23407 \h </w:instrText>
      </w:r>
      <w:r>
        <w:fldChar w:fldCharType="separate"/>
      </w:r>
      <w:r>
        <w:t>6</w:t>
      </w:r>
      <w:r>
        <w:fldChar w:fldCharType="end"/>
      </w:r>
      <w:r>
        <w:rPr>
          <w:rFonts w:eastAsia="黑体" w:cs="Times New Roman"/>
        </w:rPr>
        <w:fldChar w:fldCharType="end"/>
      </w:r>
    </w:p>
    <w:p w14:paraId="31CB63B0">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_Toc27036 </w:instrText>
      </w:r>
      <w:r>
        <w:rPr>
          <w:rFonts w:eastAsia="黑体" w:cs="Times New Roman"/>
        </w:rPr>
        <w:fldChar w:fldCharType="separate"/>
      </w:r>
      <w:r>
        <w:rPr>
          <w:rFonts w:ascii="Times New Roman" w:hAnsi="Times New Roman" w:cs="Times New Roman"/>
        </w:rPr>
        <w:t>第三章 国土空间开发保护格局</w:t>
      </w:r>
      <w:r>
        <w:tab/>
      </w:r>
      <w:r>
        <w:fldChar w:fldCharType="begin"/>
      </w:r>
      <w:r>
        <w:instrText xml:space="preserve"> PAGEREF _Toc27036 \h </w:instrText>
      </w:r>
      <w:r>
        <w:fldChar w:fldCharType="separate"/>
      </w:r>
      <w:r>
        <w:t>9</w:t>
      </w:r>
      <w:r>
        <w:fldChar w:fldCharType="end"/>
      </w:r>
      <w:r>
        <w:rPr>
          <w:rFonts w:eastAsia="黑体" w:cs="Times New Roman"/>
        </w:rPr>
        <w:fldChar w:fldCharType="end"/>
      </w:r>
    </w:p>
    <w:p w14:paraId="3B1FC2C8">
      <w:pPr>
        <w:pStyle w:val="14"/>
        <w:tabs>
          <w:tab w:val="right" w:leader="dot" w:pos="8312"/>
        </w:tabs>
      </w:pPr>
      <w:r>
        <w:rPr>
          <w:rFonts w:eastAsia="黑体" w:cs="Times New Roman"/>
        </w:rPr>
        <w:fldChar w:fldCharType="begin"/>
      </w:r>
      <w:r>
        <w:rPr>
          <w:rFonts w:eastAsia="黑体" w:cs="Times New Roman"/>
        </w:rPr>
        <w:instrText xml:space="preserve"> HYPERLINK \l _Toc26376 </w:instrText>
      </w:r>
      <w:r>
        <w:rPr>
          <w:rFonts w:eastAsia="黑体" w:cs="Times New Roman"/>
        </w:rPr>
        <w:fldChar w:fldCharType="separate"/>
      </w:r>
      <w:r>
        <w:rPr>
          <w:rFonts w:ascii="Times New Roman" w:hAnsi="Times New Roman" w:cs="Times New Roman"/>
        </w:rPr>
        <w:t>第一节 总体格局</w:t>
      </w:r>
      <w:r>
        <w:tab/>
      </w:r>
      <w:r>
        <w:fldChar w:fldCharType="begin"/>
      </w:r>
      <w:r>
        <w:instrText xml:space="preserve"> PAGEREF _Toc26376 \h </w:instrText>
      </w:r>
      <w:r>
        <w:fldChar w:fldCharType="separate"/>
      </w:r>
      <w:r>
        <w:t>9</w:t>
      </w:r>
      <w:r>
        <w:fldChar w:fldCharType="end"/>
      </w:r>
      <w:r>
        <w:rPr>
          <w:rFonts w:eastAsia="黑体" w:cs="Times New Roman"/>
        </w:rPr>
        <w:fldChar w:fldCharType="end"/>
      </w:r>
    </w:p>
    <w:p w14:paraId="2E62494B">
      <w:pPr>
        <w:pStyle w:val="14"/>
        <w:tabs>
          <w:tab w:val="right" w:leader="dot" w:pos="8312"/>
        </w:tabs>
      </w:pPr>
      <w:r>
        <w:rPr>
          <w:rFonts w:eastAsia="黑体" w:cs="Times New Roman"/>
        </w:rPr>
        <w:fldChar w:fldCharType="begin"/>
      </w:r>
      <w:r>
        <w:rPr>
          <w:rFonts w:eastAsia="黑体" w:cs="Times New Roman"/>
        </w:rPr>
        <w:instrText xml:space="preserve"> HYPERLINK \l _Toc16096 </w:instrText>
      </w:r>
      <w:r>
        <w:rPr>
          <w:rFonts w:eastAsia="黑体" w:cs="Times New Roman"/>
        </w:rPr>
        <w:fldChar w:fldCharType="separate"/>
      </w:r>
      <w:r>
        <w:rPr>
          <w:rFonts w:ascii="Times New Roman" w:hAnsi="Times New Roman" w:cs="Times New Roman"/>
        </w:rPr>
        <w:t>第二节 重要控制线划定</w:t>
      </w:r>
      <w:r>
        <w:tab/>
      </w:r>
      <w:r>
        <w:fldChar w:fldCharType="begin"/>
      </w:r>
      <w:r>
        <w:instrText xml:space="preserve"> PAGEREF _Toc16096 \h </w:instrText>
      </w:r>
      <w:r>
        <w:fldChar w:fldCharType="separate"/>
      </w:r>
      <w:r>
        <w:t>10</w:t>
      </w:r>
      <w:r>
        <w:fldChar w:fldCharType="end"/>
      </w:r>
      <w:r>
        <w:rPr>
          <w:rFonts w:eastAsia="黑体" w:cs="Times New Roman"/>
        </w:rPr>
        <w:fldChar w:fldCharType="end"/>
      </w:r>
    </w:p>
    <w:p w14:paraId="3F97C18E">
      <w:pPr>
        <w:pStyle w:val="14"/>
        <w:tabs>
          <w:tab w:val="right" w:leader="dot" w:pos="8312"/>
        </w:tabs>
      </w:pPr>
      <w:r>
        <w:rPr>
          <w:rFonts w:eastAsia="黑体" w:cs="Times New Roman"/>
        </w:rPr>
        <w:fldChar w:fldCharType="begin"/>
      </w:r>
      <w:r>
        <w:rPr>
          <w:rFonts w:eastAsia="黑体" w:cs="Times New Roman"/>
        </w:rPr>
        <w:instrText xml:space="preserve"> HYPERLINK \l _Toc12081 </w:instrText>
      </w:r>
      <w:r>
        <w:rPr>
          <w:rFonts w:eastAsia="黑体" w:cs="Times New Roman"/>
        </w:rPr>
        <w:fldChar w:fldCharType="separate"/>
      </w:r>
      <w:r>
        <w:rPr>
          <w:rFonts w:ascii="Times New Roman" w:hAnsi="Times New Roman" w:cs="Times New Roman"/>
        </w:rPr>
        <w:t>第三节 规划分区</w:t>
      </w:r>
      <w:r>
        <w:tab/>
      </w:r>
      <w:r>
        <w:fldChar w:fldCharType="begin"/>
      </w:r>
      <w:r>
        <w:instrText xml:space="preserve"> PAGEREF _Toc12081 \h </w:instrText>
      </w:r>
      <w:r>
        <w:fldChar w:fldCharType="separate"/>
      </w:r>
      <w:r>
        <w:t>14</w:t>
      </w:r>
      <w:r>
        <w:fldChar w:fldCharType="end"/>
      </w:r>
      <w:r>
        <w:rPr>
          <w:rFonts w:eastAsia="黑体" w:cs="Times New Roman"/>
        </w:rPr>
        <w:fldChar w:fldCharType="end"/>
      </w:r>
    </w:p>
    <w:p w14:paraId="77CAA725">
      <w:pPr>
        <w:pStyle w:val="14"/>
        <w:tabs>
          <w:tab w:val="right" w:leader="dot" w:pos="8312"/>
        </w:tabs>
      </w:pPr>
      <w:r>
        <w:rPr>
          <w:rFonts w:eastAsia="黑体" w:cs="Times New Roman"/>
        </w:rPr>
        <w:fldChar w:fldCharType="begin"/>
      </w:r>
      <w:r>
        <w:rPr>
          <w:rFonts w:eastAsia="黑体" w:cs="Times New Roman"/>
        </w:rPr>
        <w:instrText xml:space="preserve"> HYPERLINK \l _Toc32285 </w:instrText>
      </w:r>
      <w:r>
        <w:rPr>
          <w:rFonts w:eastAsia="黑体" w:cs="Times New Roman"/>
        </w:rPr>
        <w:fldChar w:fldCharType="separate"/>
      </w:r>
      <w:r>
        <w:rPr>
          <w:rFonts w:ascii="Times New Roman" w:hAnsi="Times New Roman" w:cs="Times New Roman"/>
        </w:rPr>
        <w:t>第四节 国土空间</w:t>
      </w:r>
      <w:r>
        <w:rPr>
          <w:rFonts w:hint="eastAsia" w:ascii="Times New Roman" w:hAnsi="Times New Roman" w:cs="Times New Roman"/>
        </w:rPr>
        <w:t>功能</w:t>
      </w:r>
      <w:r>
        <w:rPr>
          <w:rFonts w:ascii="Times New Roman" w:hAnsi="Times New Roman" w:cs="Times New Roman"/>
        </w:rPr>
        <w:t>结构优化</w:t>
      </w:r>
      <w:r>
        <w:tab/>
      </w:r>
      <w:r>
        <w:fldChar w:fldCharType="begin"/>
      </w:r>
      <w:r>
        <w:instrText xml:space="preserve"> PAGEREF _Toc32285 \h </w:instrText>
      </w:r>
      <w:r>
        <w:fldChar w:fldCharType="separate"/>
      </w:r>
      <w:r>
        <w:t>15</w:t>
      </w:r>
      <w:r>
        <w:fldChar w:fldCharType="end"/>
      </w:r>
      <w:r>
        <w:rPr>
          <w:rFonts w:eastAsia="黑体" w:cs="Times New Roman"/>
        </w:rPr>
        <w:fldChar w:fldCharType="end"/>
      </w:r>
    </w:p>
    <w:p w14:paraId="6E1CFD45">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_Toc10283 </w:instrText>
      </w:r>
      <w:r>
        <w:rPr>
          <w:rFonts w:eastAsia="黑体" w:cs="Times New Roman"/>
        </w:rPr>
        <w:fldChar w:fldCharType="separate"/>
      </w:r>
      <w:r>
        <w:rPr>
          <w:rFonts w:ascii="Times New Roman" w:hAnsi="Times New Roman" w:cs="Times New Roman"/>
        </w:rPr>
        <w:t>第四章 资源保护与利用</w:t>
      </w:r>
      <w:r>
        <w:tab/>
      </w:r>
      <w:r>
        <w:fldChar w:fldCharType="begin"/>
      </w:r>
      <w:r>
        <w:instrText xml:space="preserve"> PAGEREF _Toc10283 \h </w:instrText>
      </w:r>
      <w:r>
        <w:fldChar w:fldCharType="separate"/>
      </w:r>
      <w:r>
        <w:t>18</w:t>
      </w:r>
      <w:r>
        <w:fldChar w:fldCharType="end"/>
      </w:r>
      <w:r>
        <w:rPr>
          <w:rFonts w:eastAsia="黑体" w:cs="Times New Roman"/>
        </w:rPr>
        <w:fldChar w:fldCharType="end"/>
      </w:r>
    </w:p>
    <w:p w14:paraId="0E7091E8">
      <w:pPr>
        <w:pStyle w:val="14"/>
        <w:tabs>
          <w:tab w:val="right" w:leader="dot" w:pos="8312"/>
        </w:tabs>
      </w:pPr>
      <w:r>
        <w:rPr>
          <w:rFonts w:eastAsia="黑体" w:cs="Times New Roman"/>
        </w:rPr>
        <w:fldChar w:fldCharType="begin"/>
      </w:r>
      <w:r>
        <w:rPr>
          <w:rFonts w:eastAsia="黑体" w:cs="Times New Roman"/>
        </w:rPr>
        <w:instrText xml:space="preserve"> HYPERLINK \l _Toc2827 </w:instrText>
      </w:r>
      <w:r>
        <w:rPr>
          <w:rFonts w:eastAsia="黑体" w:cs="Times New Roman"/>
        </w:rPr>
        <w:fldChar w:fldCharType="separate"/>
      </w:r>
      <w:r>
        <w:rPr>
          <w:rFonts w:ascii="Times New Roman" w:hAnsi="Times New Roman" w:cs="Times New Roman"/>
        </w:rPr>
        <w:t>第一节 耕地资源</w:t>
      </w:r>
      <w:r>
        <w:tab/>
      </w:r>
      <w:r>
        <w:fldChar w:fldCharType="begin"/>
      </w:r>
      <w:r>
        <w:instrText xml:space="preserve"> PAGEREF _Toc2827 \h </w:instrText>
      </w:r>
      <w:r>
        <w:fldChar w:fldCharType="separate"/>
      </w:r>
      <w:r>
        <w:t>18</w:t>
      </w:r>
      <w:r>
        <w:fldChar w:fldCharType="end"/>
      </w:r>
      <w:r>
        <w:rPr>
          <w:rFonts w:eastAsia="黑体" w:cs="Times New Roman"/>
        </w:rPr>
        <w:fldChar w:fldCharType="end"/>
      </w:r>
    </w:p>
    <w:p w14:paraId="2FD43917">
      <w:pPr>
        <w:pStyle w:val="14"/>
        <w:tabs>
          <w:tab w:val="right" w:leader="dot" w:pos="8312"/>
        </w:tabs>
      </w:pPr>
      <w:r>
        <w:rPr>
          <w:rFonts w:eastAsia="黑体" w:cs="Times New Roman"/>
        </w:rPr>
        <w:fldChar w:fldCharType="begin"/>
      </w:r>
      <w:r>
        <w:rPr>
          <w:rFonts w:eastAsia="黑体" w:cs="Times New Roman"/>
        </w:rPr>
        <w:instrText xml:space="preserve"> HYPERLINK \l _Toc24993 </w:instrText>
      </w:r>
      <w:r>
        <w:rPr>
          <w:rFonts w:eastAsia="黑体" w:cs="Times New Roman"/>
        </w:rPr>
        <w:fldChar w:fldCharType="separate"/>
      </w:r>
      <w:r>
        <w:rPr>
          <w:rFonts w:ascii="Times New Roman" w:hAnsi="Times New Roman" w:cs="Times New Roman"/>
        </w:rPr>
        <w:t>第二节 水资源</w:t>
      </w:r>
      <w:r>
        <w:tab/>
      </w:r>
      <w:r>
        <w:fldChar w:fldCharType="begin"/>
      </w:r>
      <w:r>
        <w:instrText xml:space="preserve"> PAGEREF _Toc24993 \h </w:instrText>
      </w:r>
      <w:r>
        <w:fldChar w:fldCharType="separate"/>
      </w:r>
      <w:r>
        <w:t>20</w:t>
      </w:r>
      <w:r>
        <w:fldChar w:fldCharType="end"/>
      </w:r>
      <w:r>
        <w:rPr>
          <w:rFonts w:eastAsia="黑体" w:cs="Times New Roman"/>
        </w:rPr>
        <w:fldChar w:fldCharType="end"/>
      </w:r>
    </w:p>
    <w:p w14:paraId="69205F4F">
      <w:pPr>
        <w:pStyle w:val="14"/>
        <w:tabs>
          <w:tab w:val="right" w:leader="dot" w:pos="8312"/>
        </w:tabs>
      </w:pPr>
      <w:r>
        <w:rPr>
          <w:rFonts w:eastAsia="黑体" w:cs="Times New Roman"/>
        </w:rPr>
        <w:fldChar w:fldCharType="begin"/>
      </w:r>
      <w:r>
        <w:rPr>
          <w:rFonts w:eastAsia="黑体" w:cs="Times New Roman"/>
        </w:rPr>
        <w:instrText xml:space="preserve"> HYPERLINK \l _Toc4338 </w:instrText>
      </w:r>
      <w:r>
        <w:rPr>
          <w:rFonts w:eastAsia="黑体" w:cs="Times New Roman"/>
        </w:rPr>
        <w:fldChar w:fldCharType="separate"/>
      </w:r>
      <w:r>
        <w:rPr>
          <w:rFonts w:ascii="Times New Roman" w:hAnsi="Times New Roman" w:cs="Times New Roman"/>
        </w:rPr>
        <w:t>第三节 湿地资源</w:t>
      </w:r>
      <w:r>
        <w:tab/>
      </w:r>
      <w:r>
        <w:fldChar w:fldCharType="begin"/>
      </w:r>
      <w:r>
        <w:instrText xml:space="preserve"> PAGEREF _Toc4338 \h </w:instrText>
      </w:r>
      <w:r>
        <w:fldChar w:fldCharType="separate"/>
      </w:r>
      <w:r>
        <w:t>22</w:t>
      </w:r>
      <w:r>
        <w:fldChar w:fldCharType="end"/>
      </w:r>
      <w:r>
        <w:rPr>
          <w:rFonts w:eastAsia="黑体" w:cs="Times New Roman"/>
        </w:rPr>
        <w:fldChar w:fldCharType="end"/>
      </w:r>
    </w:p>
    <w:p w14:paraId="4C353D95">
      <w:pPr>
        <w:pStyle w:val="14"/>
        <w:tabs>
          <w:tab w:val="right" w:leader="dot" w:pos="8312"/>
        </w:tabs>
      </w:pPr>
      <w:r>
        <w:rPr>
          <w:rFonts w:eastAsia="黑体" w:cs="Times New Roman"/>
        </w:rPr>
        <w:fldChar w:fldCharType="begin"/>
      </w:r>
      <w:r>
        <w:rPr>
          <w:rFonts w:eastAsia="黑体" w:cs="Times New Roman"/>
        </w:rPr>
        <w:instrText xml:space="preserve"> HYPERLINK \l _Toc6070 </w:instrText>
      </w:r>
      <w:r>
        <w:rPr>
          <w:rFonts w:eastAsia="黑体" w:cs="Times New Roman"/>
        </w:rPr>
        <w:fldChar w:fldCharType="separate"/>
      </w:r>
      <w:r>
        <w:rPr>
          <w:rFonts w:ascii="Times New Roman" w:hAnsi="Times New Roman" w:cs="Times New Roman"/>
        </w:rPr>
        <w:t>第四节 林草资源</w:t>
      </w:r>
      <w:r>
        <w:tab/>
      </w:r>
      <w:r>
        <w:fldChar w:fldCharType="begin"/>
      </w:r>
      <w:r>
        <w:instrText xml:space="preserve"> PAGEREF _Toc6070 \h </w:instrText>
      </w:r>
      <w:r>
        <w:fldChar w:fldCharType="separate"/>
      </w:r>
      <w:r>
        <w:t>23</w:t>
      </w:r>
      <w:r>
        <w:fldChar w:fldCharType="end"/>
      </w:r>
      <w:r>
        <w:rPr>
          <w:rFonts w:eastAsia="黑体" w:cs="Times New Roman"/>
        </w:rPr>
        <w:fldChar w:fldCharType="end"/>
      </w:r>
    </w:p>
    <w:p w14:paraId="71122A85">
      <w:pPr>
        <w:pStyle w:val="14"/>
        <w:tabs>
          <w:tab w:val="right" w:leader="dot" w:pos="8312"/>
        </w:tabs>
      </w:pPr>
      <w:r>
        <w:rPr>
          <w:rFonts w:eastAsia="黑体" w:cs="Times New Roman"/>
        </w:rPr>
        <w:fldChar w:fldCharType="begin"/>
      </w:r>
      <w:r>
        <w:rPr>
          <w:rFonts w:eastAsia="黑体" w:cs="Times New Roman"/>
        </w:rPr>
        <w:instrText xml:space="preserve"> HYPERLINK \l _Toc31603 </w:instrText>
      </w:r>
      <w:r>
        <w:rPr>
          <w:rFonts w:eastAsia="黑体" w:cs="Times New Roman"/>
        </w:rPr>
        <w:fldChar w:fldCharType="separate"/>
      </w:r>
      <w:r>
        <w:rPr>
          <w:rFonts w:ascii="Times New Roman" w:hAnsi="Times New Roman" w:cs="Times New Roman"/>
        </w:rPr>
        <w:t>第五节 矿产资源</w:t>
      </w:r>
      <w:r>
        <w:tab/>
      </w:r>
      <w:r>
        <w:fldChar w:fldCharType="begin"/>
      </w:r>
      <w:r>
        <w:instrText xml:space="preserve"> PAGEREF _Toc31603 \h </w:instrText>
      </w:r>
      <w:r>
        <w:fldChar w:fldCharType="separate"/>
      </w:r>
      <w:r>
        <w:t>24</w:t>
      </w:r>
      <w:r>
        <w:fldChar w:fldCharType="end"/>
      </w:r>
      <w:r>
        <w:rPr>
          <w:rFonts w:eastAsia="黑体" w:cs="Times New Roman"/>
        </w:rPr>
        <w:fldChar w:fldCharType="end"/>
      </w:r>
    </w:p>
    <w:p w14:paraId="5B743E23">
      <w:pPr>
        <w:pStyle w:val="14"/>
        <w:tabs>
          <w:tab w:val="right" w:leader="dot" w:pos="8312"/>
        </w:tabs>
      </w:pPr>
      <w:r>
        <w:rPr>
          <w:rFonts w:eastAsia="黑体" w:cs="Times New Roman"/>
        </w:rPr>
        <w:fldChar w:fldCharType="begin"/>
      </w:r>
      <w:r>
        <w:rPr>
          <w:rFonts w:eastAsia="黑体" w:cs="Times New Roman"/>
        </w:rPr>
        <w:instrText xml:space="preserve"> HYPERLINK \l _Toc1426 </w:instrText>
      </w:r>
      <w:r>
        <w:rPr>
          <w:rFonts w:eastAsia="黑体" w:cs="Times New Roman"/>
        </w:rPr>
        <w:fldChar w:fldCharType="separate"/>
      </w:r>
      <w:r>
        <w:rPr>
          <w:rFonts w:ascii="Times New Roman" w:hAnsi="Times New Roman" w:cs="Times New Roman"/>
        </w:rPr>
        <w:t>第六节 历史文化资源</w:t>
      </w:r>
      <w:r>
        <w:tab/>
      </w:r>
      <w:r>
        <w:fldChar w:fldCharType="begin"/>
      </w:r>
      <w:r>
        <w:instrText xml:space="preserve"> PAGEREF _Toc1426 \h </w:instrText>
      </w:r>
      <w:r>
        <w:fldChar w:fldCharType="separate"/>
      </w:r>
      <w:r>
        <w:t>25</w:t>
      </w:r>
      <w:r>
        <w:fldChar w:fldCharType="end"/>
      </w:r>
      <w:r>
        <w:rPr>
          <w:rFonts w:eastAsia="黑体" w:cs="Times New Roman"/>
        </w:rPr>
        <w:fldChar w:fldCharType="end"/>
      </w:r>
    </w:p>
    <w:p w14:paraId="6245DFF8">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_Toc12003 </w:instrText>
      </w:r>
      <w:r>
        <w:rPr>
          <w:rFonts w:eastAsia="黑体" w:cs="Times New Roman"/>
        </w:rPr>
        <w:fldChar w:fldCharType="separate"/>
      </w:r>
      <w:r>
        <w:rPr>
          <w:rFonts w:ascii="Times New Roman" w:hAnsi="Times New Roman" w:cs="Times New Roman"/>
        </w:rPr>
        <w:t>第五章 镇村统筹发展</w:t>
      </w:r>
      <w:r>
        <w:tab/>
      </w:r>
      <w:r>
        <w:fldChar w:fldCharType="begin"/>
      </w:r>
      <w:r>
        <w:instrText xml:space="preserve"> PAGEREF _Toc12003 \h </w:instrText>
      </w:r>
      <w:r>
        <w:fldChar w:fldCharType="separate"/>
      </w:r>
      <w:r>
        <w:t>28</w:t>
      </w:r>
      <w:r>
        <w:fldChar w:fldCharType="end"/>
      </w:r>
      <w:r>
        <w:rPr>
          <w:rFonts w:eastAsia="黑体" w:cs="Times New Roman"/>
        </w:rPr>
        <w:fldChar w:fldCharType="end"/>
      </w:r>
    </w:p>
    <w:p w14:paraId="2A050E98">
      <w:pPr>
        <w:pStyle w:val="14"/>
        <w:tabs>
          <w:tab w:val="right" w:leader="dot" w:pos="8312"/>
        </w:tabs>
      </w:pPr>
      <w:r>
        <w:rPr>
          <w:rFonts w:eastAsia="黑体" w:cs="Times New Roman"/>
        </w:rPr>
        <w:fldChar w:fldCharType="begin"/>
      </w:r>
      <w:r>
        <w:rPr>
          <w:rFonts w:eastAsia="黑体" w:cs="Times New Roman"/>
        </w:rPr>
        <w:instrText xml:space="preserve"> HYPERLINK \l _Toc25814 </w:instrText>
      </w:r>
      <w:r>
        <w:rPr>
          <w:rFonts w:eastAsia="黑体" w:cs="Times New Roman"/>
        </w:rPr>
        <w:fldChar w:fldCharType="separate"/>
      </w:r>
      <w:r>
        <w:rPr>
          <w:rFonts w:ascii="Times New Roman" w:hAnsi="Times New Roman" w:cs="Times New Roman"/>
        </w:rPr>
        <w:t>第一节 镇村体系</w:t>
      </w:r>
      <w:r>
        <w:tab/>
      </w:r>
      <w:r>
        <w:fldChar w:fldCharType="begin"/>
      </w:r>
      <w:r>
        <w:instrText xml:space="preserve"> PAGEREF _Toc25814 \h </w:instrText>
      </w:r>
      <w:r>
        <w:fldChar w:fldCharType="separate"/>
      </w:r>
      <w:r>
        <w:t>28</w:t>
      </w:r>
      <w:r>
        <w:fldChar w:fldCharType="end"/>
      </w:r>
      <w:r>
        <w:rPr>
          <w:rFonts w:eastAsia="黑体" w:cs="Times New Roman"/>
        </w:rPr>
        <w:fldChar w:fldCharType="end"/>
      </w:r>
    </w:p>
    <w:p w14:paraId="1B4CE53A">
      <w:pPr>
        <w:pStyle w:val="14"/>
        <w:tabs>
          <w:tab w:val="right" w:leader="dot" w:pos="8312"/>
        </w:tabs>
      </w:pPr>
      <w:r>
        <w:rPr>
          <w:rFonts w:eastAsia="黑体" w:cs="Times New Roman"/>
        </w:rPr>
        <w:fldChar w:fldCharType="begin"/>
      </w:r>
      <w:r>
        <w:rPr>
          <w:rFonts w:eastAsia="黑体" w:cs="Times New Roman"/>
        </w:rPr>
        <w:instrText xml:space="preserve"> HYPERLINK \l _Toc21109 </w:instrText>
      </w:r>
      <w:r>
        <w:rPr>
          <w:rFonts w:eastAsia="黑体" w:cs="Times New Roman"/>
        </w:rPr>
        <w:fldChar w:fldCharType="separate"/>
      </w:r>
      <w:r>
        <w:rPr>
          <w:rFonts w:ascii="Times New Roman" w:hAnsi="Times New Roman" w:cs="Times New Roman"/>
        </w:rPr>
        <w:t>第二节 村庄布局</w:t>
      </w:r>
      <w:r>
        <w:tab/>
      </w:r>
      <w:r>
        <w:fldChar w:fldCharType="begin"/>
      </w:r>
      <w:r>
        <w:instrText xml:space="preserve"> PAGEREF _Toc21109 \h </w:instrText>
      </w:r>
      <w:r>
        <w:fldChar w:fldCharType="separate"/>
      </w:r>
      <w:r>
        <w:t>29</w:t>
      </w:r>
      <w:r>
        <w:fldChar w:fldCharType="end"/>
      </w:r>
      <w:r>
        <w:rPr>
          <w:rFonts w:eastAsia="黑体" w:cs="Times New Roman"/>
        </w:rPr>
        <w:fldChar w:fldCharType="end"/>
      </w:r>
    </w:p>
    <w:p w14:paraId="77A45EF1">
      <w:pPr>
        <w:pStyle w:val="14"/>
        <w:tabs>
          <w:tab w:val="right" w:leader="dot" w:pos="8312"/>
        </w:tabs>
      </w:pPr>
      <w:r>
        <w:rPr>
          <w:rFonts w:eastAsia="黑体" w:cs="Times New Roman"/>
        </w:rPr>
        <w:fldChar w:fldCharType="begin"/>
      </w:r>
      <w:r>
        <w:rPr>
          <w:rFonts w:eastAsia="黑体" w:cs="Times New Roman"/>
        </w:rPr>
        <w:instrText xml:space="preserve"> HYPERLINK \l _Toc11164 </w:instrText>
      </w:r>
      <w:r>
        <w:rPr>
          <w:rFonts w:eastAsia="黑体" w:cs="Times New Roman"/>
        </w:rPr>
        <w:fldChar w:fldCharType="separate"/>
      </w:r>
      <w:r>
        <w:rPr>
          <w:rFonts w:hint="eastAsia" w:ascii="Times New Roman" w:hAnsi="Times New Roman" w:cs="Times New Roman"/>
        </w:rPr>
        <w:t>第三节“通则式”村庄规划管控</w:t>
      </w:r>
      <w:r>
        <w:tab/>
      </w:r>
      <w:r>
        <w:fldChar w:fldCharType="begin"/>
      </w:r>
      <w:r>
        <w:instrText xml:space="preserve"> PAGEREF _Toc11164 \h </w:instrText>
      </w:r>
      <w:r>
        <w:fldChar w:fldCharType="separate"/>
      </w:r>
      <w:r>
        <w:t>31</w:t>
      </w:r>
      <w:r>
        <w:fldChar w:fldCharType="end"/>
      </w:r>
      <w:r>
        <w:rPr>
          <w:rFonts w:eastAsia="黑体" w:cs="Times New Roman"/>
        </w:rPr>
        <w:fldChar w:fldCharType="end"/>
      </w:r>
    </w:p>
    <w:p w14:paraId="6450089F">
      <w:pPr>
        <w:pStyle w:val="14"/>
        <w:tabs>
          <w:tab w:val="right" w:leader="dot" w:pos="8312"/>
        </w:tabs>
      </w:pPr>
      <w:r>
        <w:rPr>
          <w:rFonts w:eastAsia="黑体" w:cs="Times New Roman"/>
        </w:rPr>
        <w:fldChar w:fldCharType="begin"/>
      </w:r>
      <w:r>
        <w:rPr>
          <w:rFonts w:eastAsia="黑体" w:cs="Times New Roman"/>
        </w:rPr>
        <w:instrText xml:space="preserve"> HYPERLINK \l _Toc2252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节 产业布局</w:t>
      </w:r>
      <w:r>
        <w:tab/>
      </w:r>
      <w:r>
        <w:fldChar w:fldCharType="begin"/>
      </w:r>
      <w:r>
        <w:instrText xml:space="preserve"> PAGEREF _Toc2252 \h </w:instrText>
      </w:r>
      <w:r>
        <w:fldChar w:fldCharType="separate"/>
      </w:r>
      <w:r>
        <w:t>39</w:t>
      </w:r>
      <w:r>
        <w:fldChar w:fldCharType="end"/>
      </w:r>
      <w:r>
        <w:rPr>
          <w:rFonts w:eastAsia="黑体" w:cs="Times New Roman"/>
        </w:rPr>
        <w:fldChar w:fldCharType="end"/>
      </w:r>
    </w:p>
    <w:p w14:paraId="4C27C467">
      <w:pPr>
        <w:pStyle w:val="14"/>
        <w:tabs>
          <w:tab w:val="right" w:leader="dot" w:pos="8312"/>
        </w:tabs>
      </w:pPr>
      <w:r>
        <w:rPr>
          <w:rFonts w:eastAsia="黑体" w:cs="Times New Roman"/>
        </w:rPr>
        <w:fldChar w:fldCharType="begin"/>
      </w:r>
      <w:r>
        <w:rPr>
          <w:rFonts w:eastAsia="黑体" w:cs="Times New Roman"/>
        </w:rPr>
        <w:instrText xml:space="preserve"> HYPERLINK \l _Toc2881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五</w:t>
      </w:r>
      <w:r>
        <w:rPr>
          <w:rFonts w:ascii="Times New Roman" w:hAnsi="Times New Roman" w:cs="Times New Roman"/>
        </w:rPr>
        <w:t>节 景观风貌</w:t>
      </w:r>
      <w:r>
        <w:tab/>
      </w:r>
      <w:r>
        <w:fldChar w:fldCharType="begin"/>
      </w:r>
      <w:r>
        <w:instrText xml:space="preserve"> PAGEREF _Toc2881 \h </w:instrText>
      </w:r>
      <w:r>
        <w:fldChar w:fldCharType="separate"/>
      </w:r>
      <w:r>
        <w:t>41</w:t>
      </w:r>
      <w:r>
        <w:fldChar w:fldCharType="end"/>
      </w:r>
      <w:r>
        <w:rPr>
          <w:rFonts w:eastAsia="黑体" w:cs="Times New Roman"/>
        </w:rPr>
        <w:fldChar w:fldCharType="end"/>
      </w:r>
    </w:p>
    <w:p w14:paraId="0825A868">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_Toc31238 </w:instrText>
      </w:r>
      <w:r>
        <w:rPr>
          <w:rFonts w:eastAsia="黑体" w:cs="Times New Roman"/>
        </w:rPr>
        <w:fldChar w:fldCharType="separate"/>
      </w:r>
      <w:r>
        <w:rPr>
          <w:rFonts w:ascii="Times New Roman" w:hAnsi="Times New Roman" w:cs="Times New Roman"/>
        </w:rPr>
        <w:t>第六章 生态修复和国土综合整治</w:t>
      </w:r>
      <w:r>
        <w:tab/>
      </w:r>
      <w:r>
        <w:fldChar w:fldCharType="begin"/>
      </w:r>
      <w:r>
        <w:instrText xml:space="preserve"> PAGEREF _Toc31238 \h </w:instrText>
      </w:r>
      <w:r>
        <w:fldChar w:fldCharType="separate"/>
      </w:r>
      <w:r>
        <w:t>44</w:t>
      </w:r>
      <w:r>
        <w:fldChar w:fldCharType="end"/>
      </w:r>
      <w:r>
        <w:rPr>
          <w:rFonts w:eastAsia="黑体" w:cs="Times New Roman"/>
        </w:rPr>
        <w:fldChar w:fldCharType="end"/>
      </w:r>
    </w:p>
    <w:p w14:paraId="2F19052B">
      <w:pPr>
        <w:pStyle w:val="14"/>
        <w:tabs>
          <w:tab w:val="right" w:leader="dot" w:pos="8312"/>
        </w:tabs>
      </w:pPr>
      <w:r>
        <w:rPr>
          <w:rFonts w:eastAsia="黑体" w:cs="Times New Roman"/>
        </w:rPr>
        <w:fldChar w:fldCharType="begin"/>
      </w:r>
      <w:r>
        <w:rPr>
          <w:rFonts w:eastAsia="黑体" w:cs="Times New Roman"/>
        </w:rPr>
        <w:instrText xml:space="preserve"> HYPERLINK \l _Toc16053 </w:instrText>
      </w:r>
      <w:r>
        <w:rPr>
          <w:rFonts w:eastAsia="黑体" w:cs="Times New Roman"/>
        </w:rPr>
        <w:fldChar w:fldCharType="separate"/>
      </w:r>
      <w:r>
        <w:rPr>
          <w:rFonts w:ascii="Times New Roman" w:hAnsi="Times New Roman" w:cs="Times New Roman"/>
        </w:rPr>
        <w:t>第一节 生态修复</w:t>
      </w:r>
      <w:r>
        <w:tab/>
      </w:r>
      <w:r>
        <w:fldChar w:fldCharType="begin"/>
      </w:r>
      <w:r>
        <w:instrText xml:space="preserve"> PAGEREF _Toc16053 \h </w:instrText>
      </w:r>
      <w:r>
        <w:fldChar w:fldCharType="separate"/>
      </w:r>
      <w:r>
        <w:t>44</w:t>
      </w:r>
      <w:r>
        <w:fldChar w:fldCharType="end"/>
      </w:r>
      <w:r>
        <w:rPr>
          <w:rFonts w:eastAsia="黑体" w:cs="Times New Roman"/>
        </w:rPr>
        <w:fldChar w:fldCharType="end"/>
      </w:r>
    </w:p>
    <w:p w14:paraId="499D2ECF">
      <w:pPr>
        <w:pStyle w:val="14"/>
        <w:tabs>
          <w:tab w:val="right" w:leader="dot" w:pos="8312"/>
        </w:tabs>
      </w:pPr>
      <w:r>
        <w:rPr>
          <w:rFonts w:eastAsia="黑体" w:cs="Times New Roman"/>
        </w:rPr>
        <w:fldChar w:fldCharType="begin"/>
      </w:r>
      <w:r>
        <w:rPr>
          <w:rFonts w:eastAsia="黑体" w:cs="Times New Roman"/>
        </w:rPr>
        <w:instrText xml:space="preserve"> HYPERLINK \l _Toc9055 </w:instrText>
      </w:r>
      <w:r>
        <w:rPr>
          <w:rFonts w:eastAsia="黑体" w:cs="Times New Roman"/>
        </w:rPr>
        <w:fldChar w:fldCharType="separate"/>
      </w:r>
      <w:r>
        <w:rPr>
          <w:rFonts w:ascii="Times New Roman" w:hAnsi="Times New Roman" w:cs="Times New Roman"/>
        </w:rPr>
        <w:t>第二节 国土综合整治</w:t>
      </w:r>
      <w:r>
        <w:tab/>
      </w:r>
      <w:r>
        <w:fldChar w:fldCharType="begin"/>
      </w:r>
      <w:r>
        <w:instrText xml:space="preserve"> PAGEREF _Toc9055 \h </w:instrText>
      </w:r>
      <w:r>
        <w:fldChar w:fldCharType="separate"/>
      </w:r>
      <w:r>
        <w:t>45</w:t>
      </w:r>
      <w:r>
        <w:fldChar w:fldCharType="end"/>
      </w:r>
      <w:r>
        <w:rPr>
          <w:rFonts w:eastAsia="黑体" w:cs="Times New Roman"/>
        </w:rPr>
        <w:fldChar w:fldCharType="end"/>
      </w:r>
    </w:p>
    <w:p w14:paraId="2FCAE9C3">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_Toc27692 </w:instrText>
      </w:r>
      <w:r>
        <w:rPr>
          <w:rFonts w:eastAsia="黑体" w:cs="Times New Roman"/>
        </w:rPr>
        <w:fldChar w:fldCharType="separate"/>
      </w:r>
      <w:r>
        <w:rPr>
          <w:rFonts w:ascii="Times New Roman" w:hAnsi="Times New Roman" w:cs="Times New Roman"/>
        </w:rPr>
        <w:t>第七章 镇区功能布局与规划管控</w:t>
      </w:r>
      <w:r>
        <w:tab/>
      </w:r>
      <w:r>
        <w:fldChar w:fldCharType="begin"/>
      </w:r>
      <w:r>
        <w:instrText xml:space="preserve"> PAGEREF _Toc27692 \h </w:instrText>
      </w:r>
      <w:r>
        <w:fldChar w:fldCharType="separate"/>
      </w:r>
      <w:r>
        <w:t>49</w:t>
      </w:r>
      <w:r>
        <w:fldChar w:fldCharType="end"/>
      </w:r>
      <w:r>
        <w:rPr>
          <w:rFonts w:eastAsia="黑体" w:cs="Times New Roman"/>
        </w:rPr>
        <w:fldChar w:fldCharType="end"/>
      </w:r>
    </w:p>
    <w:p w14:paraId="1BE7A89C">
      <w:pPr>
        <w:pStyle w:val="14"/>
        <w:tabs>
          <w:tab w:val="right" w:leader="dot" w:pos="8312"/>
        </w:tabs>
      </w:pPr>
      <w:r>
        <w:rPr>
          <w:rFonts w:eastAsia="黑体" w:cs="Times New Roman"/>
        </w:rPr>
        <w:fldChar w:fldCharType="begin"/>
      </w:r>
      <w:r>
        <w:rPr>
          <w:rFonts w:eastAsia="黑体" w:cs="Times New Roman"/>
        </w:rPr>
        <w:instrText xml:space="preserve"> HYPERLINK \l _Toc16534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一</w:t>
      </w:r>
      <w:r>
        <w:rPr>
          <w:rFonts w:ascii="Times New Roman" w:hAnsi="Times New Roman" w:cs="Times New Roman"/>
        </w:rPr>
        <w:t>节 用地结构和布局</w:t>
      </w:r>
      <w:r>
        <w:tab/>
      </w:r>
      <w:r>
        <w:fldChar w:fldCharType="begin"/>
      </w:r>
      <w:r>
        <w:instrText xml:space="preserve"> PAGEREF _Toc16534 \h </w:instrText>
      </w:r>
      <w:r>
        <w:fldChar w:fldCharType="separate"/>
      </w:r>
      <w:r>
        <w:t>49</w:t>
      </w:r>
      <w:r>
        <w:fldChar w:fldCharType="end"/>
      </w:r>
      <w:r>
        <w:rPr>
          <w:rFonts w:eastAsia="黑体" w:cs="Times New Roman"/>
        </w:rPr>
        <w:fldChar w:fldCharType="end"/>
      </w:r>
    </w:p>
    <w:p w14:paraId="0F46DA3D">
      <w:pPr>
        <w:pStyle w:val="14"/>
        <w:tabs>
          <w:tab w:val="right" w:leader="dot" w:pos="8312"/>
        </w:tabs>
      </w:pPr>
      <w:r>
        <w:rPr>
          <w:rFonts w:eastAsia="黑体" w:cs="Times New Roman"/>
        </w:rPr>
        <w:fldChar w:fldCharType="begin"/>
      </w:r>
      <w:r>
        <w:rPr>
          <w:rFonts w:eastAsia="黑体" w:cs="Times New Roman"/>
        </w:rPr>
        <w:instrText xml:space="preserve"> HYPERLINK \l _Toc15707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二</w:t>
      </w:r>
      <w:r>
        <w:rPr>
          <w:rFonts w:ascii="Times New Roman" w:hAnsi="Times New Roman" w:cs="Times New Roman"/>
        </w:rPr>
        <w:t>节 绿地系统和开敞空间</w:t>
      </w:r>
      <w:r>
        <w:tab/>
      </w:r>
      <w:r>
        <w:fldChar w:fldCharType="begin"/>
      </w:r>
      <w:r>
        <w:instrText xml:space="preserve"> PAGEREF _Toc15707 \h </w:instrText>
      </w:r>
      <w:r>
        <w:fldChar w:fldCharType="separate"/>
      </w:r>
      <w:r>
        <w:t>51</w:t>
      </w:r>
      <w:r>
        <w:fldChar w:fldCharType="end"/>
      </w:r>
      <w:r>
        <w:rPr>
          <w:rFonts w:eastAsia="黑体" w:cs="Times New Roman"/>
        </w:rPr>
        <w:fldChar w:fldCharType="end"/>
      </w:r>
    </w:p>
    <w:p w14:paraId="12FB999B">
      <w:pPr>
        <w:pStyle w:val="14"/>
        <w:tabs>
          <w:tab w:val="right" w:leader="dot" w:pos="8312"/>
        </w:tabs>
      </w:pPr>
      <w:r>
        <w:rPr>
          <w:rFonts w:eastAsia="黑体" w:cs="Times New Roman"/>
        </w:rPr>
        <w:fldChar w:fldCharType="begin"/>
      </w:r>
      <w:r>
        <w:rPr>
          <w:rFonts w:eastAsia="黑体" w:cs="Times New Roman"/>
        </w:rPr>
        <w:instrText xml:space="preserve"> HYPERLINK \l _Toc1456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三</w:t>
      </w:r>
      <w:r>
        <w:rPr>
          <w:rFonts w:ascii="Times New Roman" w:hAnsi="Times New Roman" w:cs="Times New Roman"/>
        </w:rPr>
        <w:t>节 景观风貌</w:t>
      </w:r>
      <w:r>
        <w:tab/>
      </w:r>
      <w:r>
        <w:fldChar w:fldCharType="begin"/>
      </w:r>
      <w:r>
        <w:instrText xml:space="preserve"> PAGEREF _Toc1456 \h </w:instrText>
      </w:r>
      <w:r>
        <w:fldChar w:fldCharType="separate"/>
      </w:r>
      <w:r>
        <w:t>53</w:t>
      </w:r>
      <w:r>
        <w:fldChar w:fldCharType="end"/>
      </w:r>
      <w:r>
        <w:rPr>
          <w:rFonts w:eastAsia="黑体" w:cs="Times New Roman"/>
        </w:rPr>
        <w:fldChar w:fldCharType="end"/>
      </w:r>
    </w:p>
    <w:p w14:paraId="6AC0EB79">
      <w:pPr>
        <w:pStyle w:val="14"/>
        <w:tabs>
          <w:tab w:val="right" w:leader="dot" w:pos="8312"/>
        </w:tabs>
      </w:pPr>
      <w:r>
        <w:rPr>
          <w:rFonts w:eastAsia="黑体" w:cs="Times New Roman"/>
        </w:rPr>
        <w:fldChar w:fldCharType="begin"/>
      </w:r>
      <w:r>
        <w:rPr>
          <w:rFonts w:eastAsia="黑体" w:cs="Times New Roman"/>
        </w:rPr>
        <w:instrText xml:space="preserve"> HYPERLINK \l _Toc10928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节 住房保障</w:t>
      </w:r>
      <w:r>
        <w:tab/>
      </w:r>
      <w:r>
        <w:fldChar w:fldCharType="begin"/>
      </w:r>
      <w:r>
        <w:instrText xml:space="preserve"> PAGEREF _Toc10928 \h </w:instrText>
      </w:r>
      <w:r>
        <w:fldChar w:fldCharType="separate"/>
      </w:r>
      <w:r>
        <w:t>55</w:t>
      </w:r>
      <w:r>
        <w:fldChar w:fldCharType="end"/>
      </w:r>
      <w:r>
        <w:rPr>
          <w:rFonts w:eastAsia="黑体" w:cs="Times New Roman"/>
        </w:rPr>
        <w:fldChar w:fldCharType="end"/>
      </w:r>
    </w:p>
    <w:p w14:paraId="5BAACBA2">
      <w:pPr>
        <w:pStyle w:val="14"/>
        <w:tabs>
          <w:tab w:val="right" w:leader="dot" w:pos="8312"/>
        </w:tabs>
      </w:pPr>
      <w:r>
        <w:rPr>
          <w:rFonts w:eastAsia="黑体" w:cs="Times New Roman"/>
        </w:rPr>
        <w:fldChar w:fldCharType="begin"/>
      </w:r>
      <w:r>
        <w:rPr>
          <w:rFonts w:eastAsia="黑体" w:cs="Times New Roman"/>
        </w:rPr>
        <w:instrText xml:space="preserve"> HYPERLINK \l _Toc21476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五</w:t>
      </w:r>
      <w:r>
        <w:rPr>
          <w:rFonts w:ascii="Times New Roman" w:hAnsi="Times New Roman" w:cs="Times New Roman"/>
        </w:rPr>
        <w:t>节 城镇更新</w:t>
      </w:r>
      <w:r>
        <w:tab/>
      </w:r>
      <w:r>
        <w:fldChar w:fldCharType="begin"/>
      </w:r>
      <w:r>
        <w:instrText xml:space="preserve"> PAGEREF _Toc21476 \h </w:instrText>
      </w:r>
      <w:r>
        <w:fldChar w:fldCharType="separate"/>
      </w:r>
      <w:r>
        <w:t>55</w:t>
      </w:r>
      <w:r>
        <w:fldChar w:fldCharType="end"/>
      </w:r>
      <w:r>
        <w:rPr>
          <w:rFonts w:eastAsia="黑体" w:cs="Times New Roman"/>
        </w:rPr>
        <w:fldChar w:fldCharType="end"/>
      </w:r>
    </w:p>
    <w:p w14:paraId="3DBEC9C7">
      <w:pPr>
        <w:pStyle w:val="14"/>
        <w:tabs>
          <w:tab w:val="right" w:leader="dot" w:pos="8312"/>
        </w:tabs>
      </w:pPr>
      <w:r>
        <w:rPr>
          <w:rFonts w:eastAsia="黑体" w:cs="Times New Roman"/>
        </w:rPr>
        <w:fldChar w:fldCharType="begin"/>
      </w:r>
      <w:r>
        <w:rPr>
          <w:rFonts w:eastAsia="黑体" w:cs="Times New Roman"/>
        </w:rPr>
        <w:instrText xml:space="preserve"> HYPERLINK \l _Toc6429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六</w:t>
      </w:r>
      <w:r>
        <w:rPr>
          <w:rFonts w:ascii="Times New Roman" w:hAnsi="Times New Roman" w:cs="Times New Roman"/>
        </w:rPr>
        <w:t>节 “四线”管控</w:t>
      </w:r>
      <w:r>
        <w:tab/>
      </w:r>
      <w:r>
        <w:fldChar w:fldCharType="begin"/>
      </w:r>
      <w:r>
        <w:instrText xml:space="preserve"> PAGEREF _Toc6429 \h </w:instrText>
      </w:r>
      <w:r>
        <w:fldChar w:fldCharType="separate"/>
      </w:r>
      <w:r>
        <w:t>56</w:t>
      </w:r>
      <w:r>
        <w:fldChar w:fldCharType="end"/>
      </w:r>
      <w:r>
        <w:rPr>
          <w:rFonts w:eastAsia="黑体" w:cs="Times New Roman"/>
        </w:rPr>
        <w:fldChar w:fldCharType="end"/>
      </w:r>
    </w:p>
    <w:p w14:paraId="3B0C81D1">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_Toc10914 </w:instrText>
      </w:r>
      <w:r>
        <w:rPr>
          <w:rFonts w:eastAsia="黑体" w:cs="Times New Roman"/>
        </w:rPr>
        <w:fldChar w:fldCharType="separate"/>
      </w:r>
      <w:r>
        <w:rPr>
          <w:rFonts w:ascii="Times New Roman" w:hAnsi="Times New Roman" w:cs="Times New Roman"/>
        </w:rPr>
        <w:t>第八章 国土空间保障支撑体系</w:t>
      </w:r>
      <w:r>
        <w:tab/>
      </w:r>
      <w:r>
        <w:fldChar w:fldCharType="begin"/>
      </w:r>
      <w:r>
        <w:instrText xml:space="preserve"> PAGEREF _Toc10914 \h </w:instrText>
      </w:r>
      <w:r>
        <w:fldChar w:fldCharType="separate"/>
      </w:r>
      <w:r>
        <w:t>58</w:t>
      </w:r>
      <w:r>
        <w:fldChar w:fldCharType="end"/>
      </w:r>
      <w:r>
        <w:rPr>
          <w:rFonts w:eastAsia="黑体" w:cs="Times New Roman"/>
        </w:rPr>
        <w:fldChar w:fldCharType="end"/>
      </w:r>
    </w:p>
    <w:p w14:paraId="5FCDAE65">
      <w:pPr>
        <w:pStyle w:val="14"/>
        <w:tabs>
          <w:tab w:val="right" w:leader="dot" w:pos="8312"/>
        </w:tabs>
      </w:pPr>
      <w:r>
        <w:rPr>
          <w:rFonts w:eastAsia="黑体" w:cs="Times New Roman"/>
        </w:rPr>
        <w:fldChar w:fldCharType="begin"/>
      </w:r>
      <w:r>
        <w:rPr>
          <w:rFonts w:eastAsia="黑体" w:cs="Times New Roman"/>
        </w:rPr>
        <w:instrText xml:space="preserve"> HYPERLINK \l _Toc10098 </w:instrText>
      </w:r>
      <w:r>
        <w:rPr>
          <w:rFonts w:eastAsia="黑体" w:cs="Times New Roman"/>
        </w:rPr>
        <w:fldChar w:fldCharType="separate"/>
      </w:r>
      <w:r>
        <w:rPr>
          <w:rFonts w:ascii="Times New Roman" w:hAnsi="Times New Roman" w:cs="Times New Roman"/>
        </w:rPr>
        <w:t>第一节 公共服务设施</w:t>
      </w:r>
      <w:r>
        <w:tab/>
      </w:r>
      <w:r>
        <w:fldChar w:fldCharType="begin"/>
      </w:r>
      <w:r>
        <w:instrText xml:space="preserve"> PAGEREF _Toc10098 \h </w:instrText>
      </w:r>
      <w:r>
        <w:fldChar w:fldCharType="separate"/>
      </w:r>
      <w:r>
        <w:t>58</w:t>
      </w:r>
      <w:r>
        <w:fldChar w:fldCharType="end"/>
      </w:r>
      <w:r>
        <w:rPr>
          <w:rFonts w:eastAsia="黑体" w:cs="Times New Roman"/>
        </w:rPr>
        <w:fldChar w:fldCharType="end"/>
      </w:r>
    </w:p>
    <w:p w14:paraId="6D5CA073">
      <w:pPr>
        <w:pStyle w:val="14"/>
        <w:tabs>
          <w:tab w:val="right" w:leader="dot" w:pos="8312"/>
        </w:tabs>
      </w:pPr>
      <w:r>
        <w:rPr>
          <w:rFonts w:eastAsia="黑体" w:cs="Times New Roman"/>
        </w:rPr>
        <w:fldChar w:fldCharType="begin"/>
      </w:r>
      <w:r>
        <w:rPr>
          <w:rFonts w:eastAsia="黑体" w:cs="Times New Roman"/>
        </w:rPr>
        <w:instrText xml:space="preserve"> HYPERLINK \l _Toc24086 </w:instrText>
      </w:r>
      <w:r>
        <w:rPr>
          <w:rFonts w:eastAsia="黑体" w:cs="Times New Roman"/>
        </w:rPr>
        <w:fldChar w:fldCharType="separate"/>
      </w:r>
      <w:r>
        <w:rPr>
          <w:rFonts w:ascii="Times New Roman" w:hAnsi="Times New Roman" w:cs="Times New Roman"/>
        </w:rPr>
        <w:t>第二节 综合交通设施</w:t>
      </w:r>
      <w:r>
        <w:tab/>
      </w:r>
      <w:r>
        <w:fldChar w:fldCharType="begin"/>
      </w:r>
      <w:r>
        <w:instrText xml:space="preserve"> PAGEREF _Toc24086 \h </w:instrText>
      </w:r>
      <w:r>
        <w:fldChar w:fldCharType="separate"/>
      </w:r>
      <w:r>
        <w:t>60</w:t>
      </w:r>
      <w:r>
        <w:fldChar w:fldCharType="end"/>
      </w:r>
      <w:r>
        <w:rPr>
          <w:rFonts w:eastAsia="黑体" w:cs="Times New Roman"/>
        </w:rPr>
        <w:fldChar w:fldCharType="end"/>
      </w:r>
    </w:p>
    <w:p w14:paraId="20EAF5B5">
      <w:pPr>
        <w:pStyle w:val="14"/>
        <w:tabs>
          <w:tab w:val="right" w:leader="dot" w:pos="8312"/>
        </w:tabs>
      </w:pPr>
      <w:r>
        <w:rPr>
          <w:rFonts w:eastAsia="黑体" w:cs="Times New Roman"/>
        </w:rPr>
        <w:fldChar w:fldCharType="begin"/>
      </w:r>
      <w:r>
        <w:rPr>
          <w:rFonts w:eastAsia="黑体" w:cs="Times New Roman"/>
        </w:rPr>
        <w:instrText xml:space="preserve"> HYPERLINK \l _Toc12125 </w:instrText>
      </w:r>
      <w:r>
        <w:rPr>
          <w:rFonts w:eastAsia="黑体" w:cs="Times New Roman"/>
        </w:rPr>
        <w:fldChar w:fldCharType="separate"/>
      </w:r>
      <w:r>
        <w:rPr>
          <w:rFonts w:ascii="Times New Roman" w:hAnsi="Times New Roman" w:cs="Times New Roman"/>
        </w:rPr>
        <w:t>第三节 市政基础设施</w:t>
      </w:r>
      <w:r>
        <w:tab/>
      </w:r>
      <w:r>
        <w:fldChar w:fldCharType="begin"/>
      </w:r>
      <w:r>
        <w:instrText xml:space="preserve"> PAGEREF _Toc12125 \h </w:instrText>
      </w:r>
      <w:r>
        <w:fldChar w:fldCharType="separate"/>
      </w:r>
      <w:r>
        <w:t>62</w:t>
      </w:r>
      <w:r>
        <w:fldChar w:fldCharType="end"/>
      </w:r>
      <w:r>
        <w:rPr>
          <w:rFonts w:eastAsia="黑体" w:cs="Times New Roman"/>
        </w:rPr>
        <w:fldChar w:fldCharType="end"/>
      </w:r>
    </w:p>
    <w:p w14:paraId="72AAB0CA">
      <w:pPr>
        <w:pStyle w:val="14"/>
        <w:tabs>
          <w:tab w:val="right" w:leader="dot" w:pos="8312"/>
        </w:tabs>
      </w:pPr>
      <w:r>
        <w:rPr>
          <w:rFonts w:eastAsia="黑体" w:cs="Times New Roman"/>
        </w:rPr>
        <w:fldChar w:fldCharType="begin"/>
      </w:r>
      <w:r>
        <w:rPr>
          <w:rFonts w:eastAsia="黑体" w:cs="Times New Roman"/>
        </w:rPr>
        <w:instrText xml:space="preserve"> HYPERLINK \l _Toc9887 </w:instrText>
      </w:r>
      <w:r>
        <w:rPr>
          <w:rFonts w:eastAsia="黑体" w:cs="Times New Roman"/>
        </w:rPr>
        <w:fldChar w:fldCharType="separate"/>
      </w:r>
      <w:r>
        <w:rPr>
          <w:rFonts w:ascii="Times New Roman" w:hAnsi="Times New Roman" w:cs="Times New Roman"/>
        </w:rPr>
        <w:t>第四节 防灾减灾设施</w:t>
      </w:r>
      <w:r>
        <w:tab/>
      </w:r>
      <w:r>
        <w:fldChar w:fldCharType="begin"/>
      </w:r>
      <w:r>
        <w:instrText xml:space="preserve"> PAGEREF _Toc9887 \h </w:instrText>
      </w:r>
      <w:r>
        <w:fldChar w:fldCharType="separate"/>
      </w:r>
      <w:r>
        <w:t>69</w:t>
      </w:r>
      <w:r>
        <w:fldChar w:fldCharType="end"/>
      </w:r>
      <w:r>
        <w:rPr>
          <w:rFonts w:eastAsia="黑体" w:cs="Times New Roman"/>
        </w:rPr>
        <w:fldChar w:fldCharType="end"/>
      </w:r>
    </w:p>
    <w:p w14:paraId="3767A64D">
      <w:pPr>
        <w:pStyle w:val="13"/>
        <w:tabs>
          <w:tab w:val="right" w:leader="dot" w:pos="8312"/>
          <w:tab w:val="clear" w:pos="8302"/>
        </w:tabs>
      </w:pPr>
      <w:r>
        <w:rPr>
          <w:rFonts w:eastAsia="黑体" w:cs="Times New Roman"/>
        </w:rPr>
        <w:fldChar w:fldCharType="begin"/>
      </w:r>
      <w:r>
        <w:rPr>
          <w:rFonts w:eastAsia="黑体" w:cs="Times New Roman"/>
        </w:rPr>
        <w:instrText xml:space="preserve"> HYPERLINK \l _Toc24451 </w:instrText>
      </w:r>
      <w:r>
        <w:rPr>
          <w:rFonts w:eastAsia="黑体" w:cs="Times New Roman"/>
        </w:rPr>
        <w:fldChar w:fldCharType="separate"/>
      </w:r>
      <w:r>
        <w:rPr>
          <w:rFonts w:ascii="Times New Roman" w:hAnsi="Times New Roman" w:cs="Times New Roman"/>
        </w:rPr>
        <w:t>第九章 规划传导与近期建设</w:t>
      </w:r>
      <w:r>
        <w:tab/>
      </w:r>
      <w:r>
        <w:fldChar w:fldCharType="begin"/>
      </w:r>
      <w:r>
        <w:instrText xml:space="preserve"> PAGEREF _Toc24451 \h </w:instrText>
      </w:r>
      <w:r>
        <w:fldChar w:fldCharType="separate"/>
      </w:r>
      <w:r>
        <w:t>75</w:t>
      </w:r>
      <w:r>
        <w:fldChar w:fldCharType="end"/>
      </w:r>
      <w:r>
        <w:rPr>
          <w:rFonts w:eastAsia="黑体" w:cs="Times New Roman"/>
        </w:rPr>
        <w:fldChar w:fldCharType="end"/>
      </w:r>
    </w:p>
    <w:p w14:paraId="1E40DDE5">
      <w:pPr>
        <w:pStyle w:val="14"/>
        <w:tabs>
          <w:tab w:val="right" w:leader="dot" w:pos="8312"/>
        </w:tabs>
      </w:pPr>
      <w:r>
        <w:rPr>
          <w:rFonts w:eastAsia="黑体" w:cs="Times New Roman"/>
        </w:rPr>
        <w:fldChar w:fldCharType="begin"/>
      </w:r>
      <w:r>
        <w:rPr>
          <w:rFonts w:eastAsia="黑体" w:cs="Times New Roman"/>
        </w:rPr>
        <w:instrText xml:space="preserve"> HYPERLINK \l _Toc30985 </w:instrText>
      </w:r>
      <w:r>
        <w:rPr>
          <w:rFonts w:eastAsia="黑体" w:cs="Times New Roman"/>
        </w:rPr>
        <w:fldChar w:fldCharType="separate"/>
      </w:r>
      <w:r>
        <w:rPr>
          <w:rFonts w:ascii="Times New Roman" w:hAnsi="Times New Roman" w:cs="Times New Roman"/>
        </w:rPr>
        <w:t>第一节 加强党的领导</w:t>
      </w:r>
      <w:r>
        <w:tab/>
      </w:r>
      <w:r>
        <w:fldChar w:fldCharType="begin"/>
      </w:r>
      <w:r>
        <w:instrText xml:space="preserve"> PAGEREF _Toc30985 \h </w:instrText>
      </w:r>
      <w:r>
        <w:fldChar w:fldCharType="separate"/>
      </w:r>
      <w:r>
        <w:t>75</w:t>
      </w:r>
      <w:r>
        <w:fldChar w:fldCharType="end"/>
      </w:r>
      <w:r>
        <w:rPr>
          <w:rFonts w:eastAsia="黑体" w:cs="Times New Roman"/>
        </w:rPr>
        <w:fldChar w:fldCharType="end"/>
      </w:r>
    </w:p>
    <w:p w14:paraId="596947CE">
      <w:pPr>
        <w:pStyle w:val="14"/>
        <w:tabs>
          <w:tab w:val="right" w:leader="dot" w:pos="8312"/>
        </w:tabs>
      </w:pPr>
      <w:r>
        <w:rPr>
          <w:rFonts w:eastAsia="黑体" w:cs="Times New Roman"/>
        </w:rPr>
        <w:fldChar w:fldCharType="begin"/>
      </w:r>
      <w:r>
        <w:rPr>
          <w:rFonts w:eastAsia="黑体" w:cs="Times New Roman"/>
        </w:rPr>
        <w:instrText xml:space="preserve"> HYPERLINK \l _Toc16212 </w:instrText>
      </w:r>
      <w:r>
        <w:rPr>
          <w:rFonts w:eastAsia="黑体" w:cs="Times New Roman"/>
        </w:rPr>
        <w:fldChar w:fldCharType="separate"/>
      </w:r>
      <w:r>
        <w:rPr>
          <w:rFonts w:ascii="Times New Roman" w:hAnsi="Times New Roman" w:cs="Times New Roman"/>
        </w:rPr>
        <w:t>第二节 详细规划传导</w:t>
      </w:r>
      <w:r>
        <w:tab/>
      </w:r>
      <w:r>
        <w:fldChar w:fldCharType="begin"/>
      </w:r>
      <w:r>
        <w:instrText xml:space="preserve"> PAGEREF _Toc16212 \h </w:instrText>
      </w:r>
      <w:r>
        <w:fldChar w:fldCharType="separate"/>
      </w:r>
      <w:r>
        <w:t>76</w:t>
      </w:r>
      <w:r>
        <w:fldChar w:fldCharType="end"/>
      </w:r>
      <w:r>
        <w:rPr>
          <w:rFonts w:eastAsia="黑体" w:cs="Times New Roman"/>
        </w:rPr>
        <w:fldChar w:fldCharType="end"/>
      </w:r>
    </w:p>
    <w:p w14:paraId="5D7B36EB">
      <w:pPr>
        <w:pStyle w:val="14"/>
        <w:tabs>
          <w:tab w:val="right" w:leader="dot" w:pos="8312"/>
        </w:tabs>
      </w:pPr>
      <w:r>
        <w:rPr>
          <w:rFonts w:eastAsia="黑体" w:cs="Times New Roman"/>
        </w:rPr>
        <w:fldChar w:fldCharType="begin"/>
      </w:r>
      <w:r>
        <w:rPr>
          <w:rFonts w:eastAsia="黑体" w:cs="Times New Roman"/>
        </w:rPr>
        <w:instrText xml:space="preserve"> HYPERLINK \l _Toc21901 </w:instrText>
      </w:r>
      <w:r>
        <w:rPr>
          <w:rFonts w:eastAsia="黑体" w:cs="Times New Roman"/>
        </w:rPr>
        <w:fldChar w:fldCharType="separate"/>
      </w:r>
      <w:r>
        <w:rPr>
          <w:rFonts w:ascii="Times New Roman" w:hAnsi="Times New Roman" w:cs="Times New Roman"/>
        </w:rPr>
        <w:t>第三节 近期建设</w:t>
      </w:r>
      <w:r>
        <w:tab/>
      </w:r>
      <w:r>
        <w:fldChar w:fldCharType="begin"/>
      </w:r>
      <w:r>
        <w:instrText xml:space="preserve"> PAGEREF _Toc21901 \h </w:instrText>
      </w:r>
      <w:r>
        <w:fldChar w:fldCharType="separate"/>
      </w:r>
      <w:r>
        <w:t>77</w:t>
      </w:r>
      <w:r>
        <w:fldChar w:fldCharType="end"/>
      </w:r>
      <w:r>
        <w:rPr>
          <w:rFonts w:eastAsia="黑体" w:cs="Times New Roman"/>
        </w:rPr>
        <w:fldChar w:fldCharType="end"/>
      </w:r>
    </w:p>
    <w:p w14:paraId="3BA502C3">
      <w:pPr>
        <w:pStyle w:val="14"/>
        <w:tabs>
          <w:tab w:val="right" w:leader="dot" w:pos="8312"/>
        </w:tabs>
      </w:pPr>
      <w:r>
        <w:rPr>
          <w:rFonts w:eastAsia="黑体" w:cs="Times New Roman"/>
        </w:rPr>
        <w:fldChar w:fldCharType="begin"/>
      </w:r>
      <w:r>
        <w:rPr>
          <w:rFonts w:eastAsia="黑体" w:cs="Times New Roman"/>
        </w:rPr>
        <w:instrText xml:space="preserve"> HYPERLINK \l _Toc12933 </w:instrText>
      </w:r>
      <w:r>
        <w:rPr>
          <w:rFonts w:eastAsia="黑体" w:cs="Times New Roman"/>
        </w:rPr>
        <w:fldChar w:fldCharType="separate"/>
      </w:r>
      <w:r>
        <w:rPr>
          <w:rFonts w:ascii="Times New Roman" w:hAnsi="Times New Roman" w:cs="Times New Roman"/>
        </w:rPr>
        <w:t>第四节 “一张图”建设与实施监督</w:t>
      </w:r>
      <w:r>
        <w:tab/>
      </w:r>
      <w:r>
        <w:fldChar w:fldCharType="begin"/>
      </w:r>
      <w:r>
        <w:instrText xml:space="preserve"> PAGEREF _Toc12933 \h </w:instrText>
      </w:r>
      <w:r>
        <w:fldChar w:fldCharType="separate"/>
      </w:r>
      <w:r>
        <w:t>79</w:t>
      </w:r>
      <w:r>
        <w:fldChar w:fldCharType="end"/>
      </w:r>
      <w:r>
        <w:rPr>
          <w:rFonts w:eastAsia="黑体" w:cs="Times New Roman"/>
        </w:rPr>
        <w:fldChar w:fldCharType="end"/>
      </w:r>
    </w:p>
    <w:p w14:paraId="60C8D9C6">
      <w:pPr>
        <w:ind w:firstLine="640"/>
        <w:rPr>
          <w:rFonts w:cs="Times New Roman"/>
        </w:rPr>
        <w:sectPr>
          <w:footerReference r:id="rId11" w:type="default"/>
          <w:pgSz w:w="11906" w:h="16838"/>
          <w:pgMar w:top="1440" w:right="1797" w:bottom="1440" w:left="1797" w:header="851" w:footer="992" w:gutter="0"/>
          <w:pgNumType w:fmt="upperRoman" w:start="1"/>
          <w:cols w:space="425" w:num="1"/>
          <w:docGrid w:type="lines" w:linePitch="312" w:charSpace="0"/>
        </w:sectPr>
      </w:pPr>
      <w:r>
        <w:rPr>
          <w:rFonts w:eastAsia="黑体" w:cs="Times New Roman"/>
        </w:rPr>
        <w:fldChar w:fldCharType="end"/>
      </w:r>
    </w:p>
    <w:p w14:paraId="14576DA7">
      <w:pPr>
        <w:pStyle w:val="2"/>
        <w:spacing w:before="312" w:after="312"/>
        <w:ind w:left="420" w:hanging="420"/>
        <w:rPr>
          <w:rFonts w:ascii="Times New Roman" w:hAnsi="Times New Roman" w:cs="Times New Roman"/>
        </w:rPr>
      </w:pPr>
      <w:bookmarkStart w:id="0" w:name="_Toc185931288"/>
      <w:bookmarkStart w:id="1" w:name="_Toc11891"/>
      <w:bookmarkStart w:id="2" w:name="_Toc4774"/>
      <w:bookmarkStart w:id="3" w:name="_Toc5940"/>
      <w:r>
        <w:rPr>
          <w:rFonts w:ascii="Times New Roman" w:hAnsi="Times New Roman" w:cs="Times New Roman"/>
        </w:rPr>
        <w:t>第一章 总 则</w:t>
      </w:r>
      <w:bookmarkEnd w:id="0"/>
      <w:bookmarkEnd w:id="1"/>
      <w:bookmarkEnd w:id="2"/>
      <w:bookmarkEnd w:id="3"/>
    </w:p>
    <w:p w14:paraId="791668A5">
      <w:pPr>
        <w:pStyle w:val="4"/>
        <w:numPr>
          <w:ilvl w:val="0"/>
          <w:numId w:val="1"/>
        </w:numPr>
        <w:ind w:left="860" w:firstLine="361" w:firstLineChars="113"/>
      </w:pPr>
      <w:r>
        <w:t>规划定位</w:t>
      </w:r>
    </w:p>
    <w:p w14:paraId="6BB97EFF">
      <w:pPr>
        <w:ind w:firstLine="640"/>
        <w:rPr>
          <w:rFonts w:cs="Times New Roman"/>
        </w:rPr>
      </w:pPr>
      <w:r>
        <w:rPr>
          <w:rFonts w:cs="Times New Roman"/>
        </w:rPr>
        <w:t>《桓仁满族自治县</w:t>
      </w:r>
      <w:r>
        <w:rPr>
          <w:rFonts w:hint="eastAsia" w:cs="Times New Roman"/>
        </w:rPr>
        <w:t>华来镇</w:t>
      </w:r>
      <w:r>
        <w:rPr>
          <w:rFonts w:cs="Times New Roman"/>
        </w:rPr>
        <w:t>国土空间总体规划（2021-2035年）》（以下简称《规划》）是对《桓仁满族自治县国土空间总体规划（2021-2035年）》的细化落实，是对规划期内</w:t>
      </w:r>
      <w:r>
        <w:rPr>
          <w:rFonts w:hint="eastAsia" w:cs="Times New Roman"/>
        </w:rPr>
        <w:t>华来镇</w:t>
      </w:r>
      <w:r>
        <w:rPr>
          <w:rFonts w:cs="Times New Roman"/>
        </w:rPr>
        <w:t>国土空间保护、开发、利用、修复做出的综合部署和具体安排，是编制相关专项规划、详细规划、村庄规划和实施国土空间用途管制的基本依据。</w:t>
      </w:r>
    </w:p>
    <w:p w14:paraId="4649DC9F">
      <w:pPr>
        <w:pStyle w:val="4"/>
        <w:numPr>
          <w:ilvl w:val="0"/>
          <w:numId w:val="1"/>
        </w:numPr>
        <w:ind w:left="860" w:firstLine="361" w:firstLineChars="113"/>
      </w:pPr>
      <w:r>
        <w:t>指导思想</w:t>
      </w:r>
    </w:p>
    <w:p w14:paraId="1AA18D77">
      <w:pPr>
        <w:ind w:firstLine="640"/>
        <w:rPr>
          <w:rFonts w:cs="Times New Roman"/>
        </w:rPr>
      </w:pPr>
      <w:r>
        <w:rPr>
          <w:rFonts w:cs="Times New Roman"/>
        </w:rPr>
        <w:t>坚持以习近平新时代中国特色社会主义思想为指导，全面贯彻落实党的二十大及相关会议精神，深入贯彻习近平总书记关于东北振兴、辽宁振兴发展的重要讲话和指示批示精神，立足新发展阶段，完整、准确、全面贯彻新发展理念，服务和融入新发展格局，顺应新时代国土空间治理要求，牢牢把握高质量发展这个首要任务和构建新发展格局这个战略任务，融入辽宁省“一圈一带两区”区域发展格局，以绿色发展为主线，牢固树立生态文明思想，促进生态资源产业化发展，提高国土空间资源利用效率，彰显国土空间品质，全面提升国土空间治理体系和治理能力现代化水平，形成对省、市、县重大战略的强有力支撑，为实现华来镇全面振兴、全方位振兴提供空间引领和保障。</w:t>
      </w:r>
    </w:p>
    <w:p w14:paraId="42BCCF91">
      <w:pPr>
        <w:pStyle w:val="4"/>
        <w:numPr>
          <w:ilvl w:val="0"/>
          <w:numId w:val="1"/>
        </w:numPr>
        <w:ind w:left="860" w:firstLine="361" w:firstLineChars="113"/>
      </w:pPr>
      <w:r>
        <w:t>规划依据</w:t>
      </w:r>
    </w:p>
    <w:p w14:paraId="6073D680">
      <w:pPr>
        <w:ind w:firstLine="640"/>
        <w:rPr>
          <w:rFonts w:cs="Times New Roman"/>
          <w:szCs w:val="32"/>
        </w:rPr>
      </w:pPr>
      <w:r>
        <w:rPr>
          <w:rFonts w:cs="Times New Roman"/>
          <w:szCs w:val="32"/>
        </w:rPr>
        <w:t>1.法律法规</w:t>
      </w:r>
    </w:p>
    <w:p w14:paraId="56F8CAC2">
      <w:pPr>
        <w:ind w:firstLine="640"/>
        <w:rPr>
          <w:rFonts w:cs="Times New Roman"/>
        </w:rPr>
      </w:pPr>
      <w:r>
        <w:rPr>
          <w:rFonts w:cs="Times New Roman"/>
        </w:rPr>
        <w:t>（1）《中华人民共和国土地管理法》（2019年修正）；</w:t>
      </w:r>
    </w:p>
    <w:p w14:paraId="218761A6">
      <w:pPr>
        <w:ind w:firstLine="640"/>
        <w:rPr>
          <w:rFonts w:cs="Times New Roman"/>
        </w:rPr>
      </w:pPr>
      <w:r>
        <w:rPr>
          <w:rFonts w:cs="Times New Roman"/>
        </w:rPr>
        <w:t>（2）《中华人民共和国城乡规划法》（2019年修正）；</w:t>
      </w:r>
    </w:p>
    <w:p w14:paraId="61B9E9BB">
      <w:pPr>
        <w:ind w:firstLine="640"/>
        <w:rPr>
          <w:rFonts w:cs="Times New Roman"/>
        </w:rPr>
      </w:pPr>
      <w:r>
        <w:rPr>
          <w:rFonts w:cs="Times New Roman"/>
        </w:rPr>
        <w:t>（3）《中华人民共和国乡村振兴促进法》（2021年）；</w:t>
      </w:r>
    </w:p>
    <w:p w14:paraId="34488F43">
      <w:pPr>
        <w:ind w:firstLine="640"/>
        <w:rPr>
          <w:rFonts w:cs="Times New Roman"/>
        </w:rPr>
      </w:pPr>
      <w:r>
        <w:rPr>
          <w:rFonts w:cs="Times New Roman"/>
        </w:rPr>
        <w:t>（4）《基本农田保护条例》（2011年修订）。</w:t>
      </w:r>
    </w:p>
    <w:p w14:paraId="5EACDF7F">
      <w:pPr>
        <w:ind w:firstLine="640"/>
        <w:rPr>
          <w:rFonts w:cs="Times New Roman"/>
          <w:szCs w:val="32"/>
        </w:rPr>
      </w:pPr>
      <w:r>
        <w:rPr>
          <w:rFonts w:cs="Times New Roman"/>
          <w:szCs w:val="32"/>
        </w:rPr>
        <w:t>2.政策文件</w:t>
      </w:r>
    </w:p>
    <w:p w14:paraId="2906E308">
      <w:pPr>
        <w:ind w:firstLine="640"/>
        <w:rPr>
          <w:rFonts w:cs="Times New Roman"/>
        </w:rPr>
      </w:pPr>
      <w:r>
        <w:rPr>
          <w:rFonts w:cs="Times New Roman"/>
        </w:rPr>
        <w:t>（1）《中共中央 国务院关于建立国土空间规划体系并监督实施的若干意见》（中发〔2019〕18 号）；</w:t>
      </w:r>
    </w:p>
    <w:p w14:paraId="08405FDC">
      <w:pPr>
        <w:ind w:firstLine="640"/>
        <w:rPr>
          <w:rFonts w:cs="Times New Roman"/>
        </w:rPr>
      </w:pPr>
      <w:r>
        <w:rPr>
          <w:rFonts w:cs="Times New Roman"/>
        </w:rPr>
        <w:t>（2）《中共中央 国务院关于实施乡村振兴战略的意见》（中发〔2018〕1号）；</w:t>
      </w:r>
    </w:p>
    <w:p w14:paraId="28AA2602">
      <w:pPr>
        <w:ind w:firstLine="640"/>
        <w:rPr>
          <w:rFonts w:cs="Times New Roman"/>
        </w:rPr>
      </w:pPr>
      <w:r>
        <w:rPr>
          <w:rFonts w:cs="Times New Roman"/>
        </w:rPr>
        <w:t>（3）《中共中央办公厅 国务院办公厅印发&lt;关于在国土空间规划中统筹划定落实三条控制线的指导意见&gt;的通知》（厅字〔2019〕48 号）；</w:t>
      </w:r>
    </w:p>
    <w:p w14:paraId="2280DF37">
      <w:pPr>
        <w:ind w:firstLine="640"/>
        <w:rPr>
          <w:rFonts w:cs="Times New Roman"/>
        </w:rPr>
      </w:pPr>
      <w:r>
        <w:rPr>
          <w:rFonts w:cs="Times New Roman"/>
        </w:rPr>
        <w:t>（4）《自然资源部关于全面开展国土空间规划工作的通知》（自然资发〔2019〕87 号）；</w:t>
      </w:r>
    </w:p>
    <w:p w14:paraId="44FFF535">
      <w:pPr>
        <w:ind w:firstLine="640"/>
        <w:rPr>
          <w:rFonts w:cs="Times New Roman"/>
        </w:rPr>
      </w:pPr>
      <w:r>
        <w:rPr>
          <w:rFonts w:cs="Times New Roman"/>
        </w:rPr>
        <w:t>（5）《辽宁省委 省政府关于建立全省国土空间规划体系并监督实施的意见》（辽委发〔2020〕12号）。</w:t>
      </w:r>
    </w:p>
    <w:p w14:paraId="2A6EBCE2">
      <w:pPr>
        <w:ind w:firstLine="640"/>
        <w:rPr>
          <w:rFonts w:cs="Times New Roman"/>
          <w:szCs w:val="32"/>
        </w:rPr>
      </w:pPr>
      <w:r>
        <w:rPr>
          <w:rFonts w:cs="Times New Roman"/>
          <w:szCs w:val="32"/>
        </w:rPr>
        <w:t>3.标准规范</w:t>
      </w:r>
    </w:p>
    <w:p w14:paraId="755100A4">
      <w:pPr>
        <w:ind w:firstLine="640"/>
        <w:rPr>
          <w:rFonts w:cs="Times New Roman"/>
        </w:rPr>
      </w:pPr>
      <w:r>
        <w:rPr>
          <w:rFonts w:cs="Times New Roman"/>
        </w:rPr>
        <w:t>（1）《国土空间调查、规划、用途管制用地用海分类指南（试行）》（2023年印发）；</w:t>
      </w:r>
    </w:p>
    <w:p w14:paraId="3F928BEA">
      <w:pPr>
        <w:ind w:firstLine="640"/>
        <w:rPr>
          <w:rFonts w:cs="Times New Roman"/>
        </w:rPr>
      </w:pPr>
      <w:r>
        <w:rPr>
          <w:rFonts w:cs="Times New Roman"/>
        </w:rPr>
        <w:t>（2）《辽宁省乡镇级国土空间总体规划编制导则》（试行）。</w:t>
      </w:r>
    </w:p>
    <w:p w14:paraId="740E5F0E">
      <w:pPr>
        <w:ind w:firstLine="640"/>
        <w:rPr>
          <w:rFonts w:cs="Times New Roman"/>
          <w:szCs w:val="32"/>
        </w:rPr>
      </w:pPr>
      <w:r>
        <w:rPr>
          <w:rFonts w:cs="Times New Roman"/>
          <w:szCs w:val="32"/>
        </w:rPr>
        <w:t>4.相关规划</w:t>
      </w:r>
    </w:p>
    <w:p w14:paraId="66618E20">
      <w:pPr>
        <w:ind w:firstLine="640"/>
        <w:rPr>
          <w:rFonts w:cs="Times New Roman"/>
        </w:rPr>
      </w:pPr>
      <w:r>
        <w:rPr>
          <w:rFonts w:cs="Times New Roman"/>
        </w:rPr>
        <w:t>（1）《本溪市国民经济和社会发展第十四个五年规划和二</w:t>
      </w:r>
      <w:r>
        <w:rPr>
          <w:rFonts w:eastAsia="微软雅黑" w:cs="Times New Roman"/>
        </w:rPr>
        <w:t>〇</w:t>
      </w:r>
      <w:r>
        <w:rPr>
          <w:rFonts w:cs="Times New Roman"/>
        </w:rPr>
        <w:t>三五年远景目标纲要》；</w:t>
      </w:r>
    </w:p>
    <w:p w14:paraId="47964D26">
      <w:pPr>
        <w:ind w:firstLine="640"/>
        <w:rPr>
          <w:rFonts w:cs="Times New Roman"/>
        </w:rPr>
      </w:pPr>
      <w:r>
        <w:rPr>
          <w:rFonts w:cs="Times New Roman"/>
        </w:rPr>
        <w:t>（2）《本溪市国土空间总体规划（2021-2035年）》；</w:t>
      </w:r>
    </w:p>
    <w:p w14:paraId="6C1A7761">
      <w:pPr>
        <w:ind w:firstLine="640"/>
        <w:rPr>
          <w:rFonts w:cs="Times New Roman"/>
        </w:rPr>
      </w:pPr>
      <w:r>
        <w:rPr>
          <w:rFonts w:cs="Times New Roman"/>
        </w:rPr>
        <w:t>（3）《桓仁满族自治县国民经济和社会发展第十四个五年规划和二</w:t>
      </w:r>
      <w:r>
        <w:rPr>
          <w:rFonts w:eastAsia="微软雅黑" w:cs="Times New Roman"/>
        </w:rPr>
        <w:t>〇</w:t>
      </w:r>
      <w:r>
        <w:rPr>
          <w:rFonts w:cs="Times New Roman"/>
        </w:rPr>
        <w:t>三五年远景目标纲要》；</w:t>
      </w:r>
    </w:p>
    <w:p w14:paraId="4E62B681">
      <w:pPr>
        <w:ind w:firstLine="640"/>
        <w:rPr>
          <w:rFonts w:cs="Times New Roman"/>
        </w:rPr>
      </w:pPr>
      <w:r>
        <w:rPr>
          <w:rFonts w:cs="Times New Roman"/>
        </w:rPr>
        <w:t>（4）《桓仁满族自治县国土空间总体规划（2021-2035年）》。</w:t>
      </w:r>
    </w:p>
    <w:p w14:paraId="3C004CDA">
      <w:pPr>
        <w:ind w:firstLine="640"/>
        <w:rPr>
          <w:rFonts w:cs="Times New Roman"/>
        </w:rPr>
      </w:pPr>
      <w:r>
        <w:rPr>
          <w:rFonts w:cs="Times New Roman"/>
          <w:szCs w:val="32"/>
        </w:rPr>
        <w:t>5.其他相关法律法规、政策文件、标准规范和规划成果</w:t>
      </w:r>
      <w:r>
        <w:rPr>
          <w:rFonts w:cs="Times New Roman"/>
        </w:rPr>
        <w:t>。</w:t>
      </w:r>
    </w:p>
    <w:p w14:paraId="729126CD">
      <w:pPr>
        <w:pStyle w:val="4"/>
        <w:numPr>
          <w:ilvl w:val="0"/>
          <w:numId w:val="1"/>
        </w:numPr>
        <w:ind w:left="860" w:firstLine="361" w:firstLineChars="113"/>
      </w:pPr>
      <w:r>
        <w:t>规划原则</w:t>
      </w:r>
    </w:p>
    <w:p w14:paraId="458A7DFC">
      <w:pPr>
        <w:ind w:firstLine="640"/>
        <w:rPr>
          <w:rFonts w:cs="Times New Roman"/>
        </w:rPr>
      </w:pPr>
      <w:r>
        <w:rPr>
          <w:rFonts w:eastAsia="楷体_GB2312" w:cs="Times New Roman"/>
        </w:rPr>
        <w:t>底线约束，保护优先。</w:t>
      </w:r>
      <w:r>
        <w:rPr>
          <w:rFonts w:cs="Times New Roman"/>
        </w:rPr>
        <w:t>树立底线思维，严守安全底线，保护自然资源，引导全域国土空间节约集约、绿色低碳发展。严控建设用地增量、盘活存量，探索内涵式、集约型的高质量发展路径，提高国土空间开发利用效率和质量。加快转变城乡建设方式，控制和减少碳排放，促进人与自然和谐共生。</w:t>
      </w:r>
    </w:p>
    <w:p w14:paraId="6D0FFB98">
      <w:pPr>
        <w:ind w:firstLine="640"/>
        <w:rPr>
          <w:rFonts w:cs="Times New Roman"/>
        </w:rPr>
      </w:pPr>
      <w:r>
        <w:rPr>
          <w:rFonts w:eastAsia="楷体_GB2312" w:cs="Times New Roman"/>
        </w:rPr>
        <w:t>承接传导，细化落实。</w:t>
      </w:r>
      <w:r>
        <w:rPr>
          <w:rFonts w:cs="Times New Roman"/>
        </w:rPr>
        <w:t>强化对上位规划的承接落实，严格落实约束性指标、规划控制线、区域性设施等规划强制性内容，深化细化管控要求，明确对专项规划、详细规划的传导内容，保障规划自上而下传导落位，构建上下联动的双向传导衔接机制，实现对全域自然资源要素的覆盖与管控。</w:t>
      </w:r>
    </w:p>
    <w:p w14:paraId="1933E843">
      <w:pPr>
        <w:ind w:firstLine="640"/>
        <w:rPr>
          <w:rFonts w:cs="Times New Roman"/>
        </w:rPr>
      </w:pPr>
      <w:r>
        <w:rPr>
          <w:rFonts w:eastAsia="楷体_GB2312" w:cs="Times New Roman"/>
        </w:rPr>
        <w:t>人民至上，品质提升。</w:t>
      </w:r>
      <w:r>
        <w:rPr>
          <w:rFonts w:cs="Times New Roman"/>
        </w:rPr>
        <w:t>坚持以人民为中心的发展思想，以人民对美好生活的向往为目标，优化配置空间资源，完善基础设施和公共服务设施，提升人居环境品质，实现高质量发展、高品质生活和高水平治理，不断提高人民群众的获得感、幸福感、安全感。</w:t>
      </w:r>
      <w:r>
        <w:rPr>
          <w:rFonts w:cs="Times New Roman"/>
        </w:rPr>
        <w:cr/>
      </w:r>
      <w:r>
        <w:rPr>
          <w:rFonts w:cs="Times New Roman"/>
        </w:rPr>
        <w:t xml:space="preserve">  </w:t>
      </w:r>
      <w:r>
        <w:rPr>
          <w:rFonts w:eastAsia="楷体_GB2312" w:cs="Times New Roman"/>
        </w:rPr>
        <w:t xml:space="preserve">  因地制宜，彰显特色。</w:t>
      </w:r>
      <w:r>
        <w:rPr>
          <w:rFonts w:cs="Times New Roman"/>
        </w:rPr>
        <w:t>深入挖掘华来镇资源禀赋、历史文化、人文景观、乡村产业等特征，突出地域特色，加快资源优势向经济优势转变，因地制宜体现美丽田园、民族融合、乡土风俗、冰雪风光等特色，凸显</w:t>
      </w:r>
      <w:r>
        <w:rPr>
          <w:rFonts w:hint="eastAsia" w:cs="Times New Roman"/>
        </w:rPr>
        <w:t>华来</w:t>
      </w:r>
      <w:r>
        <w:rPr>
          <w:rFonts w:cs="Times New Roman"/>
        </w:rPr>
        <w:t>韵味。</w:t>
      </w:r>
    </w:p>
    <w:p w14:paraId="7762177F">
      <w:pPr>
        <w:ind w:firstLine="640"/>
        <w:rPr>
          <w:rFonts w:cs="Times New Roman"/>
        </w:rPr>
      </w:pPr>
      <w:r>
        <w:rPr>
          <w:rFonts w:eastAsia="楷体_GB2312" w:cs="Times New Roman"/>
        </w:rPr>
        <w:t>公众参与，科学规划。</w:t>
      </w:r>
      <w:r>
        <w:rPr>
          <w:rFonts w:cs="Times New Roman"/>
        </w:rPr>
        <w:t>坚持“开门编规划”，组织相关部门、专家、居民参与到规划编制的全过程，通过公众参与凝聚社会智慧。充分应用大数据分析等数字化手段的辅助支撑作用，提升规划编制和管理水平。</w:t>
      </w:r>
    </w:p>
    <w:p w14:paraId="092C5615">
      <w:pPr>
        <w:pStyle w:val="4"/>
        <w:numPr>
          <w:ilvl w:val="0"/>
          <w:numId w:val="1"/>
        </w:numPr>
        <w:ind w:left="860" w:firstLine="361" w:firstLineChars="113"/>
      </w:pPr>
      <w:r>
        <w:t>规划范围</w:t>
      </w:r>
    </w:p>
    <w:p w14:paraId="04EF0952">
      <w:pPr>
        <w:ind w:firstLine="640"/>
        <w:rPr>
          <w:rFonts w:cs="Times New Roman"/>
        </w:rPr>
      </w:pPr>
      <w:r>
        <w:rPr>
          <w:rFonts w:hint="eastAsia"/>
        </w:rPr>
        <w:t>本次</w:t>
      </w:r>
      <w:r>
        <w:t>规划范围</w:t>
      </w:r>
      <w:r>
        <w:rPr>
          <w:rFonts w:hint="eastAsia"/>
        </w:rPr>
        <w:t>为华来镇</w:t>
      </w:r>
      <w:r>
        <w:t>行政辖区</w:t>
      </w:r>
      <w:r>
        <w:rPr>
          <w:rFonts w:hint="eastAsia"/>
        </w:rPr>
        <w:t>内全部国土空间</w:t>
      </w:r>
      <w:r>
        <w:t>，</w:t>
      </w:r>
      <w:r>
        <w:rPr>
          <w:rFonts w:hint="eastAsia"/>
        </w:rPr>
        <w:t>共辖19个行政村，总面积598.62平方公里。</w:t>
      </w:r>
      <w:r>
        <w:rPr>
          <w:rFonts w:hint="eastAsia" w:cs="Times New Roman"/>
        </w:rPr>
        <w:t>镇中心区为城镇开发边界的范围，总面积190.65公顷</w:t>
      </w:r>
      <w:r>
        <w:rPr>
          <w:rFonts w:hint="eastAsia"/>
        </w:rPr>
        <w:t>。</w:t>
      </w:r>
    </w:p>
    <w:p w14:paraId="0F173CD9">
      <w:pPr>
        <w:pStyle w:val="4"/>
        <w:numPr>
          <w:ilvl w:val="0"/>
          <w:numId w:val="1"/>
        </w:numPr>
        <w:ind w:left="860" w:firstLine="361" w:firstLineChars="113"/>
      </w:pPr>
      <w:r>
        <w:t>规划期限</w:t>
      </w:r>
    </w:p>
    <w:p w14:paraId="09861638">
      <w:pPr>
        <w:ind w:firstLine="640"/>
        <w:rPr>
          <w:rFonts w:cs="Times New Roman"/>
        </w:rPr>
      </w:pPr>
      <w:r>
        <w:rPr>
          <w:rFonts w:cs="Times New Roman"/>
        </w:rPr>
        <w:t>规划期限为2021-2035年。规划基期年为2020年，近期为2025年，规划目标年为2035年。</w:t>
      </w:r>
    </w:p>
    <w:p w14:paraId="780F1D76">
      <w:pPr>
        <w:pStyle w:val="4"/>
        <w:numPr>
          <w:ilvl w:val="0"/>
          <w:numId w:val="1"/>
        </w:numPr>
        <w:ind w:left="860" w:firstLine="361" w:firstLineChars="113"/>
      </w:pPr>
      <w:r>
        <w:t>强制性内容</w:t>
      </w:r>
    </w:p>
    <w:p w14:paraId="0E84E99C">
      <w:pPr>
        <w:ind w:firstLine="640"/>
        <w:rPr>
          <w:rFonts w:cs="Times New Roman"/>
        </w:rPr>
      </w:pPr>
      <w:r>
        <w:rPr>
          <w:rFonts w:cs="Times New Roman"/>
        </w:rPr>
        <w:t>文本中加下划线的内容以及附表中约束性指标为规划的强制性内容，必须严格执行。</w:t>
      </w:r>
    </w:p>
    <w:p w14:paraId="1C02AD76">
      <w:pPr>
        <w:pStyle w:val="2"/>
        <w:spacing w:before="312" w:after="312"/>
        <w:rPr>
          <w:rFonts w:ascii="Times New Roman" w:hAnsi="Times New Roman" w:cs="Times New Roman"/>
        </w:rPr>
      </w:pPr>
      <w:bookmarkStart w:id="4" w:name="_Toc30285"/>
      <w:bookmarkStart w:id="5" w:name="_Toc1779"/>
      <w:bookmarkStart w:id="6" w:name="_Toc27626"/>
      <w:bookmarkStart w:id="7" w:name="_Toc185931289"/>
      <w:r>
        <w:rPr>
          <w:rFonts w:ascii="Times New Roman" w:hAnsi="Times New Roman" w:cs="Times New Roman"/>
        </w:rPr>
        <w:t>第二章 发展定位与目标</w:t>
      </w:r>
      <w:bookmarkEnd w:id="4"/>
      <w:bookmarkEnd w:id="5"/>
      <w:bookmarkEnd w:id="6"/>
      <w:bookmarkEnd w:id="7"/>
    </w:p>
    <w:p w14:paraId="2DC54CA7">
      <w:pPr>
        <w:ind w:firstLine="640"/>
        <w:rPr>
          <w:rFonts w:cs="Times New Roman"/>
        </w:rPr>
      </w:pPr>
      <w:r>
        <w:rPr>
          <w:rFonts w:cs="Times New Roman"/>
        </w:rPr>
        <w:t>落实国家东北东部绿色经济带和辽宁省“一圈一带两区”发展战略，以及桓仁满族自治县（以下简称“桓仁县”）国土空间开发保护目标战略要求，立足华来镇资源环境条件、社会经济发展水平、产业基础发展趋势、自然人文特色等，明确国土空间开发保护目标和功能定位，指导国土空间格局优化。</w:t>
      </w:r>
    </w:p>
    <w:p w14:paraId="051A72C5">
      <w:pPr>
        <w:pStyle w:val="3"/>
        <w:rPr>
          <w:rFonts w:ascii="Times New Roman" w:hAnsi="Times New Roman" w:cs="Times New Roman"/>
        </w:rPr>
      </w:pPr>
      <w:bookmarkStart w:id="8" w:name="_Toc15861"/>
      <w:bookmarkStart w:id="9" w:name="_Toc185931290"/>
      <w:bookmarkStart w:id="10" w:name="_Toc16119"/>
      <w:bookmarkStart w:id="11" w:name="_Toc17481"/>
      <w:r>
        <w:rPr>
          <w:rFonts w:ascii="Times New Roman" w:hAnsi="Times New Roman" w:cs="Times New Roman"/>
        </w:rPr>
        <w:t>第一节 乡镇功能定位</w:t>
      </w:r>
      <w:bookmarkEnd w:id="8"/>
      <w:bookmarkEnd w:id="9"/>
      <w:bookmarkEnd w:id="10"/>
      <w:bookmarkEnd w:id="11"/>
    </w:p>
    <w:p w14:paraId="62B1A9B5">
      <w:pPr>
        <w:pStyle w:val="4"/>
        <w:numPr>
          <w:ilvl w:val="0"/>
          <w:numId w:val="3"/>
        </w:numPr>
        <w:ind w:left="420" w:firstLine="641" w:firstLineChars="0"/>
      </w:pPr>
      <w:r>
        <w:t>功能定位</w:t>
      </w:r>
    </w:p>
    <w:p w14:paraId="54C88328">
      <w:pPr>
        <w:ind w:firstLine="640"/>
        <w:rPr>
          <w:rFonts w:cs="Times New Roman"/>
        </w:rPr>
      </w:pPr>
      <w:r>
        <w:rPr>
          <w:rFonts w:cs="Times New Roman"/>
        </w:rPr>
        <w:t>落实上位规划要求，结合华来镇资源环境条件和产业发展基础等，</w:t>
      </w:r>
      <w:r>
        <w:rPr>
          <w:rFonts w:hint="eastAsia" w:ascii="Times New Roman" w:hAnsi="Times New Roman" w:cs="Times New Roman"/>
          <w:szCs w:val="22"/>
        </w:rPr>
        <w:t>将</w:t>
      </w:r>
      <w:r>
        <w:rPr>
          <w:rFonts w:hint="eastAsia" w:ascii="Times New Roman" w:hAnsi="Times New Roman" w:cs="Times New Roman"/>
          <w:szCs w:val="22"/>
          <w:highlight w:val="none"/>
        </w:rPr>
        <w:t>华来镇</w:t>
      </w:r>
      <w:r>
        <w:rPr>
          <w:rFonts w:hint="eastAsia" w:ascii="Times New Roman" w:hAnsi="Times New Roman" w:cs="Times New Roman"/>
          <w:szCs w:val="22"/>
        </w:rPr>
        <w:t>建设成为工</w:t>
      </w:r>
      <w:r>
        <w:rPr>
          <w:rFonts w:hint="eastAsia" w:ascii="仿宋_GB2312" w:hAnsi="仿宋_GB2312" w:cs="仿宋_GB2312"/>
          <w:szCs w:val="24"/>
        </w:rPr>
        <w:t>业集贸型重点镇，</w:t>
      </w:r>
      <w:r>
        <w:rPr>
          <w:rFonts w:cs="Times New Roman"/>
        </w:rPr>
        <w:t>确定华来镇的功能定位为：</w:t>
      </w:r>
      <w:bookmarkStart w:id="12" w:name="_Hlk184289618"/>
      <w:r>
        <w:rPr>
          <w:rFonts w:hint="eastAsia" w:cs="Times New Roman"/>
        </w:rPr>
        <w:t>绿色农产品精深加工区、抗联红色文化游集聚地、县域综合发展重点镇</w:t>
      </w:r>
      <w:bookmarkEnd w:id="12"/>
      <w:r>
        <w:rPr>
          <w:rFonts w:hint="eastAsia" w:cs="Times New Roman"/>
        </w:rPr>
        <w:t>。</w:t>
      </w:r>
    </w:p>
    <w:p w14:paraId="2B5C7FC8">
      <w:pPr>
        <w:ind w:firstLine="643"/>
        <w:rPr>
          <w:rFonts w:cs="Times New Roman"/>
        </w:rPr>
      </w:pPr>
      <w:r>
        <w:rPr>
          <w:rFonts w:hint="eastAsia" w:cs="Times New Roman"/>
          <w:b/>
          <w:bCs/>
        </w:rPr>
        <w:t>绿色农产品精深加工区</w:t>
      </w:r>
      <w:r>
        <w:rPr>
          <w:rFonts w:cs="Times New Roman"/>
          <w:b/>
          <w:bCs/>
        </w:rPr>
        <w:t>。</w:t>
      </w:r>
      <w:r>
        <w:rPr>
          <w:rFonts w:hint="eastAsia" w:cs="Times New Roman"/>
        </w:rPr>
        <w:t>依托华来镇人参、稻米等特色农产品优势，引导特色产业集聚，发展农产品深加工产业，延长产业链条，增加农产品附加值，打造具有华来特色的农产品品牌。</w:t>
      </w:r>
    </w:p>
    <w:p w14:paraId="169EE4DD">
      <w:pPr>
        <w:ind w:firstLine="643"/>
        <w:rPr>
          <w:rFonts w:cs="Times New Roman"/>
        </w:rPr>
      </w:pPr>
      <w:r>
        <w:rPr>
          <w:rFonts w:hint="eastAsia" w:cs="Times New Roman"/>
          <w:b/>
          <w:bCs/>
        </w:rPr>
        <w:t>抗联红色文化旅游集聚地</w:t>
      </w:r>
      <w:r>
        <w:rPr>
          <w:rFonts w:cs="Times New Roman"/>
          <w:b/>
          <w:bCs/>
        </w:rPr>
        <w:t>。</w:t>
      </w:r>
      <w:r>
        <w:rPr>
          <w:rFonts w:hint="eastAsia" w:cs="Times New Roman"/>
        </w:rPr>
        <w:t>深入研究挖掘，收集整理华来镇丰富的抗联遗址遗迹，加强保护修缮，开发具有地方特色红色旅游，将华来镇打造成为抗联红色文化集聚地，为文化旅游产业发展注入新的活力和动力。</w:t>
      </w:r>
      <w:r>
        <w:rPr>
          <w:rFonts w:hint="eastAsia" w:cs="Times New Roman"/>
          <w:b/>
          <w:bCs/>
        </w:rPr>
        <w:t xml:space="preserve"> </w:t>
      </w:r>
      <w:r>
        <w:rPr>
          <w:rFonts w:cs="Times New Roman"/>
          <w:b/>
          <w:bCs/>
        </w:rPr>
        <w:cr/>
      </w:r>
      <w:r>
        <w:rPr>
          <w:rFonts w:cs="Times New Roman"/>
        </w:rPr>
        <w:t xml:space="preserve"> </w:t>
      </w:r>
      <w:r>
        <w:rPr>
          <w:rFonts w:hint="eastAsia" w:cs="Times New Roman"/>
          <w:b/>
          <w:bCs/>
        </w:rPr>
        <w:t xml:space="preserve">   县域综合商贸服务发展重点镇</w:t>
      </w:r>
      <w:r>
        <w:rPr>
          <w:rFonts w:cs="Times New Roman"/>
          <w:b/>
          <w:bCs/>
        </w:rPr>
        <w:t>。</w:t>
      </w:r>
      <w:r>
        <w:rPr>
          <w:rFonts w:hint="eastAsia" w:cs="Times New Roman"/>
        </w:rPr>
        <w:t>依托华来镇特色农业资源、温泉资源、红色文化资源，贯穿绿色发展理念，拓宽特色业态、厚植特色文化，发展特色休闲农业，增强乡村文旅吸引力，实现经济、社会和环境的可持续发展。</w:t>
      </w:r>
    </w:p>
    <w:p w14:paraId="68BEB784">
      <w:pPr>
        <w:pStyle w:val="3"/>
        <w:rPr>
          <w:rFonts w:ascii="Times New Roman" w:hAnsi="Times New Roman" w:cs="Times New Roman"/>
        </w:rPr>
      </w:pPr>
      <w:bookmarkStart w:id="13" w:name="_Toc23407"/>
      <w:bookmarkStart w:id="14" w:name="_Toc24059"/>
      <w:bookmarkStart w:id="15" w:name="_Toc1814"/>
      <w:bookmarkStart w:id="16" w:name="_Toc185931291"/>
      <w:r>
        <w:rPr>
          <w:rFonts w:ascii="Times New Roman" w:hAnsi="Times New Roman" w:cs="Times New Roman"/>
        </w:rPr>
        <w:t>第二节 国土空间开发保护目标</w:t>
      </w:r>
      <w:bookmarkEnd w:id="13"/>
      <w:bookmarkEnd w:id="14"/>
      <w:bookmarkEnd w:id="15"/>
      <w:bookmarkEnd w:id="16"/>
    </w:p>
    <w:p w14:paraId="77933CDC">
      <w:pPr>
        <w:pStyle w:val="4"/>
        <w:numPr>
          <w:ilvl w:val="0"/>
          <w:numId w:val="4"/>
        </w:numPr>
        <w:ind w:left="420" w:firstLine="641" w:firstLineChars="0"/>
      </w:pPr>
      <w:r>
        <w:t>总体目标</w:t>
      </w:r>
    </w:p>
    <w:p w14:paraId="6692B210">
      <w:pPr>
        <w:ind w:firstLine="640"/>
        <w:rPr>
          <w:rFonts w:cs="Times New Roman"/>
        </w:rPr>
      </w:pPr>
      <w:r>
        <w:rPr>
          <w:rFonts w:cs="Times New Roman"/>
        </w:rPr>
        <w:t>发挥华来镇地理区位、自然资源、产业基础等优势条件，抢抓新时代发展机遇，积极应对国土空间问题挑战，统筹推进全域国土空间保护、开发、利用、修复，实现人与自然和谐共生、经济社会良性互促。到2025年，产镇融合度显著提升，充满活力的城乡发展格局基本奠定，农业产业格局得到优化，三条空间管制控制线全面落地，生态保护和修复体系基本建立。到2035年，形成主体功能明显、优势互补、高质量发展的国土空间开发保护新格局，基本建成生产空间集约高效、生活空间宜居适度、生态空间山清水秀，安全、绿色、开放、智慧、富有竞争力的美丽国土，进一步巩固华来镇在桓仁县区域发展格局中的战略地位，建成区域强镇，形成对省、市、县重大战略的强有力支撑。</w:t>
      </w:r>
    </w:p>
    <w:p w14:paraId="24C6109E">
      <w:pPr>
        <w:pStyle w:val="4"/>
        <w:numPr>
          <w:ilvl w:val="0"/>
          <w:numId w:val="1"/>
        </w:numPr>
        <w:ind w:left="860" w:firstLine="361" w:firstLineChars="113"/>
      </w:pPr>
      <w:r>
        <w:t>近期目标</w:t>
      </w:r>
    </w:p>
    <w:p w14:paraId="5D783A17">
      <w:pPr>
        <w:ind w:firstLine="643"/>
        <w:rPr>
          <w:rFonts w:cs="Times New Roman"/>
        </w:rPr>
      </w:pPr>
      <w:r>
        <w:rPr>
          <w:rFonts w:cs="Times New Roman"/>
          <w:b/>
          <w:bCs/>
        </w:rPr>
        <w:t>国土空间保护水平显著提升</w:t>
      </w:r>
      <w:r>
        <w:rPr>
          <w:rFonts w:cs="Times New Roman"/>
        </w:rPr>
        <w:t>。最严格的耕地保护制度、水资源管理制度和生态环境保护制度得到有效落实。耕地和永久基本农田、生态保护红线、城镇开发边界三条控制线得到有效管控。生态资源保护利用更加科学，生态系统保护和修复取得明显成效，生产方式和生活方式加快向低碳、绿色转变，生态文明建设实现新进步，生态安全屏障更加牢固。至2025年，全面融入东北东部绿色经济带和辽东绿色经济区建设。能源和矿产资源保障水平不断提高，关系国土安全韧性的各类基础设施建设得到充分保障。</w:t>
      </w:r>
    </w:p>
    <w:p w14:paraId="68596323">
      <w:pPr>
        <w:ind w:firstLine="643"/>
        <w:rPr>
          <w:rFonts w:cs="Times New Roman"/>
        </w:rPr>
      </w:pPr>
      <w:r>
        <w:rPr>
          <w:rFonts w:cs="Times New Roman"/>
          <w:b/>
          <w:bCs/>
        </w:rPr>
        <w:t>国土空间开发格局持续优化。</w:t>
      </w:r>
      <w:r>
        <w:rPr>
          <w:rFonts w:cs="Times New Roman"/>
        </w:rPr>
        <w:t>主动融入东北东部绿色经济带和辽宁“一圈一带两区”布局，区域协同发展水平不断提高。以</w:t>
      </w:r>
      <w:r>
        <w:rPr>
          <w:rFonts w:hint="eastAsia" w:cs="Times New Roman"/>
        </w:rPr>
        <w:t>镇区</w:t>
      </w:r>
      <w:r>
        <w:rPr>
          <w:rFonts w:cs="Times New Roman"/>
        </w:rPr>
        <w:t>为主体、中心村、一般村为支撑的镇村协调发展的镇村体系更加合理。城镇综合承载能力不断提升，新型城镇化和乡村振兴战略全面推进，城镇布局更加紧凑，人居环境持续改善。至2025年，集约式、开放式、协调式的国土空间开发格局基本形成。</w:t>
      </w:r>
    </w:p>
    <w:p w14:paraId="483D2D4D">
      <w:pPr>
        <w:ind w:firstLine="643"/>
        <w:rPr>
          <w:rFonts w:cs="Times New Roman"/>
        </w:rPr>
      </w:pPr>
      <w:r>
        <w:rPr>
          <w:rFonts w:cs="Times New Roman"/>
          <w:b/>
          <w:bCs/>
        </w:rPr>
        <w:t>资源利用更加集约高效。</w:t>
      </w:r>
      <w:r>
        <w:rPr>
          <w:rFonts w:cs="Times New Roman"/>
        </w:rPr>
        <w:t>顺应人口变化趋势，基于资源环境承载能力合理确定并严格管控城镇建设用地总量，建设用地结构更趋合理，节约集约用地水平进一步提高。统筹山水林田湖草湿系统保护与利用，资源配置更加合理，利用效率大幅提高，能源矿产资源保障能力显著提升，农业生产格局、方式与水土光热资源条件更加契合。到2025年，基本建成集约、绿色、低碳、循环的资源利用体系。</w:t>
      </w:r>
    </w:p>
    <w:p w14:paraId="6DFFB8EA">
      <w:pPr>
        <w:ind w:firstLine="643"/>
        <w:rPr>
          <w:rFonts w:cs="Times New Roman"/>
        </w:rPr>
      </w:pPr>
      <w:r>
        <w:rPr>
          <w:rFonts w:cs="Times New Roman"/>
          <w:b/>
          <w:bCs/>
        </w:rPr>
        <w:t>国土空间治理体系逐步健全。</w:t>
      </w:r>
      <w:r>
        <w:rPr>
          <w:rFonts w:cs="Times New Roman"/>
        </w:rPr>
        <w:t>创新体系更加完善，有为政府和有效市场更好结合，体制机制创新取得显著成效。到2025年，自然资源资产管理、国土空间用途管制、生态文明绩效评价考核等制度更加健全，基本形成以国土空间规划为基础，以统一用途管制为手段的国土空间开发保护制度。</w:t>
      </w:r>
    </w:p>
    <w:p w14:paraId="0665CFF7">
      <w:pPr>
        <w:ind w:firstLine="640"/>
        <w:rPr>
          <w:rFonts w:cs="Times New Roman"/>
        </w:rPr>
      </w:pPr>
    </w:p>
    <w:tbl>
      <w:tblPr>
        <w:tblStyle w:val="17"/>
        <w:tblpPr w:leftFromText="180" w:rightFromText="180" w:vertAnchor="text" w:horzAnchor="page" w:tblpX="1681" w:tblpY="87"/>
        <w:tblOverlap w:val="never"/>
        <w:tblW w:w="8500" w:type="dxa"/>
        <w:tblInd w:w="0" w:type="dxa"/>
        <w:tblLayout w:type="fixed"/>
        <w:tblCellMar>
          <w:top w:w="0" w:type="dxa"/>
          <w:left w:w="10" w:type="dxa"/>
          <w:bottom w:w="0" w:type="dxa"/>
          <w:right w:w="10" w:type="dxa"/>
        </w:tblCellMar>
      </w:tblPr>
      <w:tblGrid>
        <w:gridCol w:w="279"/>
        <w:gridCol w:w="3544"/>
        <w:gridCol w:w="850"/>
        <w:gridCol w:w="1276"/>
        <w:gridCol w:w="1134"/>
        <w:gridCol w:w="850"/>
        <w:gridCol w:w="567"/>
      </w:tblGrid>
      <w:tr w14:paraId="7F02956D">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0AE7DA06">
            <w:pPr>
              <w:spacing w:line="240" w:lineRule="auto"/>
              <w:ind w:firstLine="0" w:firstLineChars="0"/>
              <w:jc w:val="center"/>
              <w:rPr>
                <w:rFonts w:eastAsia="仿宋" w:cs="Times New Roman"/>
                <w:b/>
                <w:bCs/>
                <w:sz w:val="21"/>
                <w:lang w:bidi="zh-CN"/>
              </w:rPr>
            </w:pPr>
            <w:r>
              <w:rPr>
                <w:rFonts w:eastAsia="仿宋" w:cs="Times New Roman"/>
                <w:b/>
                <w:bCs/>
                <w:sz w:val="21"/>
                <w:lang w:bidi="zh-CN"/>
              </w:rPr>
              <w:t>编号</w:t>
            </w:r>
          </w:p>
        </w:tc>
        <w:tc>
          <w:tcPr>
            <w:tcW w:w="3544" w:type="dxa"/>
            <w:tcBorders>
              <w:top w:val="single" w:color="auto" w:sz="4" w:space="0"/>
              <w:left w:val="single" w:color="auto" w:sz="4" w:space="0"/>
            </w:tcBorders>
            <w:shd w:val="clear" w:color="auto" w:fill="FFFFFF"/>
            <w:vAlign w:val="center"/>
          </w:tcPr>
          <w:p w14:paraId="7BA3E0DB">
            <w:pPr>
              <w:spacing w:line="240" w:lineRule="auto"/>
              <w:ind w:firstLine="0" w:firstLineChars="0"/>
              <w:jc w:val="center"/>
              <w:rPr>
                <w:rFonts w:eastAsia="仿宋" w:cs="Times New Roman"/>
                <w:b/>
                <w:bCs/>
                <w:sz w:val="21"/>
                <w:lang w:bidi="zh-CN"/>
              </w:rPr>
            </w:pPr>
            <w:r>
              <w:rPr>
                <w:rFonts w:eastAsia="仿宋" w:cs="Times New Roman"/>
                <w:b/>
                <w:bCs/>
                <w:sz w:val="21"/>
                <w:lang w:bidi="zh-CN"/>
              </w:rPr>
              <w:t>指标名称</w:t>
            </w:r>
          </w:p>
        </w:tc>
        <w:tc>
          <w:tcPr>
            <w:tcW w:w="850" w:type="dxa"/>
            <w:tcBorders>
              <w:top w:val="single" w:color="auto" w:sz="4" w:space="0"/>
              <w:left w:val="single" w:color="auto" w:sz="4" w:space="0"/>
            </w:tcBorders>
            <w:shd w:val="clear" w:color="auto" w:fill="FFFFFF"/>
            <w:vAlign w:val="center"/>
          </w:tcPr>
          <w:p w14:paraId="58F6391A">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78F98AE9">
            <w:pPr>
              <w:spacing w:line="240" w:lineRule="auto"/>
              <w:ind w:firstLine="0" w:firstLineChars="0"/>
              <w:jc w:val="center"/>
              <w:rPr>
                <w:rFonts w:eastAsia="仿宋" w:cs="Times New Roman"/>
                <w:b/>
                <w:bCs/>
                <w:sz w:val="21"/>
                <w:lang w:bidi="zh-CN"/>
              </w:rPr>
            </w:pPr>
            <w:r>
              <w:rPr>
                <w:rFonts w:eastAsia="仿宋" w:cs="Times New Roman"/>
                <w:b/>
                <w:bCs/>
                <w:sz w:val="21"/>
                <w:lang w:bidi="zh-CN"/>
              </w:rPr>
              <w:t>基期年</w:t>
            </w:r>
          </w:p>
        </w:tc>
        <w:tc>
          <w:tcPr>
            <w:tcW w:w="1276" w:type="dxa"/>
            <w:tcBorders>
              <w:top w:val="single" w:color="auto" w:sz="4" w:space="0"/>
              <w:left w:val="single" w:color="auto" w:sz="4" w:space="0"/>
            </w:tcBorders>
            <w:shd w:val="clear" w:color="auto" w:fill="FFFFFF"/>
            <w:vAlign w:val="center"/>
          </w:tcPr>
          <w:p w14:paraId="1852FF23">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4312AA2C">
            <w:pPr>
              <w:spacing w:line="240" w:lineRule="auto"/>
              <w:ind w:firstLine="0" w:firstLineChars="0"/>
              <w:jc w:val="center"/>
              <w:rPr>
                <w:rFonts w:eastAsia="仿宋" w:cs="Times New Roman"/>
                <w:b/>
                <w:bCs/>
                <w:sz w:val="21"/>
                <w:lang w:bidi="zh-CN"/>
              </w:rPr>
            </w:pPr>
            <w:r>
              <w:rPr>
                <w:rFonts w:eastAsia="仿宋" w:cs="Times New Roman"/>
                <w:b/>
                <w:bCs/>
                <w:sz w:val="21"/>
                <w:lang w:bidi="zh-CN"/>
              </w:rPr>
              <w:t>近期年</w:t>
            </w:r>
          </w:p>
        </w:tc>
        <w:tc>
          <w:tcPr>
            <w:tcW w:w="1134" w:type="dxa"/>
            <w:tcBorders>
              <w:top w:val="single" w:color="auto" w:sz="4" w:space="0"/>
              <w:left w:val="single" w:color="auto" w:sz="4" w:space="0"/>
            </w:tcBorders>
            <w:shd w:val="clear" w:color="auto" w:fill="FFFFFF"/>
            <w:vAlign w:val="center"/>
          </w:tcPr>
          <w:p w14:paraId="3E172643">
            <w:pPr>
              <w:spacing w:line="240" w:lineRule="auto"/>
              <w:ind w:firstLine="0" w:firstLineChars="0"/>
              <w:jc w:val="center"/>
              <w:rPr>
                <w:rFonts w:eastAsia="仿宋" w:cs="Times New Roman"/>
                <w:b/>
                <w:bCs/>
                <w:sz w:val="21"/>
                <w:lang w:bidi="zh-CN"/>
              </w:rPr>
            </w:pPr>
            <w:r>
              <w:rPr>
                <w:rFonts w:eastAsia="仿宋" w:cs="Times New Roman"/>
                <w:b/>
                <w:bCs/>
                <w:sz w:val="21"/>
                <w:lang w:bidi="zh-CN"/>
              </w:rPr>
              <w:t>规划</w:t>
            </w:r>
          </w:p>
          <w:p w14:paraId="1923AEBC">
            <w:pPr>
              <w:spacing w:line="240" w:lineRule="auto"/>
              <w:ind w:firstLine="0" w:firstLineChars="0"/>
              <w:jc w:val="center"/>
              <w:rPr>
                <w:rFonts w:eastAsia="仿宋" w:cs="Times New Roman"/>
                <w:b/>
                <w:bCs/>
                <w:sz w:val="21"/>
                <w:lang w:bidi="zh-CN"/>
              </w:rPr>
            </w:pPr>
            <w:r>
              <w:rPr>
                <w:rFonts w:eastAsia="仿宋" w:cs="Times New Roman"/>
                <w:b/>
                <w:bCs/>
                <w:sz w:val="21"/>
                <w:lang w:bidi="zh-CN"/>
              </w:rPr>
              <w:t>目标年</w:t>
            </w:r>
          </w:p>
        </w:tc>
        <w:tc>
          <w:tcPr>
            <w:tcW w:w="850" w:type="dxa"/>
            <w:tcBorders>
              <w:top w:val="single" w:color="auto" w:sz="4" w:space="0"/>
              <w:left w:val="single" w:color="auto" w:sz="4" w:space="0"/>
            </w:tcBorders>
            <w:shd w:val="clear" w:color="auto" w:fill="FFFFFF"/>
            <w:vAlign w:val="center"/>
          </w:tcPr>
          <w:p w14:paraId="08F32656">
            <w:pPr>
              <w:spacing w:line="240" w:lineRule="auto"/>
              <w:ind w:firstLine="0" w:firstLineChars="0"/>
              <w:jc w:val="center"/>
              <w:rPr>
                <w:rFonts w:eastAsia="仿宋" w:cs="Times New Roman"/>
                <w:b/>
                <w:bCs/>
                <w:sz w:val="21"/>
                <w:lang w:bidi="zh-CN"/>
              </w:rPr>
            </w:pPr>
            <w:r>
              <w:rPr>
                <w:rFonts w:eastAsia="仿宋" w:cs="Times New Roman"/>
                <w:b/>
                <w:bCs/>
                <w:sz w:val="21"/>
                <w:lang w:bidi="zh-CN"/>
              </w:rPr>
              <w:t>指标</w:t>
            </w:r>
          </w:p>
          <w:p w14:paraId="73126205">
            <w:pPr>
              <w:spacing w:line="240" w:lineRule="auto"/>
              <w:ind w:firstLine="0" w:firstLineChars="0"/>
              <w:jc w:val="center"/>
              <w:rPr>
                <w:rFonts w:eastAsia="仿宋" w:cs="Times New Roman"/>
                <w:b/>
                <w:bCs/>
                <w:sz w:val="21"/>
                <w:lang w:bidi="zh-CN"/>
              </w:rPr>
            </w:pPr>
            <w:r>
              <w:rPr>
                <w:rFonts w:eastAsia="仿宋" w:cs="Times New Roman"/>
                <w:b/>
                <w:bCs/>
                <w:sz w:val="21"/>
                <w:lang w:bidi="zh-CN"/>
              </w:rPr>
              <w:t>属性</w:t>
            </w:r>
          </w:p>
        </w:tc>
        <w:tc>
          <w:tcPr>
            <w:tcW w:w="567" w:type="dxa"/>
            <w:tcBorders>
              <w:top w:val="single" w:color="auto" w:sz="4" w:space="0"/>
              <w:left w:val="single" w:color="auto" w:sz="4" w:space="0"/>
              <w:right w:val="single" w:color="auto" w:sz="4" w:space="0"/>
            </w:tcBorders>
            <w:shd w:val="clear" w:color="auto" w:fill="FFFFFF"/>
            <w:vAlign w:val="center"/>
          </w:tcPr>
          <w:p w14:paraId="23473D2C">
            <w:pPr>
              <w:spacing w:line="240" w:lineRule="auto"/>
              <w:ind w:firstLine="0" w:firstLineChars="0"/>
              <w:jc w:val="center"/>
              <w:rPr>
                <w:rFonts w:eastAsia="仿宋" w:cs="Times New Roman"/>
                <w:b/>
                <w:bCs/>
                <w:sz w:val="21"/>
                <w:lang w:bidi="zh-CN"/>
              </w:rPr>
            </w:pPr>
            <w:r>
              <w:rPr>
                <w:rFonts w:eastAsia="仿宋" w:cs="Times New Roman"/>
                <w:b/>
                <w:bCs/>
                <w:sz w:val="21"/>
                <w:lang w:bidi="zh-CN"/>
              </w:rPr>
              <w:t>指标层级</w:t>
            </w:r>
          </w:p>
        </w:tc>
      </w:tr>
      <w:tr w14:paraId="19CD1B91">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212B6BA3">
            <w:pPr>
              <w:spacing w:line="240" w:lineRule="auto"/>
              <w:ind w:firstLine="0" w:firstLineChars="0"/>
              <w:jc w:val="center"/>
              <w:rPr>
                <w:rFonts w:eastAsia="仿宋" w:cs="Times New Roman"/>
                <w:b/>
                <w:bCs/>
                <w:sz w:val="21"/>
                <w:lang w:bidi="zh-CN"/>
              </w:rPr>
            </w:pPr>
            <w:r>
              <w:rPr>
                <w:rFonts w:eastAsia="仿宋" w:cs="Times New Roman"/>
                <w:b/>
                <w:bCs/>
                <w:sz w:val="21"/>
                <w:lang w:bidi="zh-CN"/>
              </w:rPr>
              <w:t>一、空间底线</w:t>
            </w:r>
          </w:p>
        </w:tc>
      </w:tr>
      <w:tr w14:paraId="22A21A71">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6CA74ADC">
            <w:pPr>
              <w:spacing w:line="240" w:lineRule="auto"/>
              <w:ind w:firstLine="0" w:firstLineChars="0"/>
              <w:jc w:val="center"/>
              <w:rPr>
                <w:rFonts w:cs="Times New Roman"/>
                <w:color w:val="000000"/>
                <w:sz w:val="20"/>
                <w:szCs w:val="20"/>
              </w:rPr>
            </w:pPr>
            <w:r>
              <w:rPr>
                <w:rFonts w:cs="Times New Roman"/>
                <w:color w:val="000000"/>
                <w:sz w:val="20"/>
                <w:szCs w:val="20"/>
              </w:rPr>
              <w:t>1</w:t>
            </w:r>
          </w:p>
        </w:tc>
        <w:tc>
          <w:tcPr>
            <w:tcW w:w="3544" w:type="dxa"/>
            <w:tcBorders>
              <w:top w:val="single" w:color="auto" w:sz="4" w:space="0"/>
              <w:left w:val="single" w:color="auto" w:sz="4" w:space="0"/>
            </w:tcBorders>
            <w:shd w:val="clear" w:color="auto" w:fill="FFFFFF"/>
            <w:vAlign w:val="center"/>
          </w:tcPr>
          <w:p w14:paraId="68EFDB2C">
            <w:pPr>
              <w:spacing w:line="240" w:lineRule="auto"/>
              <w:ind w:firstLine="0" w:firstLineChars="0"/>
              <w:jc w:val="center"/>
              <w:rPr>
                <w:rFonts w:cs="Times New Roman"/>
                <w:color w:val="000000"/>
                <w:sz w:val="20"/>
                <w:szCs w:val="20"/>
              </w:rPr>
            </w:pPr>
            <w:r>
              <w:rPr>
                <w:rFonts w:cs="Times New Roman"/>
                <w:color w:val="000000"/>
                <w:sz w:val="20"/>
                <w:szCs w:val="20"/>
              </w:rPr>
              <w:t>耕地保有量（公顷）</w:t>
            </w:r>
          </w:p>
        </w:tc>
        <w:tc>
          <w:tcPr>
            <w:tcW w:w="850" w:type="dxa"/>
            <w:tcBorders>
              <w:top w:val="single" w:color="auto" w:sz="4" w:space="0"/>
              <w:left w:val="single" w:color="auto" w:sz="4" w:space="0"/>
            </w:tcBorders>
            <w:shd w:val="clear" w:color="auto" w:fill="FFFFFF"/>
            <w:vAlign w:val="center"/>
          </w:tcPr>
          <w:p w14:paraId="54B80D8F">
            <w:pPr>
              <w:spacing w:line="240" w:lineRule="auto"/>
              <w:ind w:firstLine="0" w:firstLineChars="0"/>
              <w:jc w:val="center"/>
              <w:rPr>
                <w:rFonts w:cs="Times New Roman"/>
                <w:color w:val="000000"/>
                <w:sz w:val="20"/>
                <w:szCs w:val="20"/>
              </w:rPr>
            </w:pPr>
            <w:r>
              <w:rPr>
                <w:rFonts w:hint="eastAsia" w:cs="Times New Roman"/>
                <w:color w:val="000000"/>
                <w:sz w:val="20"/>
                <w:szCs w:val="20"/>
              </w:rPr>
              <w:t>7598.52</w:t>
            </w:r>
          </w:p>
        </w:tc>
        <w:tc>
          <w:tcPr>
            <w:tcW w:w="1276" w:type="dxa"/>
            <w:tcBorders>
              <w:top w:val="single" w:color="auto" w:sz="4" w:space="0"/>
              <w:left w:val="single" w:color="auto" w:sz="4" w:space="0"/>
            </w:tcBorders>
            <w:shd w:val="clear" w:color="auto" w:fill="FFFFFF"/>
            <w:vAlign w:val="center"/>
          </w:tcPr>
          <w:p w14:paraId="33ED1A57">
            <w:pPr>
              <w:spacing w:line="240" w:lineRule="auto"/>
              <w:ind w:firstLine="0" w:firstLineChars="0"/>
              <w:jc w:val="center"/>
              <w:rPr>
                <w:rFonts w:cs="Times New Roman"/>
                <w:color w:val="000000"/>
                <w:sz w:val="20"/>
                <w:szCs w:val="20"/>
              </w:rPr>
            </w:pPr>
            <w:r>
              <w:rPr>
                <w:rFonts w:cs="Times New Roman"/>
                <w:color w:val="000000"/>
                <w:sz w:val="20"/>
                <w:szCs w:val="20"/>
              </w:rPr>
              <w:t>≥</w:t>
            </w:r>
            <w:r>
              <w:rPr>
                <w:rFonts w:hint="eastAsia" w:cs="Times New Roman"/>
                <w:color w:val="000000"/>
                <w:sz w:val="20"/>
                <w:szCs w:val="20"/>
              </w:rPr>
              <w:t>7598.52</w:t>
            </w:r>
          </w:p>
        </w:tc>
        <w:tc>
          <w:tcPr>
            <w:tcW w:w="1134" w:type="dxa"/>
            <w:tcBorders>
              <w:top w:val="single" w:color="auto" w:sz="4" w:space="0"/>
              <w:left w:val="single" w:color="auto" w:sz="4" w:space="0"/>
            </w:tcBorders>
            <w:shd w:val="clear" w:color="auto" w:fill="FFFFFF"/>
            <w:vAlign w:val="center"/>
          </w:tcPr>
          <w:p w14:paraId="2A184AF5">
            <w:pPr>
              <w:spacing w:line="240" w:lineRule="auto"/>
              <w:ind w:firstLine="0" w:firstLineChars="0"/>
              <w:jc w:val="center"/>
              <w:rPr>
                <w:rFonts w:cs="Times New Roman"/>
                <w:color w:val="000000"/>
                <w:sz w:val="20"/>
                <w:szCs w:val="20"/>
              </w:rPr>
            </w:pPr>
            <w:r>
              <w:rPr>
                <w:rFonts w:cs="Times New Roman"/>
                <w:color w:val="000000"/>
                <w:sz w:val="20"/>
                <w:szCs w:val="20"/>
              </w:rPr>
              <w:t>≥</w:t>
            </w:r>
            <w:r>
              <w:rPr>
                <w:rFonts w:hint="eastAsia" w:cs="Times New Roman"/>
                <w:color w:val="000000"/>
                <w:sz w:val="20"/>
                <w:szCs w:val="20"/>
              </w:rPr>
              <w:t>7598.52</w:t>
            </w:r>
          </w:p>
        </w:tc>
        <w:tc>
          <w:tcPr>
            <w:tcW w:w="850" w:type="dxa"/>
            <w:tcBorders>
              <w:top w:val="single" w:color="auto" w:sz="4" w:space="0"/>
              <w:left w:val="single" w:color="auto" w:sz="4" w:space="0"/>
            </w:tcBorders>
            <w:shd w:val="clear" w:color="auto" w:fill="FFFFFF"/>
            <w:vAlign w:val="center"/>
          </w:tcPr>
          <w:p w14:paraId="01005A32">
            <w:pPr>
              <w:spacing w:line="240" w:lineRule="auto"/>
              <w:ind w:firstLine="0" w:firstLineChars="0"/>
              <w:jc w:val="center"/>
              <w:rPr>
                <w:rFonts w:cs="Times New Roman"/>
                <w:color w:val="000000"/>
                <w:sz w:val="20"/>
                <w:szCs w:val="20"/>
              </w:rPr>
            </w:pPr>
            <w:r>
              <w:rPr>
                <w:rFonts w:cs="Times New Roman"/>
                <w:color w:val="000000"/>
                <w:sz w:val="20"/>
                <w:szCs w:val="20"/>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0590E4B1">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3095ED8B">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3FDD329B">
            <w:pPr>
              <w:spacing w:line="240" w:lineRule="auto"/>
              <w:ind w:firstLine="0" w:firstLineChars="0"/>
              <w:jc w:val="center"/>
              <w:rPr>
                <w:rFonts w:cs="Times New Roman"/>
                <w:color w:val="000000"/>
                <w:sz w:val="20"/>
                <w:szCs w:val="20"/>
              </w:rPr>
            </w:pPr>
            <w:r>
              <w:rPr>
                <w:rFonts w:cs="Times New Roman"/>
                <w:color w:val="000000"/>
                <w:sz w:val="20"/>
                <w:szCs w:val="20"/>
              </w:rPr>
              <w:t>2</w:t>
            </w:r>
          </w:p>
        </w:tc>
        <w:tc>
          <w:tcPr>
            <w:tcW w:w="3544" w:type="dxa"/>
            <w:tcBorders>
              <w:top w:val="single" w:color="auto" w:sz="4" w:space="0"/>
              <w:left w:val="single" w:color="auto" w:sz="4" w:space="0"/>
            </w:tcBorders>
            <w:shd w:val="clear" w:color="auto" w:fill="FFFFFF"/>
            <w:vAlign w:val="center"/>
          </w:tcPr>
          <w:p w14:paraId="23EB3EC9">
            <w:pPr>
              <w:spacing w:line="240" w:lineRule="auto"/>
              <w:ind w:firstLine="0" w:firstLineChars="0"/>
              <w:jc w:val="center"/>
              <w:rPr>
                <w:rFonts w:cs="Times New Roman"/>
                <w:color w:val="000000"/>
                <w:sz w:val="20"/>
                <w:szCs w:val="20"/>
              </w:rPr>
            </w:pPr>
            <w:r>
              <w:rPr>
                <w:rFonts w:cs="Times New Roman"/>
                <w:color w:val="000000"/>
                <w:sz w:val="20"/>
                <w:szCs w:val="20"/>
              </w:rPr>
              <w:t>永久基本农田保护面积（公顷）</w:t>
            </w:r>
          </w:p>
        </w:tc>
        <w:tc>
          <w:tcPr>
            <w:tcW w:w="850" w:type="dxa"/>
            <w:tcBorders>
              <w:top w:val="single" w:color="auto" w:sz="4" w:space="0"/>
              <w:left w:val="single" w:color="auto" w:sz="4" w:space="0"/>
            </w:tcBorders>
            <w:shd w:val="clear" w:color="auto" w:fill="FFFFFF"/>
            <w:vAlign w:val="center"/>
          </w:tcPr>
          <w:p w14:paraId="12D47858">
            <w:pPr>
              <w:spacing w:line="240" w:lineRule="auto"/>
              <w:ind w:firstLine="0" w:firstLineChars="0"/>
              <w:jc w:val="center"/>
              <w:rPr>
                <w:rFonts w:cs="Times New Roman"/>
                <w:color w:val="000000"/>
                <w:sz w:val="20"/>
                <w:szCs w:val="20"/>
              </w:rPr>
            </w:pPr>
            <w:r>
              <w:rPr>
                <w:rFonts w:hint="eastAsia" w:cs="Times New Roman"/>
                <w:color w:val="000000"/>
                <w:sz w:val="20"/>
                <w:szCs w:val="20"/>
              </w:rPr>
              <w:t>7049.98</w:t>
            </w:r>
          </w:p>
        </w:tc>
        <w:tc>
          <w:tcPr>
            <w:tcW w:w="1276" w:type="dxa"/>
            <w:tcBorders>
              <w:top w:val="single" w:color="auto" w:sz="4" w:space="0"/>
              <w:left w:val="single" w:color="auto" w:sz="4" w:space="0"/>
            </w:tcBorders>
            <w:shd w:val="clear" w:color="auto" w:fill="FFFFFF"/>
            <w:vAlign w:val="center"/>
          </w:tcPr>
          <w:p w14:paraId="7C197AD7">
            <w:pPr>
              <w:spacing w:line="240" w:lineRule="auto"/>
              <w:ind w:firstLine="0" w:firstLineChars="0"/>
              <w:jc w:val="center"/>
              <w:rPr>
                <w:rFonts w:cs="Times New Roman"/>
                <w:color w:val="000000"/>
                <w:sz w:val="20"/>
                <w:szCs w:val="20"/>
              </w:rPr>
            </w:pPr>
            <w:r>
              <w:rPr>
                <w:rFonts w:cs="Times New Roman"/>
                <w:color w:val="000000"/>
                <w:sz w:val="20"/>
                <w:szCs w:val="20"/>
              </w:rPr>
              <w:t>≥</w:t>
            </w:r>
            <w:r>
              <w:rPr>
                <w:rFonts w:hint="eastAsia" w:cs="Times New Roman"/>
                <w:color w:val="000000"/>
                <w:sz w:val="20"/>
                <w:szCs w:val="20"/>
              </w:rPr>
              <w:t>7049.98</w:t>
            </w:r>
          </w:p>
        </w:tc>
        <w:tc>
          <w:tcPr>
            <w:tcW w:w="1134" w:type="dxa"/>
            <w:tcBorders>
              <w:top w:val="single" w:color="auto" w:sz="4" w:space="0"/>
              <w:left w:val="single" w:color="auto" w:sz="4" w:space="0"/>
            </w:tcBorders>
            <w:shd w:val="clear" w:color="auto" w:fill="FFFFFF"/>
            <w:vAlign w:val="center"/>
          </w:tcPr>
          <w:p w14:paraId="788A971E">
            <w:pPr>
              <w:spacing w:line="240" w:lineRule="auto"/>
              <w:ind w:firstLine="0" w:firstLineChars="0"/>
              <w:jc w:val="center"/>
              <w:rPr>
                <w:rFonts w:cs="Times New Roman"/>
                <w:color w:val="000000"/>
                <w:sz w:val="20"/>
                <w:szCs w:val="20"/>
              </w:rPr>
            </w:pPr>
            <w:r>
              <w:rPr>
                <w:rFonts w:cs="Times New Roman"/>
                <w:color w:val="000000"/>
                <w:sz w:val="20"/>
                <w:szCs w:val="20"/>
              </w:rPr>
              <w:t>≥</w:t>
            </w:r>
            <w:r>
              <w:rPr>
                <w:rFonts w:hint="eastAsia" w:cs="Times New Roman"/>
                <w:color w:val="000000"/>
                <w:sz w:val="20"/>
                <w:szCs w:val="20"/>
              </w:rPr>
              <w:t>7049.98</w:t>
            </w:r>
          </w:p>
        </w:tc>
        <w:tc>
          <w:tcPr>
            <w:tcW w:w="850" w:type="dxa"/>
            <w:tcBorders>
              <w:top w:val="single" w:color="auto" w:sz="4" w:space="0"/>
              <w:left w:val="single" w:color="auto" w:sz="4" w:space="0"/>
            </w:tcBorders>
            <w:shd w:val="clear" w:color="auto" w:fill="FFFFFF"/>
            <w:vAlign w:val="center"/>
          </w:tcPr>
          <w:p w14:paraId="77D45467">
            <w:pPr>
              <w:spacing w:line="240" w:lineRule="auto"/>
              <w:ind w:firstLine="0" w:firstLineChars="0"/>
              <w:jc w:val="center"/>
              <w:rPr>
                <w:rFonts w:cs="Times New Roman"/>
                <w:color w:val="000000"/>
                <w:sz w:val="20"/>
                <w:szCs w:val="20"/>
              </w:rPr>
            </w:pPr>
            <w:r>
              <w:rPr>
                <w:rFonts w:cs="Times New Roman"/>
                <w:color w:val="000000"/>
                <w:sz w:val="20"/>
                <w:szCs w:val="20"/>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27B6F306">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358F7997">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02C6C877">
            <w:pPr>
              <w:spacing w:line="240" w:lineRule="auto"/>
              <w:ind w:firstLine="0" w:firstLineChars="0"/>
              <w:jc w:val="center"/>
              <w:rPr>
                <w:rFonts w:cs="Times New Roman"/>
                <w:color w:val="000000"/>
                <w:sz w:val="20"/>
                <w:szCs w:val="20"/>
              </w:rPr>
            </w:pPr>
            <w:r>
              <w:rPr>
                <w:rFonts w:cs="Times New Roman"/>
                <w:color w:val="000000"/>
                <w:sz w:val="20"/>
                <w:szCs w:val="20"/>
              </w:rPr>
              <w:t>3</w:t>
            </w:r>
          </w:p>
        </w:tc>
        <w:tc>
          <w:tcPr>
            <w:tcW w:w="3544" w:type="dxa"/>
            <w:tcBorders>
              <w:top w:val="single" w:color="auto" w:sz="4" w:space="0"/>
              <w:left w:val="single" w:color="auto" w:sz="4" w:space="0"/>
            </w:tcBorders>
            <w:shd w:val="clear" w:color="auto" w:fill="FFFFFF"/>
            <w:vAlign w:val="center"/>
          </w:tcPr>
          <w:p w14:paraId="1F051DFA">
            <w:pPr>
              <w:spacing w:line="240" w:lineRule="auto"/>
              <w:ind w:firstLine="0" w:firstLineChars="0"/>
              <w:jc w:val="center"/>
              <w:rPr>
                <w:rFonts w:cs="Times New Roman"/>
                <w:color w:val="000000"/>
                <w:sz w:val="20"/>
                <w:szCs w:val="20"/>
              </w:rPr>
            </w:pPr>
            <w:r>
              <w:rPr>
                <w:rFonts w:cs="Times New Roman"/>
                <w:color w:val="000000"/>
                <w:sz w:val="20"/>
                <w:szCs w:val="20"/>
              </w:rPr>
              <w:t>生态保护红线面积（公顷）</w:t>
            </w:r>
          </w:p>
        </w:tc>
        <w:tc>
          <w:tcPr>
            <w:tcW w:w="850" w:type="dxa"/>
            <w:tcBorders>
              <w:top w:val="single" w:color="auto" w:sz="4" w:space="0"/>
              <w:left w:val="single" w:color="auto" w:sz="4" w:space="0"/>
            </w:tcBorders>
            <w:shd w:val="clear" w:color="auto" w:fill="FFFFFF"/>
            <w:vAlign w:val="center"/>
          </w:tcPr>
          <w:p w14:paraId="225BC1C3">
            <w:pPr>
              <w:spacing w:line="240" w:lineRule="auto"/>
              <w:ind w:firstLine="0" w:firstLineChars="0"/>
              <w:jc w:val="center"/>
              <w:rPr>
                <w:rFonts w:cs="Times New Roman"/>
                <w:color w:val="000000"/>
                <w:sz w:val="20"/>
                <w:szCs w:val="20"/>
              </w:rPr>
            </w:pPr>
            <w:r>
              <w:rPr>
                <w:rFonts w:cs="Times New Roman"/>
                <w:color w:val="000000"/>
                <w:sz w:val="20"/>
                <w:szCs w:val="20"/>
              </w:rPr>
              <w:t>26443.96</w:t>
            </w:r>
          </w:p>
        </w:tc>
        <w:tc>
          <w:tcPr>
            <w:tcW w:w="1276" w:type="dxa"/>
            <w:tcBorders>
              <w:top w:val="single" w:color="auto" w:sz="4" w:space="0"/>
              <w:left w:val="single" w:color="auto" w:sz="4" w:space="0"/>
            </w:tcBorders>
            <w:shd w:val="clear" w:color="auto" w:fill="FFFFFF"/>
            <w:vAlign w:val="center"/>
          </w:tcPr>
          <w:p w14:paraId="35251A53">
            <w:pPr>
              <w:spacing w:line="240" w:lineRule="auto"/>
              <w:ind w:firstLine="0" w:firstLineChars="0"/>
              <w:jc w:val="center"/>
              <w:rPr>
                <w:rFonts w:cs="Times New Roman"/>
                <w:color w:val="000000"/>
                <w:sz w:val="20"/>
                <w:szCs w:val="20"/>
              </w:rPr>
            </w:pPr>
            <w:r>
              <w:rPr>
                <w:rFonts w:cs="Times New Roman"/>
                <w:color w:val="000000"/>
                <w:sz w:val="20"/>
                <w:szCs w:val="20"/>
              </w:rPr>
              <w:t>≥26443.96</w:t>
            </w:r>
          </w:p>
        </w:tc>
        <w:tc>
          <w:tcPr>
            <w:tcW w:w="1134" w:type="dxa"/>
            <w:tcBorders>
              <w:top w:val="single" w:color="auto" w:sz="4" w:space="0"/>
              <w:left w:val="single" w:color="auto" w:sz="4" w:space="0"/>
            </w:tcBorders>
            <w:shd w:val="clear" w:color="auto" w:fill="FFFFFF"/>
            <w:vAlign w:val="center"/>
          </w:tcPr>
          <w:p w14:paraId="6B6FBCBD">
            <w:pPr>
              <w:spacing w:line="240" w:lineRule="auto"/>
              <w:ind w:firstLine="0" w:firstLineChars="0"/>
              <w:jc w:val="center"/>
              <w:rPr>
                <w:rFonts w:cs="Times New Roman"/>
                <w:color w:val="000000"/>
                <w:sz w:val="20"/>
                <w:szCs w:val="20"/>
              </w:rPr>
            </w:pPr>
            <w:r>
              <w:rPr>
                <w:rFonts w:cs="Times New Roman"/>
                <w:color w:val="000000"/>
                <w:sz w:val="20"/>
                <w:szCs w:val="20"/>
              </w:rPr>
              <w:t>≥26443.96</w:t>
            </w:r>
          </w:p>
        </w:tc>
        <w:tc>
          <w:tcPr>
            <w:tcW w:w="850" w:type="dxa"/>
            <w:tcBorders>
              <w:top w:val="single" w:color="auto" w:sz="4" w:space="0"/>
              <w:left w:val="single" w:color="auto" w:sz="4" w:space="0"/>
            </w:tcBorders>
            <w:shd w:val="clear" w:color="auto" w:fill="FFFFFF"/>
            <w:vAlign w:val="center"/>
          </w:tcPr>
          <w:p w14:paraId="38A88FA7">
            <w:pPr>
              <w:spacing w:line="240" w:lineRule="auto"/>
              <w:ind w:firstLine="0" w:firstLineChars="0"/>
              <w:jc w:val="center"/>
              <w:rPr>
                <w:rFonts w:cs="Times New Roman"/>
                <w:color w:val="000000"/>
                <w:sz w:val="20"/>
                <w:szCs w:val="20"/>
              </w:rPr>
            </w:pPr>
            <w:r>
              <w:rPr>
                <w:rFonts w:cs="Times New Roman"/>
                <w:color w:val="000000"/>
                <w:sz w:val="20"/>
                <w:szCs w:val="20"/>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359BD036">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67B97D9A">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C3864C1">
            <w:pPr>
              <w:spacing w:line="240" w:lineRule="auto"/>
              <w:ind w:firstLine="0" w:firstLineChars="0"/>
              <w:jc w:val="center"/>
              <w:rPr>
                <w:rFonts w:cs="Times New Roman"/>
                <w:color w:val="000000"/>
                <w:sz w:val="20"/>
                <w:szCs w:val="20"/>
              </w:rPr>
            </w:pPr>
            <w:r>
              <w:rPr>
                <w:rFonts w:cs="Times New Roman"/>
                <w:color w:val="000000"/>
                <w:sz w:val="20"/>
                <w:szCs w:val="20"/>
              </w:rPr>
              <w:t>4</w:t>
            </w:r>
          </w:p>
        </w:tc>
        <w:tc>
          <w:tcPr>
            <w:tcW w:w="3544" w:type="dxa"/>
            <w:tcBorders>
              <w:top w:val="single" w:color="auto" w:sz="4" w:space="0"/>
              <w:left w:val="single" w:color="auto" w:sz="4" w:space="0"/>
            </w:tcBorders>
            <w:shd w:val="clear" w:color="auto" w:fill="FFFFFF"/>
            <w:vAlign w:val="center"/>
          </w:tcPr>
          <w:p w14:paraId="7A7E2437">
            <w:pPr>
              <w:spacing w:line="240" w:lineRule="auto"/>
              <w:ind w:firstLine="0" w:firstLineChars="0"/>
              <w:jc w:val="center"/>
              <w:rPr>
                <w:rFonts w:cs="Times New Roman"/>
                <w:color w:val="000000"/>
                <w:sz w:val="20"/>
                <w:szCs w:val="20"/>
              </w:rPr>
            </w:pPr>
            <w:r>
              <w:rPr>
                <w:rFonts w:cs="Times New Roman"/>
                <w:color w:val="000000"/>
                <w:sz w:val="20"/>
                <w:szCs w:val="20"/>
              </w:rPr>
              <w:t>自然保护地陆域面积占陆域国土面积比例（%）</w:t>
            </w:r>
          </w:p>
        </w:tc>
        <w:tc>
          <w:tcPr>
            <w:tcW w:w="850" w:type="dxa"/>
            <w:tcBorders>
              <w:top w:val="single" w:color="auto" w:sz="4" w:space="0"/>
              <w:left w:val="single" w:color="auto" w:sz="4" w:space="0"/>
            </w:tcBorders>
            <w:shd w:val="clear" w:color="auto" w:fill="FFFFFF"/>
            <w:vAlign w:val="center"/>
          </w:tcPr>
          <w:p w14:paraId="54404598">
            <w:pPr>
              <w:spacing w:line="240" w:lineRule="auto"/>
              <w:ind w:firstLine="0" w:firstLineChars="0"/>
              <w:jc w:val="center"/>
              <w:rPr>
                <w:rFonts w:cs="Times New Roman"/>
                <w:color w:val="000000"/>
                <w:sz w:val="20"/>
                <w:szCs w:val="20"/>
              </w:rPr>
            </w:pPr>
            <w:r>
              <w:rPr>
                <w:rFonts w:cs="Times New Roman"/>
                <w:color w:val="000000"/>
                <w:sz w:val="20"/>
                <w:szCs w:val="20"/>
              </w:rPr>
              <w:t>0.</w:t>
            </w:r>
            <w:r>
              <w:rPr>
                <w:rFonts w:hint="eastAsia" w:cs="Times New Roman"/>
                <w:color w:val="000000"/>
                <w:sz w:val="20"/>
                <w:szCs w:val="20"/>
              </w:rPr>
              <w:t>42</w:t>
            </w:r>
          </w:p>
        </w:tc>
        <w:tc>
          <w:tcPr>
            <w:tcW w:w="1276" w:type="dxa"/>
            <w:tcBorders>
              <w:top w:val="single" w:color="auto" w:sz="4" w:space="0"/>
              <w:left w:val="single" w:color="auto" w:sz="4" w:space="0"/>
            </w:tcBorders>
            <w:shd w:val="clear" w:color="auto" w:fill="FFFFFF"/>
            <w:vAlign w:val="center"/>
          </w:tcPr>
          <w:p w14:paraId="40BABC8C">
            <w:pPr>
              <w:spacing w:line="240" w:lineRule="auto"/>
              <w:ind w:firstLine="0" w:firstLineChars="0"/>
              <w:jc w:val="center"/>
              <w:rPr>
                <w:rFonts w:cs="Times New Roman"/>
                <w:color w:val="000000"/>
                <w:sz w:val="20"/>
                <w:szCs w:val="20"/>
              </w:rPr>
            </w:pPr>
            <w:r>
              <w:rPr>
                <w:rFonts w:cs="Times New Roman"/>
                <w:color w:val="000000"/>
                <w:sz w:val="20"/>
                <w:szCs w:val="20"/>
              </w:rPr>
              <w:t>≥0.</w:t>
            </w:r>
            <w:r>
              <w:rPr>
                <w:rFonts w:hint="eastAsia" w:cs="Times New Roman"/>
                <w:color w:val="000000"/>
                <w:sz w:val="20"/>
                <w:szCs w:val="20"/>
              </w:rPr>
              <w:t>42</w:t>
            </w:r>
          </w:p>
        </w:tc>
        <w:tc>
          <w:tcPr>
            <w:tcW w:w="1134" w:type="dxa"/>
            <w:tcBorders>
              <w:top w:val="single" w:color="auto" w:sz="4" w:space="0"/>
              <w:left w:val="single" w:color="auto" w:sz="4" w:space="0"/>
            </w:tcBorders>
            <w:shd w:val="clear" w:color="auto" w:fill="FFFFFF"/>
            <w:vAlign w:val="center"/>
          </w:tcPr>
          <w:p w14:paraId="56E02904">
            <w:pPr>
              <w:spacing w:line="240" w:lineRule="auto"/>
              <w:ind w:firstLine="0" w:firstLineChars="0"/>
              <w:jc w:val="center"/>
              <w:rPr>
                <w:rFonts w:cs="Times New Roman"/>
                <w:color w:val="000000"/>
                <w:sz w:val="20"/>
                <w:szCs w:val="20"/>
              </w:rPr>
            </w:pPr>
            <w:r>
              <w:rPr>
                <w:rFonts w:cs="Times New Roman"/>
                <w:color w:val="000000"/>
                <w:sz w:val="20"/>
                <w:szCs w:val="20"/>
              </w:rPr>
              <w:t>≥0.</w:t>
            </w:r>
            <w:r>
              <w:rPr>
                <w:rFonts w:hint="eastAsia" w:cs="Times New Roman"/>
                <w:color w:val="000000"/>
                <w:sz w:val="20"/>
                <w:szCs w:val="20"/>
              </w:rPr>
              <w:t>42</w:t>
            </w:r>
          </w:p>
        </w:tc>
        <w:tc>
          <w:tcPr>
            <w:tcW w:w="850" w:type="dxa"/>
            <w:tcBorders>
              <w:top w:val="single" w:color="auto" w:sz="4" w:space="0"/>
              <w:left w:val="single" w:color="auto" w:sz="4" w:space="0"/>
            </w:tcBorders>
            <w:shd w:val="clear" w:color="auto" w:fill="FFFFFF"/>
            <w:vAlign w:val="center"/>
          </w:tcPr>
          <w:p w14:paraId="70925657">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9074A48">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00C9A872">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21467CB">
            <w:pPr>
              <w:spacing w:line="240" w:lineRule="auto"/>
              <w:ind w:firstLine="0" w:firstLineChars="0"/>
              <w:jc w:val="center"/>
              <w:rPr>
                <w:rFonts w:cs="Times New Roman"/>
                <w:color w:val="000000"/>
                <w:sz w:val="20"/>
                <w:szCs w:val="20"/>
              </w:rPr>
            </w:pPr>
            <w:r>
              <w:rPr>
                <w:rFonts w:cs="Times New Roman"/>
                <w:color w:val="000000"/>
                <w:sz w:val="20"/>
                <w:szCs w:val="20"/>
              </w:rPr>
              <w:t>5</w:t>
            </w:r>
          </w:p>
        </w:tc>
        <w:tc>
          <w:tcPr>
            <w:tcW w:w="3544" w:type="dxa"/>
            <w:tcBorders>
              <w:top w:val="single" w:color="auto" w:sz="4" w:space="0"/>
              <w:left w:val="single" w:color="auto" w:sz="4" w:space="0"/>
            </w:tcBorders>
            <w:shd w:val="clear" w:color="auto" w:fill="FFFFFF"/>
            <w:vAlign w:val="center"/>
          </w:tcPr>
          <w:p w14:paraId="73DEB155">
            <w:pPr>
              <w:spacing w:line="240" w:lineRule="auto"/>
              <w:ind w:firstLine="0" w:firstLineChars="0"/>
              <w:jc w:val="center"/>
              <w:rPr>
                <w:rFonts w:cs="Times New Roman"/>
                <w:color w:val="000000"/>
                <w:sz w:val="20"/>
                <w:szCs w:val="20"/>
              </w:rPr>
            </w:pPr>
            <w:r>
              <w:rPr>
                <w:rFonts w:cs="Times New Roman"/>
                <w:color w:val="000000"/>
                <w:sz w:val="20"/>
                <w:szCs w:val="20"/>
              </w:rPr>
              <w:t>森林覆盖率（%）</w:t>
            </w:r>
          </w:p>
        </w:tc>
        <w:tc>
          <w:tcPr>
            <w:tcW w:w="850" w:type="dxa"/>
            <w:tcBorders>
              <w:top w:val="single" w:color="auto" w:sz="4" w:space="0"/>
              <w:left w:val="single" w:color="auto" w:sz="4" w:space="0"/>
            </w:tcBorders>
            <w:shd w:val="clear" w:color="auto" w:fill="FFFFFF"/>
            <w:vAlign w:val="center"/>
          </w:tcPr>
          <w:p w14:paraId="4145FADF">
            <w:pPr>
              <w:spacing w:line="240" w:lineRule="auto"/>
              <w:ind w:firstLine="0" w:firstLineChars="0"/>
              <w:jc w:val="center"/>
              <w:rPr>
                <w:rFonts w:cs="Times New Roman"/>
                <w:color w:val="000000"/>
                <w:sz w:val="20"/>
                <w:szCs w:val="20"/>
              </w:rPr>
            </w:pPr>
            <w:r>
              <w:rPr>
                <w:rFonts w:cs="Times New Roman"/>
                <w:color w:val="000000"/>
                <w:sz w:val="20"/>
                <w:szCs w:val="20"/>
              </w:rPr>
              <w:t>-</w:t>
            </w:r>
          </w:p>
        </w:tc>
        <w:tc>
          <w:tcPr>
            <w:tcW w:w="1276" w:type="dxa"/>
            <w:tcBorders>
              <w:top w:val="single" w:color="auto" w:sz="4" w:space="0"/>
              <w:left w:val="single" w:color="auto" w:sz="4" w:space="0"/>
            </w:tcBorders>
            <w:shd w:val="clear" w:color="auto" w:fill="FFFFFF"/>
            <w:vAlign w:val="center"/>
          </w:tcPr>
          <w:p w14:paraId="34B6138E">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1134" w:type="dxa"/>
            <w:tcBorders>
              <w:top w:val="single" w:color="auto" w:sz="4" w:space="0"/>
              <w:left w:val="single" w:color="auto" w:sz="4" w:space="0"/>
            </w:tcBorders>
            <w:shd w:val="clear" w:color="auto" w:fill="FFFFFF"/>
            <w:vAlign w:val="center"/>
          </w:tcPr>
          <w:p w14:paraId="4819008F">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850" w:type="dxa"/>
            <w:tcBorders>
              <w:top w:val="single" w:color="auto" w:sz="4" w:space="0"/>
              <w:left w:val="single" w:color="auto" w:sz="4" w:space="0"/>
            </w:tcBorders>
            <w:shd w:val="clear" w:color="auto" w:fill="FFFFFF"/>
            <w:vAlign w:val="center"/>
          </w:tcPr>
          <w:p w14:paraId="02373CDA">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1C2634F0">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320613DF">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34FCBF2">
            <w:pPr>
              <w:spacing w:line="240" w:lineRule="auto"/>
              <w:ind w:firstLine="0" w:firstLineChars="0"/>
              <w:jc w:val="center"/>
              <w:rPr>
                <w:rFonts w:cs="Times New Roman"/>
                <w:color w:val="000000"/>
                <w:sz w:val="20"/>
                <w:szCs w:val="20"/>
              </w:rPr>
            </w:pPr>
            <w:r>
              <w:rPr>
                <w:rFonts w:cs="Times New Roman"/>
                <w:color w:val="000000"/>
                <w:sz w:val="20"/>
                <w:szCs w:val="20"/>
              </w:rPr>
              <w:t>6</w:t>
            </w:r>
          </w:p>
        </w:tc>
        <w:tc>
          <w:tcPr>
            <w:tcW w:w="3544" w:type="dxa"/>
            <w:tcBorders>
              <w:top w:val="single" w:color="auto" w:sz="4" w:space="0"/>
              <w:left w:val="single" w:color="auto" w:sz="4" w:space="0"/>
            </w:tcBorders>
            <w:shd w:val="clear" w:color="auto" w:fill="FFFFFF"/>
            <w:vAlign w:val="center"/>
          </w:tcPr>
          <w:p w14:paraId="374FD50A">
            <w:pPr>
              <w:spacing w:line="240" w:lineRule="auto"/>
              <w:ind w:firstLine="0" w:firstLineChars="0"/>
              <w:jc w:val="center"/>
              <w:rPr>
                <w:rFonts w:cs="Times New Roman"/>
                <w:color w:val="000000"/>
                <w:sz w:val="20"/>
                <w:szCs w:val="20"/>
              </w:rPr>
            </w:pPr>
            <w:r>
              <w:rPr>
                <w:rFonts w:cs="Times New Roman"/>
                <w:color w:val="000000"/>
                <w:sz w:val="20"/>
                <w:szCs w:val="20"/>
              </w:rPr>
              <w:t>林地保有量（公顷）</w:t>
            </w:r>
          </w:p>
        </w:tc>
        <w:tc>
          <w:tcPr>
            <w:tcW w:w="850" w:type="dxa"/>
            <w:tcBorders>
              <w:top w:val="single" w:color="auto" w:sz="4" w:space="0"/>
              <w:left w:val="single" w:color="auto" w:sz="4" w:space="0"/>
            </w:tcBorders>
            <w:shd w:val="clear" w:color="auto" w:fill="FFFFFF"/>
            <w:vAlign w:val="center"/>
          </w:tcPr>
          <w:p w14:paraId="0CACA293">
            <w:pPr>
              <w:spacing w:line="240" w:lineRule="auto"/>
              <w:ind w:firstLine="0" w:firstLineChars="0"/>
              <w:jc w:val="center"/>
              <w:rPr>
                <w:rFonts w:cs="Times New Roman"/>
                <w:color w:val="000000"/>
                <w:sz w:val="20"/>
                <w:szCs w:val="20"/>
              </w:rPr>
            </w:pPr>
            <w:r>
              <w:rPr>
                <w:rFonts w:cs="Times New Roman"/>
                <w:color w:val="000000"/>
                <w:sz w:val="20"/>
                <w:szCs w:val="20"/>
              </w:rPr>
              <w:t>-</w:t>
            </w:r>
          </w:p>
        </w:tc>
        <w:tc>
          <w:tcPr>
            <w:tcW w:w="1276" w:type="dxa"/>
            <w:tcBorders>
              <w:top w:val="single" w:color="auto" w:sz="4" w:space="0"/>
              <w:left w:val="single" w:color="auto" w:sz="4" w:space="0"/>
            </w:tcBorders>
            <w:shd w:val="clear" w:color="auto" w:fill="FFFFFF"/>
            <w:vAlign w:val="center"/>
          </w:tcPr>
          <w:p w14:paraId="55E58EE2">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1134" w:type="dxa"/>
            <w:tcBorders>
              <w:top w:val="single" w:color="auto" w:sz="4" w:space="0"/>
              <w:left w:val="single" w:color="auto" w:sz="4" w:space="0"/>
            </w:tcBorders>
            <w:shd w:val="clear" w:color="auto" w:fill="FFFFFF"/>
            <w:vAlign w:val="center"/>
          </w:tcPr>
          <w:p w14:paraId="62A757C1">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850" w:type="dxa"/>
            <w:tcBorders>
              <w:top w:val="single" w:color="auto" w:sz="4" w:space="0"/>
              <w:left w:val="single" w:color="auto" w:sz="4" w:space="0"/>
            </w:tcBorders>
            <w:shd w:val="clear" w:color="auto" w:fill="FFFFFF"/>
            <w:vAlign w:val="center"/>
          </w:tcPr>
          <w:p w14:paraId="48DE7748">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1992DBC7">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748646BE">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2E351CCB">
            <w:pPr>
              <w:spacing w:line="240" w:lineRule="auto"/>
              <w:ind w:firstLine="0" w:firstLineChars="0"/>
              <w:jc w:val="center"/>
              <w:rPr>
                <w:rFonts w:cs="Times New Roman"/>
                <w:color w:val="000000"/>
                <w:sz w:val="20"/>
                <w:szCs w:val="20"/>
              </w:rPr>
            </w:pPr>
            <w:r>
              <w:rPr>
                <w:rFonts w:cs="Times New Roman"/>
                <w:color w:val="000000"/>
                <w:sz w:val="20"/>
                <w:szCs w:val="20"/>
              </w:rPr>
              <w:t>7</w:t>
            </w:r>
          </w:p>
        </w:tc>
        <w:tc>
          <w:tcPr>
            <w:tcW w:w="3544" w:type="dxa"/>
            <w:tcBorders>
              <w:top w:val="single" w:color="auto" w:sz="4" w:space="0"/>
              <w:left w:val="single" w:color="auto" w:sz="4" w:space="0"/>
            </w:tcBorders>
            <w:shd w:val="clear" w:color="auto" w:fill="FFFFFF"/>
            <w:vAlign w:val="center"/>
          </w:tcPr>
          <w:p w14:paraId="469E55DD">
            <w:pPr>
              <w:spacing w:line="240" w:lineRule="auto"/>
              <w:ind w:firstLine="0" w:firstLineChars="0"/>
              <w:jc w:val="center"/>
              <w:rPr>
                <w:rFonts w:cs="Times New Roman"/>
                <w:color w:val="000000"/>
                <w:sz w:val="20"/>
                <w:szCs w:val="20"/>
              </w:rPr>
            </w:pPr>
            <w:r>
              <w:rPr>
                <w:rFonts w:cs="Times New Roman"/>
                <w:color w:val="000000"/>
                <w:sz w:val="20"/>
                <w:szCs w:val="20"/>
              </w:rPr>
              <w:t>湿地保护率（%）</w:t>
            </w:r>
          </w:p>
        </w:tc>
        <w:tc>
          <w:tcPr>
            <w:tcW w:w="850" w:type="dxa"/>
            <w:tcBorders>
              <w:top w:val="single" w:color="auto" w:sz="4" w:space="0"/>
              <w:left w:val="single" w:color="auto" w:sz="4" w:space="0"/>
            </w:tcBorders>
            <w:shd w:val="clear" w:color="auto" w:fill="FFFFFF"/>
            <w:vAlign w:val="center"/>
          </w:tcPr>
          <w:p w14:paraId="4350C904">
            <w:pPr>
              <w:spacing w:line="240" w:lineRule="auto"/>
              <w:ind w:firstLine="0" w:firstLineChars="0"/>
              <w:jc w:val="center"/>
              <w:rPr>
                <w:rFonts w:cs="Times New Roman"/>
                <w:color w:val="000000"/>
                <w:sz w:val="20"/>
                <w:szCs w:val="20"/>
              </w:rPr>
            </w:pPr>
            <w:r>
              <w:rPr>
                <w:rFonts w:cs="Times New Roman"/>
                <w:color w:val="000000"/>
                <w:sz w:val="20"/>
                <w:szCs w:val="20"/>
              </w:rPr>
              <w:t xml:space="preserve">- </w:t>
            </w:r>
          </w:p>
        </w:tc>
        <w:tc>
          <w:tcPr>
            <w:tcW w:w="1276" w:type="dxa"/>
            <w:tcBorders>
              <w:top w:val="single" w:color="auto" w:sz="4" w:space="0"/>
              <w:left w:val="single" w:color="auto" w:sz="4" w:space="0"/>
            </w:tcBorders>
            <w:shd w:val="clear" w:color="auto" w:fill="FFFFFF"/>
            <w:vAlign w:val="center"/>
          </w:tcPr>
          <w:p w14:paraId="0D3C6E1B">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1134" w:type="dxa"/>
            <w:tcBorders>
              <w:top w:val="single" w:color="auto" w:sz="4" w:space="0"/>
              <w:left w:val="single" w:color="auto" w:sz="4" w:space="0"/>
            </w:tcBorders>
            <w:shd w:val="clear" w:color="auto" w:fill="FFFFFF"/>
            <w:vAlign w:val="center"/>
          </w:tcPr>
          <w:p w14:paraId="6258B881">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850" w:type="dxa"/>
            <w:tcBorders>
              <w:top w:val="single" w:color="auto" w:sz="4" w:space="0"/>
              <w:left w:val="single" w:color="auto" w:sz="4" w:space="0"/>
            </w:tcBorders>
            <w:shd w:val="clear" w:color="auto" w:fill="FFFFFF"/>
            <w:vAlign w:val="center"/>
          </w:tcPr>
          <w:p w14:paraId="00AB1DA2">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F9C917D">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611B12AB">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5E54E6A0">
            <w:pPr>
              <w:spacing w:line="240" w:lineRule="auto"/>
              <w:ind w:firstLine="0" w:firstLineChars="0"/>
              <w:jc w:val="center"/>
              <w:rPr>
                <w:rFonts w:cs="Times New Roman"/>
                <w:color w:val="000000"/>
                <w:sz w:val="20"/>
                <w:szCs w:val="20"/>
              </w:rPr>
            </w:pPr>
            <w:r>
              <w:rPr>
                <w:rFonts w:cs="Times New Roman"/>
                <w:color w:val="000000"/>
                <w:sz w:val="20"/>
                <w:szCs w:val="20"/>
              </w:rPr>
              <w:t>8</w:t>
            </w:r>
          </w:p>
        </w:tc>
        <w:tc>
          <w:tcPr>
            <w:tcW w:w="3544" w:type="dxa"/>
            <w:tcBorders>
              <w:top w:val="single" w:color="auto" w:sz="4" w:space="0"/>
              <w:left w:val="single" w:color="auto" w:sz="4" w:space="0"/>
            </w:tcBorders>
            <w:shd w:val="clear" w:color="auto" w:fill="FFFFFF"/>
            <w:vAlign w:val="center"/>
          </w:tcPr>
          <w:p w14:paraId="7A206ED9">
            <w:pPr>
              <w:spacing w:line="240" w:lineRule="auto"/>
              <w:ind w:firstLine="0" w:firstLineChars="0"/>
              <w:jc w:val="center"/>
              <w:rPr>
                <w:rFonts w:cs="Times New Roman"/>
                <w:color w:val="000000"/>
                <w:sz w:val="20"/>
                <w:szCs w:val="20"/>
              </w:rPr>
            </w:pPr>
            <w:r>
              <w:rPr>
                <w:rFonts w:cs="Times New Roman"/>
                <w:color w:val="000000"/>
                <w:sz w:val="20"/>
                <w:szCs w:val="20"/>
              </w:rPr>
              <w:t>水域空间保有量（公顷）</w:t>
            </w:r>
          </w:p>
        </w:tc>
        <w:tc>
          <w:tcPr>
            <w:tcW w:w="850" w:type="dxa"/>
            <w:tcBorders>
              <w:top w:val="single" w:color="auto" w:sz="4" w:space="0"/>
              <w:left w:val="single" w:color="auto" w:sz="4" w:space="0"/>
            </w:tcBorders>
            <w:shd w:val="clear" w:color="auto" w:fill="FFFFFF"/>
            <w:vAlign w:val="center"/>
          </w:tcPr>
          <w:p w14:paraId="49497C28">
            <w:pPr>
              <w:spacing w:line="240" w:lineRule="auto"/>
              <w:ind w:firstLine="0" w:firstLineChars="0"/>
              <w:jc w:val="center"/>
              <w:rPr>
                <w:rFonts w:cs="Times New Roman"/>
                <w:color w:val="000000"/>
                <w:sz w:val="20"/>
                <w:szCs w:val="20"/>
              </w:rPr>
            </w:pPr>
            <w:r>
              <w:rPr>
                <w:rFonts w:cs="Times New Roman"/>
                <w:color w:val="000000"/>
                <w:sz w:val="20"/>
                <w:szCs w:val="20"/>
              </w:rPr>
              <w:t>-</w:t>
            </w:r>
          </w:p>
        </w:tc>
        <w:tc>
          <w:tcPr>
            <w:tcW w:w="1276" w:type="dxa"/>
            <w:tcBorders>
              <w:top w:val="single" w:color="auto" w:sz="4" w:space="0"/>
              <w:left w:val="single" w:color="auto" w:sz="4" w:space="0"/>
            </w:tcBorders>
            <w:shd w:val="clear" w:color="auto" w:fill="FFFFFF"/>
            <w:vAlign w:val="center"/>
          </w:tcPr>
          <w:p w14:paraId="232CF827">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1134" w:type="dxa"/>
            <w:tcBorders>
              <w:top w:val="single" w:color="auto" w:sz="4" w:space="0"/>
              <w:left w:val="single" w:color="auto" w:sz="4" w:space="0"/>
            </w:tcBorders>
            <w:shd w:val="clear" w:color="auto" w:fill="FFFFFF"/>
            <w:vAlign w:val="center"/>
          </w:tcPr>
          <w:p w14:paraId="0F38C00B">
            <w:pPr>
              <w:spacing w:line="240" w:lineRule="auto"/>
              <w:ind w:firstLine="0" w:firstLineChars="0"/>
              <w:jc w:val="center"/>
              <w:rPr>
                <w:rFonts w:cs="Times New Roman"/>
                <w:color w:val="000000"/>
                <w:sz w:val="20"/>
                <w:szCs w:val="20"/>
              </w:rPr>
            </w:pPr>
            <w:r>
              <w:rPr>
                <w:rFonts w:cs="Times New Roman"/>
                <w:color w:val="000000"/>
                <w:sz w:val="20"/>
                <w:szCs w:val="20"/>
              </w:rPr>
              <w:t>依据上级下达任务确定</w:t>
            </w:r>
          </w:p>
        </w:tc>
        <w:tc>
          <w:tcPr>
            <w:tcW w:w="850" w:type="dxa"/>
            <w:tcBorders>
              <w:top w:val="single" w:color="auto" w:sz="4" w:space="0"/>
              <w:left w:val="single" w:color="auto" w:sz="4" w:space="0"/>
            </w:tcBorders>
            <w:shd w:val="clear" w:color="auto" w:fill="FFFFFF"/>
            <w:vAlign w:val="center"/>
          </w:tcPr>
          <w:p w14:paraId="0F2C319A">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2D779EFD">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3BE2603A">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66A82441">
            <w:pPr>
              <w:spacing w:line="240" w:lineRule="auto"/>
              <w:ind w:firstLine="0" w:firstLineChars="0"/>
              <w:jc w:val="center"/>
              <w:rPr>
                <w:rFonts w:cs="Times New Roman"/>
                <w:color w:val="000000"/>
                <w:sz w:val="20"/>
                <w:szCs w:val="20"/>
              </w:rPr>
            </w:pPr>
            <w:r>
              <w:rPr>
                <w:rFonts w:cs="Times New Roman"/>
                <w:color w:val="000000"/>
                <w:sz w:val="20"/>
                <w:szCs w:val="20"/>
              </w:rPr>
              <w:t>9</w:t>
            </w:r>
          </w:p>
        </w:tc>
        <w:tc>
          <w:tcPr>
            <w:tcW w:w="3544" w:type="dxa"/>
            <w:tcBorders>
              <w:top w:val="single" w:color="auto" w:sz="4" w:space="0"/>
              <w:left w:val="single" w:color="auto" w:sz="4" w:space="0"/>
            </w:tcBorders>
            <w:shd w:val="clear" w:color="auto" w:fill="FFFFFF"/>
            <w:vAlign w:val="center"/>
          </w:tcPr>
          <w:p w14:paraId="5B83AE4C">
            <w:pPr>
              <w:spacing w:line="240" w:lineRule="auto"/>
              <w:ind w:firstLine="0" w:firstLineChars="0"/>
              <w:jc w:val="center"/>
              <w:rPr>
                <w:rFonts w:cs="Times New Roman"/>
                <w:color w:val="000000"/>
                <w:sz w:val="20"/>
                <w:szCs w:val="20"/>
              </w:rPr>
            </w:pPr>
            <w:r>
              <w:rPr>
                <w:rFonts w:cs="Times New Roman"/>
                <w:color w:val="000000"/>
                <w:sz w:val="20"/>
                <w:szCs w:val="20"/>
              </w:rPr>
              <w:t>城镇开发边界扩展倍数</w:t>
            </w:r>
          </w:p>
        </w:tc>
        <w:tc>
          <w:tcPr>
            <w:tcW w:w="850" w:type="dxa"/>
            <w:tcBorders>
              <w:top w:val="single" w:color="auto" w:sz="4" w:space="0"/>
              <w:left w:val="single" w:color="auto" w:sz="4" w:space="0"/>
            </w:tcBorders>
            <w:shd w:val="clear" w:color="auto" w:fill="FFFFFF"/>
            <w:vAlign w:val="center"/>
          </w:tcPr>
          <w:p w14:paraId="65C28DE5">
            <w:pPr>
              <w:spacing w:line="240" w:lineRule="auto"/>
              <w:ind w:firstLine="0" w:firstLineChars="0"/>
              <w:jc w:val="center"/>
              <w:rPr>
                <w:rFonts w:cs="Times New Roman"/>
                <w:color w:val="000000"/>
                <w:sz w:val="20"/>
                <w:szCs w:val="20"/>
              </w:rPr>
            </w:pPr>
            <w:r>
              <w:rPr>
                <w:rFonts w:cs="Times New Roman"/>
                <w:color w:val="000000"/>
                <w:sz w:val="20"/>
                <w:szCs w:val="20"/>
              </w:rPr>
              <w:t>-</w:t>
            </w:r>
          </w:p>
        </w:tc>
        <w:tc>
          <w:tcPr>
            <w:tcW w:w="1276" w:type="dxa"/>
            <w:tcBorders>
              <w:top w:val="single" w:color="auto" w:sz="4" w:space="0"/>
              <w:left w:val="single" w:color="auto" w:sz="4" w:space="0"/>
            </w:tcBorders>
            <w:shd w:val="clear" w:color="auto" w:fill="FFFFFF"/>
            <w:vAlign w:val="center"/>
          </w:tcPr>
          <w:p w14:paraId="73CA86CB">
            <w:pPr>
              <w:spacing w:line="240" w:lineRule="auto"/>
              <w:ind w:firstLine="0" w:firstLineChars="0"/>
              <w:jc w:val="center"/>
              <w:rPr>
                <w:rFonts w:cs="Times New Roman"/>
                <w:color w:val="000000"/>
                <w:sz w:val="20"/>
                <w:szCs w:val="20"/>
              </w:rPr>
            </w:pPr>
            <w:r>
              <w:rPr>
                <w:rFonts w:hint="eastAsia" w:cs="Times New Roman"/>
                <w:color w:val="000000"/>
                <w:sz w:val="20"/>
                <w:szCs w:val="20"/>
              </w:rPr>
              <w:t>1.0</w:t>
            </w:r>
          </w:p>
        </w:tc>
        <w:tc>
          <w:tcPr>
            <w:tcW w:w="1134" w:type="dxa"/>
            <w:tcBorders>
              <w:top w:val="single" w:color="auto" w:sz="4" w:space="0"/>
              <w:left w:val="single" w:color="auto" w:sz="4" w:space="0"/>
            </w:tcBorders>
            <w:shd w:val="clear" w:color="auto" w:fill="FFFFFF"/>
            <w:vAlign w:val="center"/>
          </w:tcPr>
          <w:p w14:paraId="3BA21C92">
            <w:pPr>
              <w:spacing w:line="240" w:lineRule="auto"/>
              <w:ind w:firstLine="0" w:firstLineChars="0"/>
              <w:jc w:val="center"/>
              <w:rPr>
                <w:rFonts w:cs="Times New Roman"/>
                <w:color w:val="000000"/>
                <w:sz w:val="20"/>
                <w:szCs w:val="20"/>
              </w:rPr>
            </w:pPr>
            <w:r>
              <w:rPr>
                <w:rFonts w:hint="eastAsia" w:cs="Times New Roman"/>
                <w:color w:val="000000"/>
                <w:sz w:val="20"/>
                <w:szCs w:val="20"/>
              </w:rPr>
              <w:t>1.0</w:t>
            </w:r>
          </w:p>
        </w:tc>
        <w:tc>
          <w:tcPr>
            <w:tcW w:w="850" w:type="dxa"/>
            <w:tcBorders>
              <w:top w:val="single" w:color="auto" w:sz="4" w:space="0"/>
              <w:left w:val="single" w:color="auto" w:sz="4" w:space="0"/>
            </w:tcBorders>
            <w:shd w:val="clear" w:color="auto" w:fill="FFFFFF"/>
            <w:vAlign w:val="center"/>
          </w:tcPr>
          <w:p w14:paraId="552EEC92">
            <w:pPr>
              <w:spacing w:line="240" w:lineRule="auto"/>
              <w:ind w:firstLine="0" w:firstLineChars="0"/>
              <w:jc w:val="center"/>
              <w:rPr>
                <w:rFonts w:cs="Times New Roman"/>
                <w:color w:val="000000"/>
                <w:sz w:val="20"/>
                <w:szCs w:val="20"/>
              </w:rPr>
            </w:pPr>
            <w:r>
              <w:rPr>
                <w:rFonts w:cs="Times New Roman"/>
                <w:color w:val="000000"/>
                <w:sz w:val="20"/>
                <w:szCs w:val="20"/>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04368D96">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2A444AF6">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6925567">
            <w:pPr>
              <w:spacing w:line="240" w:lineRule="auto"/>
              <w:ind w:firstLine="0" w:firstLineChars="0"/>
              <w:jc w:val="center"/>
              <w:rPr>
                <w:rFonts w:cs="Times New Roman"/>
                <w:color w:val="000000"/>
                <w:sz w:val="20"/>
                <w:szCs w:val="20"/>
              </w:rPr>
            </w:pPr>
            <w:r>
              <w:rPr>
                <w:rFonts w:cs="Times New Roman"/>
                <w:color w:val="000000"/>
                <w:sz w:val="20"/>
                <w:szCs w:val="20"/>
              </w:rPr>
              <w:t>10</w:t>
            </w:r>
          </w:p>
        </w:tc>
        <w:tc>
          <w:tcPr>
            <w:tcW w:w="3544" w:type="dxa"/>
            <w:tcBorders>
              <w:top w:val="single" w:color="auto" w:sz="4" w:space="0"/>
              <w:left w:val="single" w:color="auto" w:sz="4" w:space="0"/>
            </w:tcBorders>
            <w:shd w:val="clear" w:color="auto" w:fill="FFFFFF"/>
            <w:vAlign w:val="center"/>
          </w:tcPr>
          <w:p w14:paraId="66E3436E">
            <w:pPr>
              <w:spacing w:line="240" w:lineRule="auto"/>
              <w:ind w:firstLine="0" w:firstLineChars="0"/>
              <w:jc w:val="center"/>
              <w:rPr>
                <w:rFonts w:cs="Times New Roman"/>
                <w:color w:val="000000"/>
                <w:sz w:val="20"/>
                <w:szCs w:val="20"/>
              </w:rPr>
            </w:pPr>
            <w:r>
              <w:rPr>
                <w:rFonts w:cs="Times New Roman"/>
                <w:color w:val="000000"/>
                <w:sz w:val="20"/>
                <w:szCs w:val="20"/>
              </w:rPr>
              <w:t>村庄建设边界划定面积（公顷）</w:t>
            </w:r>
          </w:p>
        </w:tc>
        <w:tc>
          <w:tcPr>
            <w:tcW w:w="850" w:type="dxa"/>
            <w:tcBorders>
              <w:top w:val="single" w:color="auto" w:sz="4" w:space="0"/>
              <w:left w:val="single" w:color="auto" w:sz="4" w:space="0"/>
            </w:tcBorders>
            <w:shd w:val="clear" w:color="auto" w:fill="FFFFFF"/>
            <w:vAlign w:val="center"/>
          </w:tcPr>
          <w:p w14:paraId="379ECC45">
            <w:pPr>
              <w:spacing w:line="240" w:lineRule="auto"/>
              <w:ind w:firstLine="0" w:firstLineChars="0"/>
              <w:jc w:val="center"/>
              <w:rPr>
                <w:rFonts w:cs="Times New Roman"/>
                <w:color w:val="000000"/>
                <w:sz w:val="20"/>
                <w:szCs w:val="20"/>
              </w:rPr>
            </w:pPr>
            <w:r>
              <w:rPr>
                <w:rFonts w:hint="eastAsia" w:cs="Times New Roman"/>
                <w:color w:val="000000"/>
                <w:sz w:val="20"/>
                <w:szCs w:val="20"/>
              </w:rPr>
              <w:t>658.56</w:t>
            </w:r>
          </w:p>
        </w:tc>
        <w:tc>
          <w:tcPr>
            <w:tcW w:w="1276" w:type="dxa"/>
            <w:tcBorders>
              <w:top w:val="single" w:color="auto" w:sz="4" w:space="0"/>
              <w:left w:val="single" w:color="auto" w:sz="4" w:space="0"/>
            </w:tcBorders>
            <w:shd w:val="clear" w:color="auto" w:fill="FFFFFF"/>
            <w:vAlign w:val="center"/>
          </w:tcPr>
          <w:p w14:paraId="620F4FD3">
            <w:pPr>
              <w:spacing w:line="240" w:lineRule="auto"/>
              <w:ind w:firstLine="0" w:firstLineChars="0"/>
              <w:jc w:val="center"/>
              <w:rPr>
                <w:rFonts w:cs="Times New Roman"/>
                <w:color w:val="000000"/>
                <w:sz w:val="20"/>
                <w:szCs w:val="20"/>
              </w:rPr>
            </w:pPr>
            <w:r>
              <w:rPr>
                <w:rFonts w:cs="Times New Roman"/>
                <w:color w:val="000000"/>
                <w:sz w:val="20"/>
                <w:szCs w:val="20"/>
              </w:rPr>
              <w:t>≤</w:t>
            </w:r>
            <w:r>
              <w:rPr>
                <w:rFonts w:hint="eastAsia" w:cs="Times New Roman"/>
                <w:color w:val="000000"/>
                <w:sz w:val="20"/>
                <w:szCs w:val="20"/>
              </w:rPr>
              <w:t>658.56</w:t>
            </w:r>
          </w:p>
        </w:tc>
        <w:tc>
          <w:tcPr>
            <w:tcW w:w="1134" w:type="dxa"/>
            <w:tcBorders>
              <w:top w:val="single" w:color="auto" w:sz="4" w:space="0"/>
              <w:left w:val="single" w:color="auto" w:sz="4" w:space="0"/>
            </w:tcBorders>
            <w:shd w:val="clear" w:color="auto" w:fill="FFFFFF"/>
            <w:vAlign w:val="center"/>
          </w:tcPr>
          <w:p w14:paraId="00764CEA">
            <w:pPr>
              <w:spacing w:line="240" w:lineRule="auto"/>
              <w:ind w:firstLine="0" w:firstLineChars="0"/>
              <w:jc w:val="center"/>
              <w:rPr>
                <w:rFonts w:cs="Times New Roman"/>
                <w:color w:val="000000"/>
                <w:sz w:val="20"/>
                <w:szCs w:val="20"/>
              </w:rPr>
            </w:pPr>
            <w:r>
              <w:rPr>
                <w:rFonts w:cs="Times New Roman"/>
                <w:color w:val="000000"/>
                <w:sz w:val="20"/>
                <w:szCs w:val="20"/>
              </w:rPr>
              <w:t>≤</w:t>
            </w:r>
            <w:r>
              <w:rPr>
                <w:rFonts w:hint="eastAsia" w:cs="Times New Roman"/>
                <w:color w:val="000000"/>
                <w:sz w:val="20"/>
                <w:szCs w:val="20"/>
              </w:rPr>
              <w:t>658.56</w:t>
            </w:r>
          </w:p>
        </w:tc>
        <w:tc>
          <w:tcPr>
            <w:tcW w:w="850" w:type="dxa"/>
            <w:tcBorders>
              <w:top w:val="single" w:color="auto" w:sz="4" w:space="0"/>
              <w:left w:val="single" w:color="auto" w:sz="4" w:space="0"/>
            </w:tcBorders>
            <w:shd w:val="clear" w:color="auto" w:fill="FFFFFF"/>
            <w:vAlign w:val="center"/>
          </w:tcPr>
          <w:p w14:paraId="557158C4">
            <w:pPr>
              <w:spacing w:line="240" w:lineRule="auto"/>
              <w:ind w:firstLine="0" w:firstLineChars="0"/>
              <w:jc w:val="center"/>
              <w:rPr>
                <w:rFonts w:cs="Times New Roman"/>
                <w:color w:val="000000"/>
                <w:sz w:val="20"/>
                <w:szCs w:val="20"/>
              </w:rPr>
            </w:pPr>
            <w:r>
              <w:rPr>
                <w:rFonts w:hint="eastAsia" w:cs="Times New Roman"/>
                <w:color w:val="000000"/>
                <w:sz w:val="20"/>
                <w:szCs w:val="20"/>
              </w:rPr>
              <w:t>约束</w:t>
            </w:r>
            <w:r>
              <w:rPr>
                <w:rFonts w:cs="Times New Roman"/>
                <w:color w:val="000000"/>
                <w:sz w:val="20"/>
                <w:szCs w:val="20"/>
              </w:rPr>
              <w:t>性</w:t>
            </w:r>
          </w:p>
        </w:tc>
        <w:tc>
          <w:tcPr>
            <w:tcW w:w="567" w:type="dxa"/>
            <w:tcBorders>
              <w:top w:val="single" w:color="auto" w:sz="4" w:space="0"/>
              <w:left w:val="single" w:color="auto" w:sz="4" w:space="0"/>
              <w:right w:val="single" w:color="auto" w:sz="4" w:space="0"/>
            </w:tcBorders>
            <w:shd w:val="clear" w:color="auto" w:fill="FFFFFF"/>
            <w:vAlign w:val="center"/>
          </w:tcPr>
          <w:p w14:paraId="7867340A">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2A977A12">
        <w:tblPrEx>
          <w:tblCellMar>
            <w:top w:w="0" w:type="dxa"/>
            <w:left w:w="10" w:type="dxa"/>
            <w:bottom w:w="0" w:type="dxa"/>
            <w:right w:w="10" w:type="dxa"/>
          </w:tblCellMar>
        </w:tblPrEx>
        <w:trPr>
          <w:trHeight w:val="20" w:hRule="atLeast"/>
        </w:trPr>
        <w:tc>
          <w:tcPr>
            <w:tcW w:w="8500" w:type="dxa"/>
            <w:gridSpan w:val="7"/>
            <w:tcBorders>
              <w:top w:val="single" w:color="auto" w:sz="4" w:space="0"/>
              <w:left w:val="single" w:color="auto" w:sz="4" w:space="0"/>
              <w:right w:val="single" w:color="auto" w:sz="4" w:space="0"/>
            </w:tcBorders>
            <w:shd w:val="clear" w:color="auto" w:fill="FFFFFF"/>
            <w:vAlign w:val="center"/>
          </w:tcPr>
          <w:p w14:paraId="18FC856E">
            <w:pPr>
              <w:spacing w:line="240" w:lineRule="auto"/>
              <w:ind w:firstLine="0" w:firstLineChars="0"/>
              <w:jc w:val="center"/>
              <w:rPr>
                <w:rFonts w:eastAsia="仿宋" w:cs="Times New Roman"/>
                <w:b/>
                <w:bCs/>
                <w:sz w:val="21"/>
                <w:lang w:bidi="zh-CN"/>
              </w:rPr>
            </w:pPr>
            <w:r>
              <w:rPr>
                <w:rFonts w:eastAsia="仿宋" w:cs="Times New Roman"/>
                <w:b/>
                <w:bCs/>
                <w:sz w:val="21"/>
                <w:lang w:bidi="zh-CN"/>
              </w:rPr>
              <w:t>二、空间结构与效率</w:t>
            </w:r>
          </w:p>
        </w:tc>
      </w:tr>
      <w:tr w14:paraId="527BF728">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1032C55B">
            <w:pPr>
              <w:spacing w:line="240" w:lineRule="auto"/>
              <w:ind w:firstLine="0" w:firstLineChars="0"/>
              <w:jc w:val="center"/>
              <w:rPr>
                <w:rFonts w:cs="Times New Roman"/>
                <w:color w:val="000000"/>
                <w:sz w:val="20"/>
                <w:szCs w:val="20"/>
              </w:rPr>
            </w:pPr>
            <w:r>
              <w:rPr>
                <w:rFonts w:cs="Times New Roman"/>
                <w:color w:val="000000"/>
                <w:sz w:val="20"/>
                <w:szCs w:val="20"/>
              </w:rPr>
              <w:t>11</w:t>
            </w:r>
          </w:p>
        </w:tc>
        <w:tc>
          <w:tcPr>
            <w:tcW w:w="3544" w:type="dxa"/>
            <w:tcBorders>
              <w:top w:val="single" w:color="auto" w:sz="4" w:space="0"/>
              <w:left w:val="single" w:color="auto" w:sz="4" w:space="0"/>
            </w:tcBorders>
            <w:shd w:val="clear" w:color="auto" w:fill="FFFFFF"/>
            <w:vAlign w:val="center"/>
          </w:tcPr>
          <w:p w14:paraId="06C9EC1C">
            <w:pPr>
              <w:spacing w:line="240" w:lineRule="auto"/>
              <w:ind w:firstLine="0" w:firstLineChars="0"/>
              <w:jc w:val="center"/>
              <w:rPr>
                <w:rFonts w:cs="Times New Roman"/>
                <w:color w:val="000000"/>
                <w:sz w:val="20"/>
                <w:szCs w:val="20"/>
              </w:rPr>
            </w:pPr>
            <w:r>
              <w:rPr>
                <w:rFonts w:cs="Times New Roman"/>
                <w:color w:val="000000"/>
                <w:sz w:val="20"/>
                <w:szCs w:val="20"/>
              </w:rPr>
              <w:t>人均城镇建设用地面积</w:t>
            </w:r>
          </w:p>
          <w:p w14:paraId="0B739C8E">
            <w:pPr>
              <w:spacing w:line="240" w:lineRule="auto"/>
              <w:ind w:firstLine="0" w:firstLineChars="0"/>
              <w:jc w:val="center"/>
              <w:rPr>
                <w:rFonts w:cs="Times New Roman"/>
                <w:color w:val="000000"/>
                <w:sz w:val="20"/>
                <w:szCs w:val="20"/>
              </w:rPr>
            </w:pPr>
            <w:r>
              <w:rPr>
                <w:rFonts w:cs="Times New Roman"/>
                <w:color w:val="000000"/>
                <w:sz w:val="20"/>
                <w:szCs w:val="20"/>
              </w:rPr>
              <w:t>（平方米）</w:t>
            </w:r>
          </w:p>
        </w:tc>
        <w:tc>
          <w:tcPr>
            <w:tcW w:w="850" w:type="dxa"/>
            <w:tcBorders>
              <w:top w:val="single" w:color="auto" w:sz="4" w:space="0"/>
              <w:left w:val="single" w:color="auto" w:sz="4" w:space="0"/>
            </w:tcBorders>
            <w:shd w:val="clear" w:color="auto" w:fill="FFFFFF"/>
            <w:vAlign w:val="center"/>
          </w:tcPr>
          <w:p w14:paraId="6D49B7C5">
            <w:pPr>
              <w:spacing w:line="240" w:lineRule="auto"/>
              <w:ind w:firstLine="0" w:firstLineChars="0"/>
              <w:jc w:val="center"/>
              <w:rPr>
                <w:rFonts w:cs="Times New Roman"/>
                <w:color w:val="000000"/>
                <w:sz w:val="20"/>
                <w:szCs w:val="20"/>
              </w:rPr>
            </w:pPr>
            <w:r>
              <w:rPr>
                <w:rFonts w:hint="eastAsia" w:cs="Times New Roman"/>
                <w:color w:val="000000"/>
                <w:sz w:val="20"/>
                <w:szCs w:val="20"/>
              </w:rPr>
              <w:t>56</w:t>
            </w:r>
          </w:p>
        </w:tc>
        <w:tc>
          <w:tcPr>
            <w:tcW w:w="1276" w:type="dxa"/>
            <w:tcBorders>
              <w:top w:val="single" w:color="auto" w:sz="4" w:space="0"/>
              <w:left w:val="single" w:color="auto" w:sz="4" w:space="0"/>
            </w:tcBorders>
            <w:shd w:val="clear" w:color="auto" w:fill="FFFFFF"/>
            <w:vAlign w:val="center"/>
          </w:tcPr>
          <w:p w14:paraId="401BE5A5">
            <w:pPr>
              <w:spacing w:line="240" w:lineRule="auto"/>
              <w:ind w:firstLine="0" w:firstLineChars="0"/>
              <w:jc w:val="center"/>
              <w:rPr>
                <w:rFonts w:cs="Times New Roman"/>
                <w:color w:val="000000"/>
                <w:sz w:val="20"/>
                <w:szCs w:val="20"/>
              </w:rPr>
            </w:pPr>
            <w:r>
              <w:rPr>
                <w:rFonts w:cs="Times New Roman"/>
                <w:color w:val="000000"/>
                <w:sz w:val="20"/>
                <w:szCs w:val="20"/>
              </w:rPr>
              <w:t>≤66</w:t>
            </w:r>
          </w:p>
        </w:tc>
        <w:tc>
          <w:tcPr>
            <w:tcW w:w="1134" w:type="dxa"/>
            <w:tcBorders>
              <w:top w:val="single" w:color="auto" w:sz="4" w:space="0"/>
              <w:left w:val="single" w:color="auto" w:sz="4" w:space="0"/>
            </w:tcBorders>
            <w:shd w:val="clear" w:color="auto" w:fill="FFFFFF"/>
            <w:vAlign w:val="center"/>
          </w:tcPr>
          <w:p w14:paraId="0945C622">
            <w:pPr>
              <w:spacing w:line="240" w:lineRule="auto"/>
              <w:ind w:firstLine="0" w:firstLineChars="0"/>
              <w:jc w:val="center"/>
              <w:rPr>
                <w:rFonts w:cs="Times New Roman"/>
                <w:color w:val="000000"/>
                <w:sz w:val="20"/>
                <w:szCs w:val="20"/>
              </w:rPr>
            </w:pPr>
            <w:r>
              <w:rPr>
                <w:rFonts w:cs="Times New Roman"/>
                <w:color w:val="000000"/>
                <w:sz w:val="20"/>
                <w:szCs w:val="20"/>
              </w:rPr>
              <w:t>≤75</w:t>
            </w:r>
          </w:p>
        </w:tc>
        <w:tc>
          <w:tcPr>
            <w:tcW w:w="850" w:type="dxa"/>
            <w:tcBorders>
              <w:top w:val="single" w:color="auto" w:sz="4" w:space="0"/>
              <w:left w:val="single" w:color="auto" w:sz="4" w:space="0"/>
            </w:tcBorders>
            <w:shd w:val="clear" w:color="auto" w:fill="FFFFFF"/>
            <w:vAlign w:val="center"/>
          </w:tcPr>
          <w:p w14:paraId="54CEBC00">
            <w:pPr>
              <w:spacing w:line="240" w:lineRule="auto"/>
              <w:ind w:firstLine="0" w:firstLineChars="0"/>
              <w:jc w:val="center"/>
              <w:rPr>
                <w:rFonts w:cs="Times New Roman"/>
                <w:color w:val="000000"/>
                <w:sz w:val="20"/>
                <w:szCs w:val="20"/>
              </w:rPr>
            </w:pPr>
            <w:r>
              <w:rPr>
                <w:rFonts w:cs="Times New Roman"/>
                <w:color w:val="000000"/>
                <w:sz w:val="20"/>
                <w:szCs w:val="20"/>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1A0F27F1">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600AA157">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78C5929E">
            <w:pPr>
              <w:spacing w:line="240" w:lineRule="auto"/>
              <w:ind w:firstLine="0" w:firstLineChars="0"/>
              <w:jc w:val="center"/>
              <w:rPr>
                <w:rFonts w:cs="Times New Roman"/>
                <w:color w:val="000000"/>
                <w:sz w:val="20"/>
                <w:szCs w:val="20"/>
              </w:rPr>
            </w:pPr>
            <w:r>
              <w:rPr>
                <w:rFonts w:cs="Times New Roman"/>
                <w:color w:val="000000"/>
                <w:sz w:val="20"/>
                <w:szCs w:val="20"/>
              </w:rPr>
              <w:t>12</w:t>
            </w:r>
          </w:p>
        </w:tc>
        <w:tc>
          <w:tcPr>
            <w:tcW w:w="3544" w:type="dxa"/>
            <w:tcBorders>
              <w:top w:val="single" w:color="auto" w:sz="4" w:space="0"/>
              <w:left w:val="single" w:color="auto" w:sz="4" w:space="0"/>
            </w:tcBorders>
            <w:shd w:val="clear" w:color="auto" w:fill="FFFFFF"/>
            <w:vAlign w:val="center"/>
          </w:tcPr>
          <w:p w14:paraId="4E96B67A">
            <w:pPr>
              <w:spacing w:line="240" w:lineRule="auto"/>
              <w:ind w:firstLine="0" w:firstLineChars="0"/>
              <w:jc w:val="center"/>
              <w:rPr>
                <w:rFonts w:cs="Times New Roman"/>
                <w:color w:val="000000"/>
                <w:sz w:val="20"/>
                <w:szCs w:val="20"/>
              </w:rPr>
            </w:pPr>
            <w:r>
              <w:rPr>
                <w:rFonts w:cs="Times New Roman"/>
                <w:color w:val="000000"/>
                <w:sz w:val="20"/>
                <w:szCs w:val="20"/>
              </w:rPr>
              <w:t>人均应急避难场所面积</w:t>
            </w:r>
          </w:p>
          <w:p w14:paraId="06E34290">
            <w:pPr>
              <w:spacing w:line="240" w:lineRule="auto"/>
              <w:ind w:firstLine="0" w:firstLineChars="0"/>
              <w:jc w:val="center"/>
              <w:rPr>
                <w:rFonts w:cs="Times New Roman"/>
                <w:color w:val="000000"/>
                <w:sz w:val="20"/>
                <w:szCs w:val="20"/>
              </w:rPr>
            </w:pPr>
            <w:r>
              <w:rPr>
                <w:rFonts w:cs="Times New Roman"/>
                <w:color w:val="000000"/>
                <w:sz w:val="20"/>
                <w:szCs w:val="20"/>
              </w:rPr>
              <w:t>（平方米）</w:t>
            </w:r>
          </w:p>
        </w:tc>
        <w:tc>
          <w:tcPr>
            <w:tcW w:w="850" w:type="dxa"/>
            <w:tcBorders>
              <w:top w:val="single" w:color="auto" w:sz="4" w:space="0"/>
              <w:left w:val="single" w:color="auto" w:sz="4" w:space="0"/>
            </w:tcBorders>
            <w:shd w:val="clear" w:color="auto" w:fill="FFFFFF"/>
            <w:vAlign w:val="center"/>
          </w:tcPr>
          <w:p w14:paraId="577D326D">
            <w:pPr>
              <w:spacing w:line="240" w:lineRule="auto"/>
              <w:ind w:firstLine="0" w:firstLineChars="0"/>
              <w:jc w:val="center"/>
              <w:rPr>
                <w:rFonts w:cs="Times New Roman"/>
                <w:color w:val="000000"/>
                <w:sz w:val="20"/>
                <w:szCs w:val="20"/>
              </w:rPr>
            </w:pPr>
            <w:r>
              <w:rPr>
                <w:rFonts w:hint="eastAsia" w:cs="Times New Roman"/>
                <w:color w:val="000000"/>
                <w:sz w:val="20"/>
                <w:szCs w:val="20"/>
              </w:rPr>
              <w:t>0.45</w:t>
            </w:r>
          </w:p>
        </w:tc>
        <w:tc>
          <w:tcPr>
            <w:tcW w:w="1276" w:type="dxa"/>
            <w:tcBorders>
              <w:top w:val="single" w:color="auto" w:sz="4" w:space="0"/>
              <w:left w:val="single" w:color="auto" w:sz="4" w:space="0"/>
            </w:tcBorders>
            <w:shd w:val="clear" w:color="auto" w:fill="FFFFFF"/>
            <w:vAlign w:val="center"/>
          </w:tcPr>
          <w:p w14:paraId="79046E90">
            <w:pPr>
              <w:spacing w:line="240" w:lineRule="auto"/>
              <w:ind w:firstLine="0" w:firstLineChars="0"/>
              <w:jc w:val="center"/>
              <w:rPr>
                <w:rFonts w:cs="Times New Roman"/>
                <w:color w:val="000000"/>
                <w:sz w:val="20"/>
                <w:szCs w:val="20"/>
              </w:rPr>
            </w:pPr>
            <w:r>
              <w:rPr>
                <w:rFonts w:cs="Times New Roman"/>
                <w:color w:val="000000"/>
                <w:sz w:val="20"/>
                <w:szCs w:val="20"/>
              </w:rPr>
              <w:t>≥1.5</w:t>
            </w:r>
          </w:p>
        </w:tc>
        <w:tc>
          <w:tcPr>
            <w:tcW w:w="1134" w:type="dxa"/>
            <w:tcBorders>
              <w:top w:val="single" w:color="auto" w:sz="4" w:space="0"/>
              <w:left w:val="single" w:color="auto" w:sz="4" w:space="0"/>
            </w:tcBorders>
            <w:shd w:val="clear" w:color="auto" w:fill="FFFFFF"/>
            <w:vAlign w:val="center"/>
          </w:tcPr>
          <w:p w14:paraId="3A128AE4">
            <w:pPr>
              <w:spacing w:line="240" w:lineRule="auto"/>
              <w:ind w:firstLine="0" w:firstLineChars="0"/>
              <w:jc w:val="center"/>
              <w:rPr>
                <w:rFonts w:cs="Times New Roman"/>
                <w:color w:val="000000"/>
                <w:sz w:val="20"/>
                <w:szCs w:val="20"/>
              </w:rPr>
            </w:pPr>
            <w:r>
              <w:rPr>
                <w:rFonts w:cs="Times New Roman"/>
                <w:color w:val="000000"/>
                <w:sz w:val="20"/>
                <w:szCs w:val="20"/>
              </w:rPr>
              <w:t>≥1.5</w:t>
            </w:r>
          </w:p>
        </w:tc>
        <w:tc>
          <w:tcPr>
            <w:tcW w:w="850" w:type="dxa"/>
            <w:tcBorders>
              <w:top w:val="single" w:color="auto" w:sz="4" w:space="0"/>
              <w:left w:val="single" w:color="auto" w:sz="4" w:space="0"/>
            </w:tcBorders>
            <w:shd w:val="clear" w:color="auto" w:fill="FFFFFF"/>
            <w:vAlign w:val="center"/>
          </w:tcPr>
          <w:p w14:paraId="74671AFA">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right w:val="single" w:color="auto" w:sz="4" w:space="0"/>
            </w:tcBorders>
            <w:shd w:val="clear" w:color="auto" w:fill="FFFFFF"/>
            <w:vAlign w:val="center"/>
          </w:tcPr>
          <w:p w14:paraId="3282D3F8">
            <w:pPr>
              <w:spacing w:line="240" w:lineRule="auto"/>
              <w:ind w:firstLine="0" w:firstLineChars="0"/>
              <w:jc w:val="center"/>
              <w:rPr>
                <w:rFonts w:cs="Times New Roman"/>
                <w:color w:val="000000"/>
                <w:sz w:val="20"/>
                <w:szCs w:val="20"/>
              </w:rPr>
            </w:pPr>
            <w:r>
              <w:rPr>
                <w:rFonts w:cs="Times New Roman"/>
                <w:color w:val="000000"/>
                <w:sz w:val="20"/>
                <w:szCs w:val="20"/>
              </w:rPr>
              <w:t>镇</w:t>
            </w:r>
            <w:r>
              <w:rPr>
                <w:rFonts w:hint="eastAsia" w:cs="Times New Roman"/>
                <w:color w:val="000000"/>
                <w:sz w:val="20"/>
                <w:szCs w:val="20"/>
              </w:rPr>
              <w:t>中心</w:t>
            </w:r>
            <w:r>
              <w:rPr>
                <w:rFonts w:cs="Times New Roman"/>
                <w:color w:val="000000"/>
                <w:sz w:val="20"/>
                <w:szCs w:val="20"/>
              </w:rPr>
              <w:t>区</w:t>
            </w:r>
          </w:p>
        </w:tc>
      </w:tr>
      <w:tr w14:paraId="07EA56E4">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12DC750E">
            <w:pPr>
              <w:spacing w:line="240" w:lineRule="auto"/>
              <w:ind w:firstLine="0" w:firstLineChars="0"/>
              <w:jc w:val="center"/>
              <w:rPr>
                <w:rFonts w:cs="Times New Roman"/>
                <w:color w:val="000000"/>
                <w:sz w:val="20"/>
                <w:szCs w:val="20"/>
              </w:rPr>
            </w:pPr>
            <w:r>
              <w:rPr>
                <w:rFonts w:cs="Times New Roman"/>
                <w:color w:val="000000"/>
                <w:sz w:val="20"/>
                <w:szCs w:val="20"/>
              </w:rPr>
              <w:t>13</w:t>
            </w:r>
          </w:p>
        </w:tc>
        <w:tc>
          <w:tcPr>
            <w:tcW w:w="3544" w:type="dxa"/>
            <w:tcBorders>
              <w:top w:val="single" w:color="auto" w:sz="4" w:space="0"/>
              <w:left w:val="single" w:color="auto" w:sz="4" w:space="0"/>
            </w:tcBorders>
            <w:shd w:val="clear" w:color="auto" w:fill="FFFFFF"/>
            <w:vAlign w:val="center"/>
          </w:tcPr>
          <w:p w14:paraId="2E834386">
            <w:pPr>
              <w:spacing w:line="240" w:lineRule="auto"/>
              <w:ind w:firstLine="0" w:firstLineChars="0"/>
              <w:jc w:val="center"/>
              <w:rPr>
                <w:rFonts w:cs="Times New Roman"/>
                <w:color w:val="000000"/>
                <w:sz w:val="20"/>
                <w:szCs w:val="20"/>
              </w:rPr>
            </w:pPr>
            <w:r>
              <w:rPr>
                <w:rFonts w:cs="Times New Roman"/>
                <w:color w:val="000000"/>
                <w:sz w:val="20"/>
                <w:szCs w:val="20"/>
              </w:rPr>
              <w:t>道路网密度（千米/平方千米）</w:t>
            </w:r>
          </w:p>
        </w:tc>
        <w:tc>
          <w:tcPr>
            <w:tcW w:w="850" w:type="dxa"/>
            <w:tcBorders>
              <w:top w:val="single" w:color="auto" w:sz="4" w:space="0"/>
              <w:left w:val="single" w:color="auto" w:sz="4" w:space="0"/>
            </w:tcBorders>
            <w:shd w:val="clear" w:color="auto" w:fill="FFFFFF"/>
            <w:vAlign w:val="center"/>
          </w:tcPr>
          <w:p w14:paraId="7CC23050">
            <w:pPr>
              <w:spacing w:line="240" w:lineRule="auto"/>
              <w:ind w:firstLine="0" w:firstLineChars="0"/>
              <w:jc w:val="center"/>
              <w:rPr>
                <w:rFonts w:cs="Times New Roman"/>
                <w:color w:val="000000"/>
                <w:sz w:val="20"/>
                <w:szCs w:val="20"/>
              </w:rPr>
            </w:pPr>
            <w:r>
              <w:rPr>
                <w:rFonts w:hint="eastAsia" w:cs="Times New Roman"/>
                <w:color w:val="000000"/>
                <w:sz w:val="20"/>
                <w:szCs w:val="20"/>
              </w:rPr>
              <w:t>3.47</w:t>
            </w:r>
          </w:p>
        </w:tc>
        <w:tc>
          <w:tcPr>
            <w:tcW w:w="1276" w:type="dxa"/>
            <w:tcBorders>
              <w:top w:val="single" w:color="auto" w:sz="4" w:space="0"/>
              <w:left w:val="single" w:color="auto" w:sz="4" w:space="0"/>
            </w:tcBorders>
            <w:shd w:val="clear" w:color="auto" w:fill="FFFFFF"/>
            <w:vAlign w:val="center"/>
          </w:tcPr>
          <w:p w14:paraId="40C45596">
            <w:pPr>
              <w:spacing w:line="240" w:lineRule="auto"/>
              <w:ind w:firstLine="0" w:firstLineChars="0"/>
              <w:jc w:val="center"/>
              <w:rPr>
                <w:rFonts w:cs="Times New Roman"/>
                <w:color w:val="000000"/>
                <w:sz w:val="20"/>
                <w:szCs w:val="20"/>
              </w:rPr>
            </w:pPr>
            <w:r>
              <w:rPr>
                <w:rFonts w:cs="Times New Roman"/>
                <w:color w:val="000000"/>
                <w:sz w:val="20"/>
                <w:szCs w:val="20"/>
              </w:rPr>
              <w:t>≥6</w:t>
            </w:r>
          </w:p>
        </w:tc>
        <w:tc>
          <w:tcPr>
            <w:tcW w:w="1134" w:type="dxa"/>
            <w:tcBorders>
              <w:top w:val="single" w:color="auto" w:sz="4" w:space="0"/>
              <w:left w:val="single" w:color="auto" w:sz="4" w:space="0"/>
            </w:tcBorders>
            <w:shd w:val="clear" w:color="auto" w:fill="FFFFFF"/>
            <w:vAlign w:val="center"/>
          </w:tcPr>
          <w:p w14:paraId="47144451">
            <w:pPr>
              <w:spacing w:line="240" w:lineRule="auto"/>
              <w:ind w:firstLine="0" w:firstLineChars="0"/>
              <w:jc w:val="center"/>
              <w:rPr>
                <w:rFonts w:cs="Times New Roman"/>
                <w:color w:val="000000"/>
                <w:sz w:val="20"/>
                <w:szCs w:val="20"/>
              </w:rPr>
            </w:pPr>
            <w:r>
              <w:rPr>
                <w:rFonts w:cs="Times New Roman"/>
                <w:color w:val="000000"/>
                <w:sz w:val="20"/>
                <w:szCs w:val="20"/>
              </w:rPr>
              <w:t>≥7</w:t>
            </w:r>
          </w:p>
        </w:tc>
        <w:tc>
          <w:tcPr>
            <w:tcW w:w="850" w:type="dxa"/>
            <w:tcBorders>
              <w:top w:val="single" w:color="auto" w:sz="4" w:space="0"/>
              <w:left w:val="single" w:color="auto" w:sz="4" w:space="0"/>
            </w:tcBorders>
            <w:shd w:val="clear" w:color="auto" w:fill="FFFFFF"/>
            <w:vAlign w:val="center"/>
          </w:tcPr>
          <w:p w14:paraId="6F8DB5AF">
            <w:pPr>
              <w:spacing w:line="240" w:lineRule="auto"/>
              <w:ind w:firstLine="0" w:firstLineChars="0"/>
              <w:jc w:val="center"/>
              <w:rPr>
                <w:rFonts w:cs="Times New Roman"/>
                <w:color w:val="000000"/>
                <w:sz w:val="20"/>
                <w:szCs w:val="20"/>
              </w:rPr>
            </w:pPr>
            <w:r>
              <w:rPr>
                <w:rFonts w:cs="Times New Roman"/>
                <w:color w:val="000000"/>
                <w:sz w:val="20"/>
                <w:szCs w:val="20"/>
              </w:rPr>
              <w:t>约束性</w:t>
            </w:r>
          </w:p>
        </w:tc>
        <w:tc>
          <w:tcPr>
            <w:tcW w:w="567" w:type="dxa"/>
            <w:tcBorders>
              <w:top w:val="single" w:color="auto" w:sz="4" w:space="0"/>
              <w:left w:val="single" w:color="auto" w:sz="4" w:space="0"/>
              <w:right w:val="single" w:color="auto" w:sz="4" w:space="0"/>
            </w:tcBorders>
            <w:shd w:val="clear" w:color="auto" w:fill="FFFFFF"/>
            <w:vAlign w:val="center"/>
          </w:tcPr>
          <w:p w14:paraId="2A7FE7BF">
            <w:pPr>
              <w:spacing w:line="240" w:lineRule="auto"/>
              <w:ind w:firstLine="0" w:firstLineChars="0"/>
              <w:jc w:val="center"/>
              <w:rPr>
                <w:rFonts w:cs="Times New Roman"/>
                <w:color w:val="000000"/>
                <w:sz w:val="20"/>
                <w:szCs w:val="20"/>
              </w:rPr>
            </w:pPr>
            <w:r>
              <w:rPr>
                <w:rFonts w:cs="Times New Roman"/>
                <w:color w:val="000000"/>
                <w:sz w:val="20"/>
                <w:szCs w:val="20"/>
              </w:rPr>
              <w:t>镇</w:t>
            </w:r>
            <w:r>
              <w:rPr>
                <w:rFonts w:hint="eastAsia" w:cs="Times New Roman"/>
                <w:color w:val="000000"/>
                <w:sz w:val="20"/>
                <w:szCs w:val="20"/>
              </w:rPr>
              <w:t>中心</w:t>
            </w:r>
            <w:r>
              <w:rPr>
                <w:rFonts w:cs="Times New Roman"/>
                <w:color w:val="000000"/>
                <w:sz w:val="20"/>
                <w:szCs w:val="20"/>
              </w:rPr>
              <w:t>区</w:t>
            </w:r>
          </w:p>
        </w:tc>
      </w:tr>
      <w:tr w14:paraId="1A96F4E4">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44142DC3">
            <w:pPr>
              <w:spacing w:line="240" w:lineRule="auto"/>
              <w:ind w:firstLine="0" w:firstLineChars="0"/>
              <w:jc w:val="center"/>
              <w:rPr>
                <w:rFonts w:cs="Times New Roman"/>
                <w:color w:val="000000"/>
                <w:sz w:val="20"/>
                <w:szCs w:val="20"/>
              </w:rPr>
            </w:pPr>
            <w:r>
              <w:rPr>
                <w:rFonts w:cs="Times New Roman"/>
                <w:color w:val="000000"/>
                <w:sz w:val="20"/>
                <w:szCs w:val="20"/>
              </w:rPr>
              <w:t>14</w:t>
            </w:r>
          </w:p>
        </w:tc>
        <w:tc>
          <w:tcPr>
            <w:tcW w:w="3544" w:type="dxa"/>
            <w:tcBorders>
              <w:top w:val="single" w:color="auto" w:sz="4" w:space="0"/>
              <w:left w:val="single" w:color="auto" w:sz="4" w:space="0"/>
              <w:bottom w:val="single" w:color="auto" w:sz="4" w:space="0"/>
            </w:tcBorders>
            <w:shd w:val="clear" w:color="auto" w:fill="FFFFFF"/>
            <w:vAlign w:val="center"/>
          </w:tcPr>
          <w:p w14:paraId="552C6FE0">
            <w:pPr>
              <w:spacing w:line="240" w:lineRule="auto"/>
              <w:ind w:firstLine="0" w:firstLineChars="0"/>
              <w:jc w:val="center"/>
              <w:rPr>
                <w:rFonts w:cs="Times New Roman"/>
                <w:color w:val="000000"/>
                <w:sz w:val="20"/>
                <w:szCs w:val="20"/>
              </w:rPr>
            </w:pPr>
            <w:r>
              <w:rPr>
                <w:rFonts w:cs="Times New Roman"/>
                <w:color w:val="000000"/>
                <w:sz w:val="20"/>
                <w:szCs w:val="20"/>
              </w:rPr>
              <w:t>每万元地区生产总值用水下降（%）</w:t>
            </w:r>
          </w:p>
        </w:tc>
        <w:tc>
          <w:tcPr>
            <w:tcW w:w="850" w:type="dxa"/>
            <w:tcBorders>
              <w:top w:val="single" w:color="auto" w:sz="4" w:space="0"/>
              <w:left w:val="single" w:color="auto" w:sz="4" w:space="0"/>
              <w:bottom w:val="single" w:color="auto" w:sz="4" w:space="0"/>
            </w:tcBorders>
            <w:shd w:val="clear" w:color="auto" w:fill="FFFFFF"/>
            <w:vAlign w:val="center"/>
          </w:tcPr>
          <w:p w14:paraId="24CCBCA4">
            <w:pPr>
              <w:spacing w:line="240" w:lineRule="auto"/>
              <w:ind w:firstLine="0" w:firstLineChars="0"/>
              <w:jc w:val="center"/>
              <w:rPr>
                <w:rFonts w:cs="Times New Roman"/>
                <w:color w:val="000000"/>
                <w:sz w:val="20"/>
                <w:szCs w:val="20"/>
              </w:rPr>
            </w:pPr>
            <w:r>
              <w:rPr>
                <w:rFonts w:cs="Times New Roman"/>
                <w:color w:val="000000"/>
                <w:sz w:val="20"/>
                <w:szCs w:val="20"/>
              </w:rPr>
              <w:t>-</w:t>
            </w:r>
          </w:p>
        </w:tc>
        <w:tc>
          <w:tcPr>
            <w:tcW w:w="1276" w:type="dxa"/>
            <w:tcBorders>
              <w:top w:val="single" w:color="auto" w:sz="4" w:space="0"/>
              <w:left w:val="single" w:color="auto" w:sz="4" w:space="0"/>
              <w:bottom w:val="single" w:color="auto" w:sz="4" w:space="0"/>
            </w:tcBorders>
            <w:shd w:val="clear" w:color="auto" w:fill="FFFFFF"/>
            <w:vAlign w:val="center"/>
          </w:tcPr>
          <w:p w14:paraId="5D6DB85E">
            <w:pPr>
              <w:spacing w:line="240" w:lineRule="auto"/>
              <w:ind w:firstLine="0" w:firstLineChars="0"/>
              <w:jc w:val="center"/>
              <w:rPr>
                <w:rFonts w:cs="Times New Roman"/>
                <w:color w:val="000000"/>
                <w:sz w:val="20"/>
                <w:szCs w:val="20"/>
              </w:rPr>
            </w:pPr>
            <w:r>
              <w:rPr>
                <w:rFonts w:cs="Times New Roman"/>
                <w:color w:val="000000"/>
                <w:sz w:val="20"/>
                <w:szCs w:val="20"/>
              </w:rPr>
              <w:t>依据省下达任务确定</w:t>
            </w:r>
          </w:p>
        </w:tc>
        <w:tc>
          <w:tcPr>
            <w:tcW w:w="1134" w:type="dxa"/>
            <w:tcBorders>
              <w:top w:val="single" w:color="auto" w:sz="4" w:space="0"/>
              <w:left w:val="single" w:color="auto" w:sz="4" w:space="0"/>
              <w:bottom w:val="single" w:color="auto" w:sz="4" w:space="0"/>
            </w:tcBorders>
            <w:shd w:val="clear" w:color="auto" w:fill="FFFFFF"/>
            <w:vAlign w:val="center"/>
          </w:tcPr>
          <w:p w14:paraId="5546D15A">
            <w:pPr>
              <w:spacing w:line="240" w:lineRule="auto"/>
              <w:ind w:firstLine="0" w:firstLineChars="0"/>
              <w:jc w:val="center"/>
              <w:rPr>
                <w:rFonts w:cs="Times New Roman"/>
                <w:color w:val="000000"/>
                <w:sz w:val="20"/>
                <w:szCs w:val="20"/>
              </w:rPr>
            </w:pPr>
            <w:r>
              <w:rPr>
                <w:rFonts w:cs="Times New Roman"/>
                <w:color w:val="000000"/>
                <w:sz w:val="20"/>
                <w:szCs w:val="20"/>
              </w:rPr>
              <w:t>依据省下达任务确定</w:t>
            </w:r>
          </w:p>
        </w:tc>
        <w:tc>
          <w:tcPr>
            <w:tcW w:w="850" w:type="dxa"/>
            <w:tcBorders>
              <w:top w:val="single" w:color="auto" w:sz="4" w:space="0"/>
              <w:left w:val="single" w:color="auto" w:sz="4" w:space="0"/>
              <w:bottom w:val="single" w:color="auto" w:sz="4" w:space="0"/>
            </w:tcBorders>
            <w:shd w:val="clear" w:color="auto" w:fill="FFFFFF"/>
            <w:vAlign w:val="center"/>
          </w:tcPr>
          <w:p w14:paraId="18DA566B">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0B320FDB">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r w14:paraId="5B27A693">
        <w:tblPrEx>
          <w:tblCellMar>
            <w:top w:w="0" w:type="dxa"/>
            <w:left w:w="10" w:type="dxa"/>
            <w:bottom w:w="0" w:type="dxa"/>
            <w:right w:w="10" w:type="dxa"/>
          </w:tblCellMar>
        </w:tblPrEx>
        <w:trPr>
          <w:trHeight w:val="20" w:hRule="atLeast"/>
        </w:trPr>
        <w:tc>
          <w:tcPr>
            <w:tcW w:w="279" w:type="dxa"/>
            <w:tcBorders>
              <w:top w:val="single" w:color="auto" w:sz="4" w:space="0"/>
              <w:left w:val="single" w:color="auto" w:sz="4" w:space="0"/>
            </w:tcBorders>
            <w:shd w:val="clear" w:color="auto" w:fill="FFFFFF"/>
            <w:vAlign w:val="center"/>
          </w:tcPr>
          <w:p w14:paraId="2C3D8860">
            <w:pPr>
              <w:spacing w:line="240" w:lineRule="auto"/>
              <w:ind w:firstLine="0" w:firstLineChars="0"/>
              <w:jc w:val="center"/>
              <w:rPr>
                <w:rFonts w:cs="Times New Roman"/>
                <w:color w:val="000000"/>
                <w:sz w:val="20"/>
                <w:szCs w:val="20"/>
              </w:rPr>
            </w:pPr>
            <w:r>
              <w:rPr>
                <w:rFonts w:cs="Times New Roman"/>
                <w:color w:val="000000"/>
                <w:sz w:val="20"/>
                <w:szCs w:val="20"/>
              </w:rPr>
              <w:t>15</w:t>
            </w:r>
          </w:p>
        </w:tc>
        <w:tc>
          <w:tcPr>
            <w:tcW w:w="3544" w:type="dxa"/>
            <w:tcBorders>
              <w:top w:val="single" w:color="auto" w:sz="4" w:space="0"/>
              <w:left w:val="single" w:color="auto" w:sz="4" w:space="0"/>
              <w:bottom w:val="single" w:color="auto" w:sz="4" w:space="0"/>
              <w:right w:val="single" w:color="auto" w:sz="4" w:space="0"/>
            </w:tcBorders>
            <w:shd w:val="clear" w:color="auto" w:fill="FFFFFF"/>
            <w:vAlign w:val="center"/>
          </w:tcPr>
          <w:p w14:paraId="4FA59188">
            <w:pPr>
              <w:spacing w:line="240" w:lineRule="auto"/>
              <w:ind w:firstLine="0" w:firstLineChars="0"/>
              <w:jc w:val="center"/>
              <w:rPr>
                <w:rFonts w:cs="Times New Roman"/>
                <w:color w:val="000000"/>
                <w:sz w:val="20"/>
                <w:szCs w:val="20"/>
              </w:rPr>
            </w:pPr>
            <w:r>
              <w:rPr>
                <w:rFonts w:cs="Times New Roman"/>
                <w:color w:val="000000"/>
                <w:sz w:val="20"/>
                <w:szCs w:val="20"/>
              </w:rPr>
              <w:t>单位地区生产总值建设用地使用面积下降（%）</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1DCCF343">
            <w:pPr>
              <w:spacing w:line="240" w:lineRule="auto"/>
              <w:ind w:firstLine="0" w:firstLineChars="0"/>
              <w:jc w:val="center"/>
              <w:rPr>
                <w:rFonts w:cs="Times New Roman"/>
                <w:color w:val="000000"/>
                <w:sz w:val="20"/>
                <w:szCs w:val="20"/>
              </w:rPr>
            </w:pPr>
            <w:r>
              <w:rPr>
                <w:rFonts w:cs="Times New Roman"/>
                <w:color w:val="000000"/>
                <w:sz w:val="20"/>
                <w:szCs w:val="20"/>
              </w:rPr>
              <w:t>-</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5A9D178C">
            <w:pPr>
              <w:spacing w:line="240" w:lineRule="auto"/>
              <w:ind w:firstLine="0" w:firstLineChars="0"/>
              <w:jc w:val="center"/>
              <w:rPr>
                <w:rFonts w:cs="Times New Roman"/>
                <w:color w:val="000000"/>
                <w:sz w:val="20"/>
                <w:szCs w:val="20"/>
              </w:rPr>
            </w:pPr>
            <w:r>
              <w:rPr>
                <w:rFonts w:cs="Times New Roman"/>
                <w:color w:val="000000"/>
                <w:sz w:val="20"/>
                <w:szCs w:val="20"/>
              </w:rPr>
              <w:t>依据省下达任务确定</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14:paraId="579D3744">
            <w:pPr>
              <w:spacing w:line="240" w:lineRule="auto"/>
              <w:ind w:firstLine="0" w:firstLineChars="0"/>
              <w:jc w:val="center"/>
              <w:rPr>
                <w:rFonts w:cs="Times New Roman"/>
                <w:color w:val="000000"/>
                <w:sz w:val="20"/>
                <w:szCs w:val="20"/>
              </w:rPr>
            </w:pPr>
            <w:r>
              <w:rPr>
                <w:rFonts w:cs="Times New Roman"/>
                <w:color w:val="000000"/>
                <w:sz w:val="20"/>
                <w:szCs w:val="20"/>
              </w:rPr>
              <w:t>依据省下达任务确定</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455E0AA3">
            <w:pPr>
              <w:spacing w:line="240" w:lineRule="auto"/>
              <w:ind w:firstLine="0" w:firstLineChars="0"/>
              <w:jc w:val="center"/>
              <w:rPr>
                <w:rFonts w:cs="Times New Roman"/>
                <w:color w:val="000000"/>
                <w:sz w:val="20"/>
                <w:szCs w:val="20"/>
              </w:rPr>
            </w:pPr>
            <w:r>
              <w:rPr>
                <w:rFonts w:cs="Times New Roman"/>
                <w:color w:val="000000"/>
                <w:sz w:val="20"/>
                <w:szCs w:val="20"/>
              </w:rPr>
              <w:t>预期性</w:t>
            </w:r>
          </w:p>
        </w:tc>
        <w:tc>
          <w:tcPr>
            <w:tcW w:w="567" w:type="dxa"/>
            <w:tcBorders>
              <w:top w:val="single" w:color="auto" w:sz="4" w:space="0"/>
              <w:left w:val="single" w:color="auto" w:sz="4" w:space="0"/>
              <w:bottom w:val="single" w:color="auto" w:sz="4" w:space="0"/>
              <w:right w:val="single" w:color="auto" w:sz="4" w:space="0"/>
            </w:tcBorders>
            <w:shd w:val="clear" w:color="auto" w:fill="FFFFFF"/>
            <w:vAlign w:val="center"/>
          </w:tcPr>
          <w:p w14:paraId="43CAEE60">
            <w:pPr>
              <w:spacing w:line="240" w:lineRule="auto"/>
              <w:ind w:firstLine="0" w:firstLineChars="0"/>
              <w:jc w:val="center"/>
              <w:rPr>
                <w:rFonts w:cs="Times New Roman"/>
                <w:color w:val="000000"/>
                <w:sz w:val="20"/>
                <w:szCs w:val="20"/>
              </w:rPr>
            </w:pPr>
            <w:r>
              <w:rPr>
                <w:rFonts w:cs="Times New Roman"/>
                <w:color w:val="000000"/>
                <w:sz w:val="20"/>
                <w:szCs w:val="20"/>
              </w:rPr>
              <w:t>全域</w:t>
            </w:r>
          </w:p>
        </w:tc>
      </w:tr>
    </w:tbl>
    <w:p w14:paraId="1B2E3D1B">
      <w:pPr>
        <w:ind w:firstLine="640"/>
        <w:rPr>
          <w:rFonts w:cs="Times New Roman"/>
        </w:rPr>
      </w:pPr>
    </w:p>
    <w:p w14:paraId="57EAF745">
      <w:pPr>
        <w:pStyle w:val="2"/>
        <w:spacing w:before="312" w:after="312"/>
        <w:rPr>
          <w:rFonts w:ascii="Times New Roman" w:hAnsi="Times New Roman" w:cs="Times New Roman"/>
        </w:rPr>
      </w:pPr>
      <w:bookmarkStart w:id="17" w:name="_Toc26936"/>
      <w:bookmarkStart w:id="18" w:name="_Toc9113"/>
      <w:bookmarkStart w:id="19" w:name="_Toc185931292"/>
      <w:bookmarkStart w:id="20" w:name="_Toc27036"/>
      <w:r>
        <w:rPr>
          <w:rFonts w:ascii="Times New Roman" w:hAnsi="Times New Roman" w:cs="Times New Roman"/>
        </w:rPr>
        <w:t>第三章 国土空间开发保护格局</w:t>
      </w:r>
      <w:bookmarkEnd w:id="17"/>
      <w:bookmarkEnd w:id="18"/>
      <w:bookmarkEnd w:id="19"/>
      <w:bookmarkEnd w:id="20"/>
      <w:r>
        <w:rPr>
          <w:rFonts w:ascii="Times New Roman" w:hAnsi="Times New Roman" w:cs="Times New Roman"/>
        </w:rPr>
        <w:t xml:space="preserve"> </w:t>
      </w:r>
    </w:p>
    <w:p w14:paraId="6C1CF053">
      <w:pPr>
        <w:ind w:firstLine="640"/>
        <w:rPr>
          <w:rFonts w:cs="Times New Roman"/>
        </w:rPr>
      </w:pPr>
      <w:r>
        <w:rPr>
          <w:rFonts w:cs="Times New Roman"/>
        </w:rPr>
        <w:t>以区域自然地理格局为基础，结合桓仁县国土空间开发适宜性评价、灾害风险评估、规划实施评估等成果，强化三条控制线的底线约束，落实规划目标与定位，构建华来镇国土空间开发保护总体格局。</w:t>
      </w:r>
    </w:p>
    <w:p w14:paraId="2D3C8D53">
      <w:pPr>
        <w:pStyle w:val="3"/>
        <w:rPr>
          <w:rFonts w:ascii="Times New Roman" w:hAnsi="Times New Roman" w:cs="Times New Roman"/>
        </w:rPr>
      </w:pPr>
      <w:bookmarkStart w:id="21" w:name="_Toc7626"/>
      <w:bookmarkStart w:id="22" w:name="_Toc5690"/>
      <w:bookmarkStart w:id="23" w:name="_Toc185931293"/>
      <w:bookmarkStart w:id="24" w:name="_Toc26376"/>
      <w:r>
        <w:rPr>
          <w:rFonts w:ascii="Times New Roman" w:hAnsi="Times New Roman" w:cs="Times New Roman"/>
        </w:rPr>
        <w:t>第一节 总体格局</w:t>
      </w:r>
      <w:bookmarkEnd w:id="21"/>
      <w:bookmarkEnd w:id="22"/>
      <w:bookmarkEnd w:id="23"/>
      <w:bookmarkEnd w:id="24"/>
    </w:p>
    <w:p w14:paraId="070675A8">
      <w:pPr>
        <w:pStyle w:val="4"/>
        <w:numPr>
          <w:ilvl w:val="0"/>
          <w:numId w:val="5"/>
        </w:numPr>
        <w:ind w:left="860" w:hanging="440" w:firstLineChars="0"/>
      </w:pPr>
      <w:r>
        <w:t>国土空间开发保护格局</w:t>
      </w:r>
    </w:p>
    <w:p w14:paraId="1DDC72F8">
      <w:pPr>
        <w:ind w:firstLine="640"/>
        <w:rPr>
          <w:rFonts w:cs="Times New Roman"/>
        </w:rPr>
      </w:pPr>
      <w:r>
        <w:rPr>
          <w:rFonts w:cs="Times New Roman"/>
        </w:rPr>
        <w:t>以桓仁县国土空间总体规划确定的“一核、一心、四副、两轴、三区”的国土空间格局为引领，以华来镇山水相依的自然地理格局为依托，构建“</w:t>
      </w:r>
      <w:r>
        <w:rPr>
          <w:rFonts w:hint="eastAsia" w:cs="Times New Roman"/>
        </w:rPr>
        <w:t>双核、四心、两轴、五区</w:t>
      </w:r>
      <w:r>
        <w:rPr>
          <w:rFonts w:cs="Times New Roman"/>
        </w:rPr>
        <w:t>”的国土空间开发保护利用总体格局。</w:t>
      </w:r>
    </w:p>
    <w:p w14:paraId="2D334BC4">
      <w:pPr>
        <w:ind w:firstLine="640"/>
        <w:rPr>
          <w:rFonts w:cs="Times New Roman"/>
        </w:rPr>
      </w:pPr>
      <w:r>
        <w:rPr>
          <w:rFonts w:hint="eastAsia" w:cs="Times New Roman"/>
        </w:rPr>
        <w:t>双核：为一主一次两个镇域综合发展核，主要镇域综合发展核为华来镇政府所在地，强化公共服务、商业商贸、工业物流、交通枢纽等职能，优化城镇内部用地结构与布局，将其打造成为镇域的综合服务中心，增强城镇的集聚和辐射带动能力；次要镇域综合发展核为镇域西部木盂子管委会所在地，强化工业、居住等职能，将其打造成为镇域的工业中心。</w:t>
      </w:r>
      <w:r>
        <w:rPr>
          <w:rFonts w:hint="eastAsia" w:cs="Times New Roman"/>
        </w:rPr>
        <w:cr/>
      </w:r>
      <w:r>
        <w:rPr>
          <w:rFonts w:hint="eastAsia" w:cs="Times New Roman"/>
        </w:rPr>
        <w:t xml:space="preserve">    四心：以铧尖子村、柳林子村、菜娥堡村、暖河子村为华来镇副中心，辐射带动周边乡村，推动一二三产融合发展。</w:t>
      </w:r>
      <w:r>
        <w:rPr>
          <w:rFonts w:hint="eastAsia" w:cs="Times New Roman"/>
        </w:rPr>
        <w:cr/>
      </w:r>
      <w:r>
        <w:rPr>
          <w:rFonts w:hint="eastAsia" w:cs="Times New Roman"/>
        </w:rPr>
        <w:t xml:space="preserve">    两轴：依托永桓高速和本桓高速，串联沿线村庄及重点项目，加强华来镇与县域周边乡镇之间的联系，打造镇域发展主次轴。</w:t>
      </w:r>
      <w:r>
        <w:rPr>
          <w:rFonts w:hint="eastAsia" w:cs="Times New Roman"/>
        </w:rPr>
        <w:cr/>
      </w:r>
      <w:r>
        <w:rPr>
          <w:rFonts w:hint="eastAsia" w:cs="Times New Roman"/>
        </w:rPr>
        <w:t xml:space="preserve">    五区：人参综合加工产业区、综合产业发展区、农产品精深加工及矿产资源发展区、林下经济发展区、特色旅游发展区</w:t>
      </w:r>
      <w:r>
        <w:rPr>
          <w:rFonts w:cs="Times New Roman"/>
        </w:rPr>
        <w:t>。</w:t>
      </w:r>
    </w:p>
    <w:p w14:paraId="23EE7678">
      <w:pPr>
        <w:ind w:firstLine="640"/>
        <w:rPr>
          <w:rFonts w:cs="Times New Roman"/>
        </w:rPr>
      </w:pPr>
      <w:r>
        <w:rPr>
          <w:rFonts w:hint="eastAsia" w:cs="Times New Roman"/>
        </w:rPr>
        <w:t>五区：人参综合加工产业区、综合产业发展区、农产品精深加工及矿产资源发展区、林下经济发展区、特色旅游发展区。</w:t>
      </w:r>
    </w:p>
    <w:p w14:paraId="0E43B263">
      <w:pPr>
        <w:pStyle w:val="3"/>
        <w:rPr>
          <w:rFonts w:ascii="Times New Roman" w:hAnsi="Times New Roman" w:cs="Times New Roman"/>
        </w:rPr>
      </w:pPr>
      <w:bookmarkStart w:id="25" w:name="_Toc16096"/>
      <w:bookmarkStart w:id="26" w:name="_Toc185931294"/>
      <w:bookmarkStart w:id="27" w:name="_Toc22969"/>
      <w:bookmarkStart w:id="28" w:name="_Toc23542"/>
      <w:r>
        <w:rPr>
          <w:rFonts w:ascii="Times New Roman" w:hAnsi="Times New Roman" w:cs="Times New Roman"/>
        </w:rPr>
        <w:t>第二节 重要控制线划定</w:t>
      </w:r>
      <w:bookmarkEnd w:id="25"/>
      <w:bookmarkEnd w:id="26"/>
      <w:bookmarkEnd w:id="27"/>
      <w:bookmarkEnd w:id="28"/>
    </w:p>
    <w:p w14:paraId="561F3CCE">
      <w:pPr>
        <w:pStyle w:val="4"/>
        <w:numPr>
          <w:ilvl w:val="0"/>
          <w:numId w:val="6"/>
        </w:numPr>
        <w:ind w:left="420" w:firstLine="641" w:firstLineChars="0"/>
      </w:pPr>
      <w:r>
        <w:t>耕地和永久基本农田</w:t>
      </w:r>
    </w:p>
    <w:p w14:paraId="076C9790">
      <w:pPr>
        <w:ind w:firstLine="640"/>
        <w:rPr>
          <w:rFonts w:cs="Times New Roman"/>
        </w:rPr>
      </w:pPr>
      <w:r>
        <w:rPr>
          <w:rFonts w:cs="Times New Roman"/>
        </w:rPr>
        <w:t>落实《桓仁满族自治县国土空间总体规划（2021-2035年）》下达的耕地和永久基本农田约束指标，严守永久基本农田控制线，优化永久基本农田布局，</w:t>
      </w:r>
      <w:r>
        <w:rPr>
          <w:rFonts w:cs="Times New Roman"/>
          <w:u w:val="single"/>
        </w:rPr>
        <w:t>全域转落耕地保护目标</w:t>
      </w:r>
      <w:bookmarkStart w:id="29" w:name="OLE_LINK15"/>
      <w:r>
        <w:rPr>
          <w:rFonts w:hint="eastAsia" w:cs="Times New Roman"/>
          <w:u w:val="single"/>
        </w:rPr>
        <w:t>7598.52</w:t>
      </w:r>
      <w:bookmarkEnd w:id="29"/>
      <w:r>
        <w:rPr>
          <w:rFonts w:cs="Times New Roman"/>
          <w:u w:val="single"/>
        </w:rPr>
        <w:t>公顷，转落永久基本农田面积</w:t>
      </w:r>
      <w:bookmarkStart w:id="30" w:name="OLE_LINK16"/>
      <w:r>
        <w:rPr>
          <w:rFonts w:hint="eastAsia" w:cs="Times New Roman"/>
          <w:u w:val="single"/>
        </w:rPr>
        <w:t>7049.98</w:t>
      </w:r>
      <w:bookmarkEnd w:id="30"/>
      <w:r>
        <w:rPr>
          <w:rFonts w:cs="Times New Roman"/>
          <w:u w:val="single"/>
        </w:rPr>
        <w:t>公顷</w:t>
      </w:r>
      <w:r>
        <w:rPr>
          <w:rFonts w:cs="Times New Roman"/>
        </w:rPr>
        <w:t>。</w:t>
      </w:r>
      <w:r>
        <w:rPr>
          <w:rFonts w:cs="Times New Roman"/>
          <w:color w:val="000000"/>
          <w:lang w:bidi="ar"/>
        </w:rPr>
        <w:t>严格落实国家对耕地和永久基本农田保护红线的法律法规与规范性文件。</w:t>
      </w:r>
    </w:p>
    <w:p w14:paraId="6BFF11ED">
      <w:pPr>
        <w:pStyle w:val="4"/>
        <w:numPr>
          <w:ilvl w:val="0"/>
          <w:numId w:val="1"/>
        </w:numPr>
        <w:ind w:left="860" w:firstLine="361" w:firstLineChars="113"/>
      </w:pPr>
      <w:r>
        <w:t>生态保护红线</w:t>
      </w:r>
    </w:p>
    <w:p w14:paraId="335FAE27">
      <w:pPr>
        <w:ind w:firstLine="640"/>
        <w:rPr>
          <w:rFonts w:cs="Times New Roman"/>
        </w:rPr>
      </w:pPr>
      <w:r>
        <w:rPr>
          <w:rFonts w:cs="Times New Roman"/>
        </w:rPr>
        <w:t>落实《桓仁满族自治县国土空间总体规划（2021-2035年）》下达的生态保护红线约束性指标，</w:t>
      </w:r>
      <w:r>
        <w:rPr>
          <w:rFonts w:cs="Times New Roman"/>
          <w:u w:val="single"/>
        </w:rPr>
        <w:t>全域转落生态保护红线面积</w:t>
      </w:r>
      <w:bookmarkStart w:id="31" w:name="OLE_LINK17"/>
      <w:r>
        <w:rPr>
          <w:rFonts w:hint="eastAsia" w:cs="Times New Roman"/>
          <w:u w:val="single"/>
        </w:rPr>
        <w:t>26443.96</w:t>
      </w:r>
      <w:bookmarkEnd w:id="31"/>
      <w:r>
        <w:rPr>
          <w:rFonts w:cs="Times New Roman"/>
          <w:u w:val="single"/>
        </w:rPr>
        <w:t>公顷</w:t>
      </w:r>
      <w:r>
        <w:rPr>
          <w:rFonts w:cs="Times New Roman"/>
        </w:rPr>
        <w:t>。</w:t>
      </w:r>
      <w:r>
        <w:rPr>
          <w:rFonts w:cs="Times New Roman"/>
          <w:color w:val="000000"/>
          <w:lang w:bidi="ar"/>
        </w:rPr>
        <w:t>严格落实国家、省对生态保护红线的法律法规与规范性文件。</w:t>
      </w:r>
    </w:p>
    <w:p w14:paraId="78A8EE26">
      <w:pPr>
        <w:pStyle w:val="4"/>
        <w:numPr>
          <w:ilvl w:val="0"/>
          <w:numId w:val="1"/>
        </w:numPr>
        <w:ind w:left="860" w:firstLine="361" w:firstLineChars="113"/>
      </w:pPr>
      <w:r>
        <w:t>城镇开发边界</w:t>
      </w:r>
    </w:p>
    <w:p w14:paraId="03C51BCC">
      <w:pPr>
        <w:ind w:firstLine="640"/>
        <w:rPr>
          <w:rFonts w:cs="Times New Roman"/>
          <w:color w:val="000000"/>
          <w:lang w:bidi="ar"/>
        </w:rPr>
      </w:pPr>
      <w:r>
        <w:rPr>
          <w:rFonts w:cs="Times New Roman"/>
        </w:rPr>
        <w:t>落实《桓仁满族自治县国土空间总体规划（2021-2035年）》下达的城镇开发边界约束性指标，</w:t>
      </w:r>
      <w:r>
        <w:rPr>
          <w:rFonts w:cs="Times New Roman"/>
          <w:u w:val="single"/>
        </w:rPr>
        <w:t>全域转落城镇开发边界面积</w:t>
      </w:r>
      <w:bookmarkStart w:id="32" w:name="OLE_LINK18"/>
      <w:r>
        <w:rPr>
          <w:rFonts w:hint="eastAsia" w:cs="Times New Roman"/>
          <w:u w:val="single"/>
        </w:rPr>
        <w:t>190.65</w:t>
      </w:r>
      <w:bookmarkEnd w:id="32"/>
      <w:r>
        <w:rPr>
          <w:rFonts w:cs="Times New Roman"/>
          <w:u w:val="single"/>
        </w:rPr>
        <w:t>公顷</w:t>
      </w:r>
      <w:r>
        <w:rPr>
          <w:rFonts w:cs="Times New Roman"/>
        </w:rPr>
        <w:t>。</w:t>
      </w:r>
      <w:r>
        <w:rPr>
          <w:rFonts w:cs="Times New Roman"/>
          <w:color w:val="000000"/>
          <w:lang w:bidi="ar"/>
        </w:rPr>
        <w:t>严格落实国家、省对城镇开发边界的法律法规与规范性文件。</w:t>
      </w:r>
    </w:p>
    <w:p w14:paraId="3BC81B7B">
      <w:pPr>
        <w:pStyle w:val="4"/>
        <w:numPr>
          <w:ilvl w:val="0"/>
          <w:numId w:val="1"/>
        </w:numPr>
        <w:ind w:left="860" w:firstLine="361" w:firstLineChars="113"/>
      </w:pPr>
      <w:r>
        <w:t>村庄建设边界</w:t>
      </w:r>
    </w:p>
    <w:p w14:paraId="06D30445">
      <w:pPr>
        <w:ind w:firstLine="640"/>
        <w:rPr>
          <w:rFonts w:cs="Times New Roman"/>
          <w:color w:val="FF0000"/>
        </w:rPr>
      </w:pPr>
      <w:r>
        <w:rPr>
          <w:rFonts w:cs="Times New Roman"/>
        </w:rPr>
        <w:t>以村庄建设边界初划成果为基础，结合村庄发展需要，在符合“三区三线”管控要求前提下，优化村庄建设边界，推动乡村建设用地集约利用，</w:t>
      </w:r>
      <w:r>
        <w:rPr>
          <w:rFonts w:cs="Times New Roman"/>
          <w:u w:val="single"/>
        </w:rPr>
        <w:t>全域划定村庄建设边界</w:t>
      </w:r>
      <w:r>
        <w:rPr>
          <w:rFonts w:hint="eastAsia" w:cs="Times New Roman"/>
          <w:u w:val="single"/>
        </w:rPr>
        <w:t>658.56</w:t>
      </w:r>
      <w:r>
        <w:rPr>
          <w:rFonts w:cs="Times New Roman"/>
          <w:u w:val="single"/>
        </w:rPr>
        <w:t>公顷，坚持集聚建设，引导乡村建设向边界内集聚</w:t>
      </w:r>
      <w:r>
        <w:rPr>
          <w:rFonts w:cs="Times New Roman"/>
        </w:rPr>
        <w:t>。全域村庄建设边界规模不超过2020年度国土变更调查村庄用地规模。</w:t>
      </w:r>
    </w:p>
    <w:p w14:paraId="68578296">
      <w:pPr>
        <w:widowControl/>
        <w:adjustRightInd w:val="0"/>
        <w:snapToGrid w:val="0"/>
        <w:ind w:firstLine="640"/>
        <w:rPr>
          <w:rFonts w:cs="Times New Roman"/>
        </w:rPr>
      </w:pPr>
      <w:r>
        <w:rPr>
          <w:rFonts w:cs="Times New Roman"/>
        </w:rPr>
        <w:t>强化村庄建设边界对开发建设行为的刚性约束作用。积极引导乡村建设行为向村庄建设用地边界内集聚，鼓励乡村建设用地复合利用。必要情况外，原则上不在村庄建设边界外安排项目。在不占用耕地和永久基本农田、生态保护红线、不突破国土空间规划建设用地指标等约束条件、不破坏生态环境和乡村风貌的前提下，利用农村本地资源开展农产品初加工、发展休闲观光旅游而必须的配套设施建设用地，可在村庄建设边界外安排少量“点状”建设用地；农村道路、电力、电讯等线性公益设施用地，以及宗教、殡葬等特殊用地可在边界外安排；符合县、镇级国土空间规划村庄国土空间用途管制规则和建设管控要求的可在边界外安排用地，项目确需建设的，可向县级自然资源主管部门申请使用机动指标。</w:t>
      </w:r>
    </w:p>
    <w:p w14:paraId="0039A530">
      <w:pPr>
        <w:pStyle w:val="4"/>
        <w:numPr>
          <w:ilvl w:val="0"/>
          <w:numId w:val="1"/>
        </w:numPr>
        <w:ind w:left="860" w:firstLine="361" w:firstLineChars="113"/>
      </w:pPr>
      <w:r>
        <w:t>历史文化保护线</w:t>
      </w:r>
    </w:p>
    <w:p w14:paraId="3E82DD1B">
      <w:pPr>
        <w:ind w:firstLine="640"/>
        <w:rPr>
          <w:rFonts w:cs="Times New Roman"/>
          <w:szCs w:val="32"/>
          <w:lang w:bidi="ar"/>
        </w:rPr>
      </w:pPr>
      <w:r>
        <w:rPr>
          <w:rFonts w:cs="Times New Roman"/>
          <w:szCs w:val="32"/>
          <w:lang w:bidi="ar"/>
        </w:rPr>
        <w:t>保护华来镇内的历史文化资源，包括全国重点文物保护单位</w:t>
      </w:r>
      <w:r>
        <w:rPr>
          <w:rFonts w:hint="eastAsia" w:cs="Times New Roman"/>
          <w:szCs w:val="32"/>
          <w:lang w:bidi="ar"/>
        </w:rPr>
        <w:t>高俭地山城、冯家堡子墓群</w:t>
      </w:r>
      <w:r>
        <w:rPr>
          <w:rFonts w:cs="Times New Roman"/>
          <w:szCs w:val="32"/>
          <w:lang w:bidi="ar"/>
        </w:rPr>
        <w:t>，</w:t>
      </w:r>
      <w:r>
        <w:rPr>
          <w:rFonts w:hint="eastAsia" w:cs="Times New Roman"/>
          <w:szCs w:val="32"/>
          <w:lang w:bidi="ar"/>
        </w:rPr>
        <w:t>市级</w:t>
      </w:r>
      <w:r>
        <w:rPr>
          <w:rFonts w:cs="Times New Roman"/>
          <w:szCs w:val="32"/>
          <w:lang w:bidi="ar"/>
        </w:rPr>
        <w:t>重点文物保护单位</w:t>
      </w:r>
      <w:r>
        <w:rPr>
          <w:rFonts w:hint="eastAsia" w:cs="Times New Roman"/>
          <w:szCs w:val="32"/>
          <w:lang w:bidi="ar"/>
        </w:rPr>
        <w:t>半截沟古战场、吴荣沟遗址、二户来革命烈士陵园、二户来歪脖望战斗遗址、釜山遗址、铧尖子革命烈士陵园及纪念碑、木盂子仙人洞桓兴县委成立大会遗址等</w:t>
      </w:r>
      <w:r>
        <w:rPr>
          <w:rFonts w:cs="Times New Roman"/>
          <w:szCs w:val="32"/>
          <w:lang w:bidi="ar"/>
        </w:rPr>
        <w:t>。其中：</w:t>
      </w:r>
    </w:p>
    <w:p w14:paraId="3D693744">
      <w:pPr>
        <w:ind w:firstLine="640"/>
        <w:rPr>
          <w:rFonts w:cs="Times New Roman"/>
          <w:kern w:val="0"/>
          <w:szCs w:val="32"/>
          <w:u w:val="single"/>
          <w:lang w:bidi="zh-CN"/>
        </w:rPr>
      </w:pPr>
      <w:r>
        <w:rPr>
          <w:rFonts w:hint="eastAsia" w:cs="Times New Roman"/>
          <w:kern w:val="0"/>
          <w:szCs w:val="32"/>
          <w:u w:val="single"/>
          <w:lang w:bidi="zh-CN"/>
        </w:rPr>
        <w:t>高俭地山城</w:t>
      </w:r>
      <w:r>
        <w:rPr>
          <w:rFonts w:cs="Times New Roman"/>
          <w:kern w:val="0"/>
          <w:szCs w:val="32"/>
          <w:u w:val="single"/>
          <w:lang w:bidi="zh-CN"/>
        </w:rPr>
        <w:t>保护范围为</w:t>
      </w:r>
      <w:r>
        <w:rPr>
          <w:rFonts w:hint="eastAsia" w:cs="Times New Roman"/>
          <w:kern w:val="0"/>
          <w:szCs w:val="32"/>
          <w:u w:val="single"/>
          <w:lang w:bidi="zh-CN"/>
        </w:rPr>
        <w:t>城内及城墙、山岩墙外墙基外50米以内。建设控制地带：保护范围外100米以内为Ⅱ类建设控制地带。</w:t>
      </w:r>
    </w:p>
    <w:p w14:paraId="087A077E">
      <w:pPr>
        <w:ind w:firstLine="640"/>
        <w:rPr>
          <w:rFonts w:cs="Times New Roman"/>
          <w:kern w:val="0"/>
          <w:szCs w:val="32"/>
          <w:u w:val="single"/>
          <w:lang w:bidi="zh-CN"/>
        </w:rPr>
      </w:pPr>
      <w:r>
        <w:rPr>
          <w:rFonts w:hint="eastAsia" w:cs="Times New Roman"/>
          <w:kern w:val="0"/>
          <w:szCs w:val="32"/>
          <w:u w:val="single"/>
          <w:lang w:bidi="zh-CN"/>
        </w:rPr>
        <w:t>冯家堡子墓群：后川墓地保护范围，以1号墓中心为基点，南30米，东60米，北30米，西18米。建设控制地带：东、西、北各20米，南54米为Ⅰ类建设控制地带。河西墓地保护范围：以1号墓中心为基点，北25米，南30米，东20米，西20米。建设控制地带：南、北各20米，东、西各30米。鸡房子墓地保护范围，以5号墓中心为基点，南50米，西50米，北30米，东110米以内。建设控制地带：东、南、西、北各20米。老朱家后山墓地保护范围，以1号墓中心为基点，南20米，西40米，北20米，东20米。建设控制地带：南40米，西20米，东20米，北至山根。东大地墓地保护范围：以3号墓中心为基点，西120米，东100米，南20米，北50米。建设控制地带：东20米，南20米，西、北与保护范围相同。大恩堡石柱子墓地保护范围，以石柱子为中心，南30米，西20米，北30米，东至公路。建设控制地带：东同保护范围，西20米，南30米，北20米。</w:t>
      </w:r>
    </w:p>
    <w:p w14:paraId="4C7E33CE">
      <w:pPr>
        <w:spacing w:line="240" w:lineRule="auto"/>
        <w:ind w:firstLine="640"/>
        <w:rPr>
          <w:rFonts w:cs="Times New Roman"/>
          <w:szCs w:val="32"/>
          <w:lang w:bidi="ar"/>
        </w:rPr>
      </w:pPr>
      <w:r>
        <w:rPr>
          <w:rFonts w:cs="Times New Roman"/>
          <w:szCs w:val="32"/>
          <w:lang w:bidi="ar"/>
        </w:rPr>
        <w:t>历史文化保护线的具体边界可在详细规划编制和实施中落实。在历史文化保护线范围内进行新建或者改建各类建筑物、构筑物和其他设施，对规划确定保护的建筑物、构筑物和其他设施进行修缮和维修以及改变建筑物、构筑物的使用性质，应当依照相关法律法规的规定，办理相关手续后方可进行。加强历史文化遗产与周边山水环境之间的整体保护，与所在地域农业、生态空间之间的协同保护与涉及建设活动空间之间的协调。</w:t>
      </w:r>
    </w:p>
    <w:p w14:paraId="2096472C">
      <w:pPr>
        <w:spacing w:line="240" w:lineRule="auto"/>
        <w:ind w:firstLine="640"/>
        <w:rPr>
          <w:rFonts w:cs="Times New Roman"/>
          <w:szCs w:val="32"/>
          <w:lang w:bidi="ar"/>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1504"/>
        <w:gridCol w:w="2760"/>
        <w:gridCol w:w="2132"/>
      </w:tblGrid>
      <w:tr w14:paraId="5BC0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0351496">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行政村名</w:t>
            </w:r>
          </w:p>
        </w:tc>
        <w:tc>
          <w:tcPr>
            <w:tcW w:w="882" w:type="pct"/>
            <w:vAlign w:val="center"/>
          </w:tcPr>
          <w:p w14:paraId="4F63A1C6">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耕地保有量</w:t>
            </w:r>
          </w:p>
        </w:tc>
        <w:tc>
          <w:tcPr>
            <w:tcW w:w="1618" w:type="pct"/>
            <w:vAlign w:val="center"/>
          </w:tcPr>
          <w:p w14:paraId="3C41F642">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永久基本农田保护面积</w:t>
            </w:r>
          </w:p>
        </w:tc>
        <w:tc>
          <w:tcPr>
            <w:tcW w:w="1250" w:type="pct"/>
            <w:vAlign w:val="center"/>
          </w:tcPr>
          <w:p w14:paraId="499106D6">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生态保护红线面积</w:t>
            </w:r>
          </w:p>
        </w:tc>
      </w:tr>
      <w:tr w14:paraId="227B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337DF95">
            <w:pPr>
              <w:spacing w:line="240" w:lineRule="auto"/>
              <w:ind w:firstLine="0" w:firstLineChars="0"/>
              <w:jc w:val="center"/>
              <w:rPr>
                <w:rFonts w:cs="Times New Roman"/>
                <w:color w:val="000000"/>
                <w:sz w:val="20"/>
                <w:szCs w:val="20"/>
              </w:rPr>
            </w:pPr>
            <w:r>
              <w:rPr>
                <w:rFonts w:ascii="Arial" w:hAnsi="Arial" w:cs="Arial"/>
                <w:color w:val="000000"/>
                <w:sz w:val="20"/>
                <w:szCs w:val="20"/>
              </w:rPr>
              <w:t>碑登村</w:t>
            </w:r>
          </w:p>
        </w:tc>
        <w:tc>
          <w:tcPr>
            <w:tcW w:w="882" w:type="pct"/>
          </w:tcPr>
          <w:p w14:paraId="418955E8">
            <w:pPr>
              <w:spacing w:line="240" w:lineRule="auto"/>
              <w:ind w:firstLine="0" w:firstLineChars="0"/>
              <w:jc w:val="center"/>
              <w:rPr>
                <w:rFonts w:cs="Times New Roman"/>
                <w:color w:val="000000"/>
                <w:sz w:val="20"/>
                <w:szCs w:val="20"/>
              </w:rPr>
            </w:pPr>
            <w:r>
              <w:rPr>
                <w:rFonts w:cs="Times New Roman"/>
                <w:color w:val="000000"/>
                <w:sz w:val="20"/>
                <w:szCs w:val="20"/>
              </w:rPr>
              <w:t xml:space="preserve">366.25 </w:t>
            </w:r>
          </w:p>
        </w:tc>
        <w:tc>
          <w:tcPr>
            <w:tcW w:w="1618" w:type="pct"/>
          </w:tcPr>
          <w:p w14:paraId="4CB18C02">
            <w:pPr>
              <w:spacing w:line="240" w:lineRule="auto"/>
              <w:ind w:firstLine="0" w:firstLineChars="0"/>
              <w:jc w:val="center"/>
              <w:rPr>
                <w:rFonts w:cs="Times New Roman"/>
                <w:color w:val="000000"/>
                <w:sz w:val="20"/>
                <w:szCs w:val="20"/>
              </w:rPr>
            </w:pPr>
            <w:r>
              <w:rPr>
                <w:rFonts w:cs="Times New Roman"/>
                <w:color w:val="000000"/>
                <w:sz w:val="20"/>
                <w:szCs w:val="20"/>
              </w:rPr>
              <w:t xml:space="preserve">350.62 </w:t>
            </w:r>
          </w:p>
        </w:tc>
        <w:tc>
          <w:tcPr>
            <w:tcW w:w="1250" w:type="pct"/>
          </w:tcPr>
          <w:p w14:paraId="525503B0">
            <w:pPr>
              <w:spacing w:line="240" w:lineRule="auto"/>
              <w:ind w:firstLine="0" w:firstLineChars="0"/>
              <w:jc w:val="center"/>
              <w:rPr>
                <w:rFonts w:cs="Times New Roman"/>
                <w:color w:val="000000"/>
                <w:sz w:val="20"/>
                <w:szCs w:val="20"/>
              </w:rPr>
            </w:pPr>
            <w:r>
              <w:rPr>
                <w:rFonts w:cs="Times New Roman"/>
                <w:color w:val="000000"/>
                <w:sz w:val="20"/>
                <w:szCs w:val="20"/>
              </w:rPr>
              <w:t xml:space="preserve">1298.92 </w:t>
            </w:r>
          </w:p>
        </w:tc>
      </w:tr>
      <w:tr w14:paraId="4E0B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2C7D214">
            <w:pPr>
              <w:spacing w:line="240" w:lineRule="auto"/>
              <w:ind w:firstLine="0" w:firstLineChars="0"/>
              <w:jc w:val="center"/>
              <w:rPr>
                <w:rFonts w:cs="Times New Roman"/>
                <w:color w:val="000000"/>
                <w:sz w:val="20"/>
                <w:szCs w:val="20"/>
              </w:rPr>
            </w:pPr>
            <w:r>
              <w:rPr>
                <w:rFonts w:ascii="Arial" w:hAnsi="Arial" w:cs="Arial"/>
                <w:color w:val="000000"/>
                <w:sz w:val="20"/>
                <w:szCs w:val="20"/>
              </w:rPr>
              <w:t>菜娥堡村</w:t>
            </w:r>
          </w:p>
        </w:tc>
        <w:tc>
          <w:tcPr>
            <w:tcW w:w="882" w:type="pct"/>
          </w:tcPr>
          <w:p w14:paraId="76D34378">
            <w:pPr>
              <w:spacing w:line="240" w:lineRule="auto"/>
              <w:ind w:firstLine="0" w:firstLineChars="0"/>
              <w:jc w:val="center"/>
              <w:rPr>
                <w:rFonts w:cs="Times New Roman"/>
                <w:color w:val="000000"/>
                <w:sz w:val="20"/>
                <w:szCs w:val="20"/>
              </w:rPr>
            </w:pPr>
            <w:r>
              <w:rPr>
                <w:rFonts w:cs="Times New Roman"/>
                <w:color w:val="000000"/>
                <w:sz w:val="20"/>
                <w:szCs w:val="20"/>
              </w:rPr>
              <w:t xml:space="preserve">302.59 </w:t>
            </w:r>
          </w:p>
        </w:tc>
        <w:tc>
          <w:tcPr>
            <w:tcW w:w="1618" w:type="pct"/>
          </w:tcPr>
          <w:p w14:paraId="21D05CB0">
            <w:pPr>
              <w:spacing w:line="240" w:lineRule="auto"/>
              <w:ind w:firstLine="0" w:firstLineChars="0"/>
              <w:jc w:val="center"/>
              <w:rPr>
                <w:rFonts w:cs="Times New Roman"/>
                <w:color w:val="000000"/>
                <w:sz w:val="20"/>
                <w:szCs w:val="20"/>
              </w:rPr>
            </w:pPr>
            <w:r>
              <w:rPr>
                <w:rFonts w:cs="Times New Roman"/>
                <w:color w:val="000000"/>
                <w:sz w:val="20"/>
                <w:szCs w:val="20"/>
              </w:rPr>
              <w:t xml:space="preserve">292.23 </w:t>
            </w:r>
          </w:p>
        </w:tc>
        <w:tc>
          <w:tcPr>
            <w:tcW w:w="1250" w:type="pct"/>
          </w:tcPr>
          <w:p w14:paraId="51809CC9">
            <w:pPr>
              <w:spacing w:line="240" w:lineRule="auto"/>
              <w:ind w:firstLine="0" w:firstLineChars="0"/>
              <w:jc w:val="center"/>
              <w:rPr>
                <w:rFonts w:cs="Times New Roman"/>
                <w:color w:val="000000"/>
                <w:sz w:val="20"/>
                <w:szCs w:val="20"/>
              </w:rPr>
            </w:pPr>
            <w:r>
              <w:rPr>
                <w:rFonts w:cs="Times New Roman"/>
                <w:color w:val="000000"/>
                <w:sz w:val="20"/>
                <w:szCs w:val="20"/>
              </w:rPr>
              <w:t xml:space="preserve">1914.97 </w:t>
            </w:r>
          </w:p>
        </w:tc>
      </w:tr>
      <w:tr w14:paraId="2ABD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FB1FE3E">
            <w:pPr>
              <w:spacing w:line="240" w:lineRule="auto"/>
              <w:ind w:firstLine="0" w:firstLineChars="0"/>
              <w:jc w:val="center"/>
              <w:rPr>
                <w:rFonts w:cs="Times New Roman"/>
                <w:color w:val="000000"/>
                <w:sz w:val="20"/>
                <w:szCs w:val="20"/>
              </w:rPr>
            </w:pPr>
            <w:r>
              <w:rPr>
                <w:rFonts w:ascii="Arial" w:hAnsi="Arial" w:cs="Arial"/>
                <w:color w:val="000000"/>
                <w:sz w:val="20"/>
                <w:szCs w:val="20"/>
              </w:rPr>
              <w:t>川里村</w:t>
            </w:r>
          </w:p>
        </w:tc>
        <w:tc>
          <w:tcPr>
            <w:tcW w:w="882" w:type="pct"/>
          </w:tcPr>
          <w:p w14:paraId="5A735827">
            <w:pPr>
              <w:spacing w:line="240" w:lineRule="auto"/>
              <w:ind w:firstLine="0" w:firstLineChars="0"/>
              <w:jc w:val="center"/>
              <w:rPr>
                <w:rFonts w:cs="Times New Roman"/>
                <w:color w:val="000000"/>
                <w:sz w:val="20"/>
                <w:szCs w:val="20"/>
              </w:rPr>
            </w:pPr>
            <w:r>
              <w:rPr>
                <w:rFonts w:cs="Times New Roman"/>
                <w:color w:val="000000"/>
                <w:sz w:val="20"/>
                <w:szCs w:val="20"/>
              </w:rPr>
              <w:t xml:space="preserve">556.91 </w:t>
            </w:r>
          </w:p>
        </w:tc>
        <w:tc>
          <w:tcPr>
            <w:tcW w:w="1618" w:type="pct"/>
          </w:tcPr>
          <w:p w14:paraId="1609C2E3">
            <w:pPr>
              <w:spacing w:line="240" w:lineRule="auto"/>
              <w:ind w:firstLine="0" w:firstLineChars="0"/>
              <w:jc w:val="center"/>
              <w:rPr>
                <w:rFonts w:cs="Times New Roman"/>
                <w:color w:val="000000"/>
                <w:sz w:val="20"/>
                <w:szCs w:val="20"/>
              </w:rPr>
            </w:pPr>
            <w:r>
              <w:rPr>
                <w:rFonts w:cs="Times New Roman"/>
                <w:color w:val="000000"/>
                <w:sz w:val="20"/>
                <w:szCs w:val="20"/>
              </w:rPr>
              <w:t xml:space="preserve">517.27 </w:t>
            </w:r>
          </w:p>
        </w:tc>
        <w:tc>
          <w:tcPr>
            <w:tcW w:w="1250" w:type="pct"/>
          </w:tcPr>
          <w:p w14:paraId="0F863577">
            <w:pPr>
              <w:spacing w:line="240" w:lineRule="auto"/>
              <w:ind w:firstLine="0" w:firstLineChars="0"/>
              <w:jc w:val="center"/>
              <w:rPr>
                <w:rFonts w:cs="Times New Roman"/>
                <w:color w:val="000000"/>
                <w:sz w:val="20"/>
                <w:szCs w:val="20"/>
              </w:rPr>
            </w:pPr>
            <w:r>
              <w:rPr>
                <w:rFonts w:cs="Times New Roman"/>
                <w:color w:val="000000"/>
                <w:sz w:val="20"/>
                <w:szCs w:val="20"/>
              </w:rPr>
              <w:t xml:space="preserve">467.97 </w:t>
            </w:r>
          </w:p>
        </w:tc>
      </w:tr>
      <w:tr w14:paraId="4F86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FCD20F5">
            <w:pPr>
              <w:spacing w:line="240" w:lineRule="auto"/>
              <w:ind w:firstLine="0" w:firstLineChars="0"/>
              <w:jc w:val="center"/>
              <w:rPr>
                <w:rFonts w:cs="Times New Roman"/>
                <w:color w:val="000000"/>
                <w:sz w:val="20"/>
                <w:szCs w:val="20"/>
              </w:rPr>
            </w:pPr>
            <w:r>
              <w:rPr>
                <w:rFonts w:ascii="Arial" w:hAnsi="Arial" w:cs="Arial"/>
                <w:color w:val="000000"/>
                <w:sz w:val="20"/>
                <w:szCs w:val="20"/>
              </w:rPr>
              <w:t>大恩堡村</w:t>
            </w:r>
          </w:p>
        </w:tc>
        <w:tc>
          <w:tcPr>
            <w:tcW w:w="882" w:type="pct"/>
          </w:tcPr>
          <w:p w14:paraId="0B7636D7">
            <w:pPr>
              <w:spacing w:line="240" w:lineRule="auto"/>
              <w:ind w:firstLine="0" w:firstLineChars="0"/>
              <w:jc w:val="center"/>
              <w:rPr>
                <w:rFonts w:cs="Times New Roman"/>
                <w:color w:val="000000"/>
                <w:sz w:val="20"/>
                <w:szCs w:val="20"/>
              </w:rPr>
            </w:pPr>
            <w:r>
              <w:rPr>
                <w:rFonts w:cs="Times New Roman"/>
                <w:color w:val="000000"/>
                <w:sz w:val="20"/>
                <w:szCs w:val="20"/>
              </w:rPr>
              <w:t xml:space="preserve">330.33 </w:t>
            </w:r>
          </w:p>
        </w:tc>
        <w:tc>
          <w:tcPr>
            <w:tcW w:w="1618" w:type="pct"/>
          </w:tcPr>
          <w:p w14:paraId="512295CB">
            <w:pPr>
              <w:spacing w:line="240" w:lineRule="auto"/>
              <w:ind w:firstLine="0" w:firstLineChars="0"/>
              <w:jc w:val="center"/>
              <w:rPr>
                <w:rFonts w:cs="Times New Roman"/>
                <w:color w:val="000000"/>
                <w:sz w:val="20"/>
                <w:szCs w:val="20"/>
              </w:rPr>
            </w:pPr>
            <w:r>
              <w:rPr>
                <w:rFonts w:cs="Times New Roman"/>
                <w:color w:val="000000"/>
                <w:sz w:val="20"/>
                <w:szCs w:val="20"/>
              </w:rPr>
              <w:t xml:space="preserve">286.90 </w:t>
            </w:r>
          </w:p>
        </w:tc>
        <w:tc>
          <w:tcPr>
            <w:tcW w:w="1250" w:type="pct"/>
          </w:tcPr>
          <w:p w14:paraId="36D975B9">
            <w:pPr>
              <w:spacing w:line="240" w:lineRule="auto"/>
              <w:ind w:firstLine="0" w:firstLineChars="0"/>
              <w:jc w:val="center"/>
              <w:rPr>
                <w:rFonts w:cs="Times New Roman"/>
                <w:color w:val="000000"/>
                <w:sz w:val="20"/>
                <w:szCs w:val="20"/>
              </w:rPr>
            </w:pPr>
            <w:r>
              <w:rPr>
                <w:rFonts w:cs="Times New Roman"/>
                <w:color w:val="000000"/>
                <w:sz w:val="20"/>
                <w:szCs w:val="20"/>
              </w:rPr>
              <w:t xml:space="preserve">2195.71 </w:t>
            </w:r>
          </w:p>
        </w:tc>
      </w:tr>
      <w:tr w14:paraId="1CB8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2BC648F">
            <w:pPr>
              <w:spacing w:line="240" w:lineRule="auto"/>
              <w:ind w:firstLine="0" w:firstLineChars="0"/>
              <w:jc w:val="center"/>
              <w:rPr>
                <w:rFonts w:cs="Times New Roman"/>
                <w:color w:val="000000"/>
                <w:sz w:val="20"/>
                <w:szCs w:val="20"/>
              </w:rPr>
            </w:pPr>
            <w:r>
              <w:rPr>
                <w:rFonts w:ascii="Arial" w:hAnsi="Arial" w:cs="Arial"/>
                <w:color w:val="000000"/>
                <w:sz w:val="20"/>
                <w:szCs w:val="20"/>
              </w:rPr>
              <w:t>二户来村</w:t>
            </w:r>
          </w:p>
        </w:tc>
        <w:tc>
          <w:tcPr>
            <w:tcW w:w="882" w:type="pct"/>
          </w:tcPr>
          <w:p w14:paraId="706AB57C">
            <w:pPr>
              <w:spacing w:line="240" w:lineRule="auto"/>
              <w:ind w:firstLine="0" w:firstLineChars="0"/>
              <w:jc w:val="center"/>
              <w:rPr>
                <w:rFonts w:cs="Times New Roman"/>
                <w:color w:val="000000"/>
                <w:sz w:val="20"/>
                <w:szCs w:val="20"/>
              </w:rPr>
            </w:pPr>
            <w:r>
              <w:rPr>
                <w:rFonts w:cs="Times New Roman"/>
                <w:color w:val="000000"/>
                <w:sz w:val="20"/>
                <w:szCs w:val="20"/>
              </w:rPr>
              <w:t xml:space="preserve">425.81 </w:t>
            </w:r>
          </w:p>
        </w:tc>
        <w:tc>
          <w:tcPr>
            <w:tcW w:w="1618" w:type="pct"/>
          </w:tcPr>
          <w:p w14:paraId="48C159B2">
            <w:pPr>
              <w:spacing w:line="240" w:lineRule="auto"/>
              <w:ind w:firstLine="0" w:firstLineChars="0"/>
              <w:jc w:val="center"/>
              <w:rPr>
                <w:rFonts w:cs="Times New Roman"/>
                <w:color w:val="000000"/>
                <w:sz w:val="20"/>
                <w:szCs w:val="20"/>
              </w:rPr>
            </w:pPr>
            <w:r>
              <w:rPr>
                <w:rFonts w:cs="Times New Roman"/>
                <w:color w:val="000000"/>
                <w:sz w:val="20"/>
                <w:szCs w:val="20"/>
              </w:rPr>
              <w:t xml:space="preserve">369.53 </w:t>
            </w:r>
          </w:p>
        </w:tc>
        <w:tc>
          <w:tcPr>
            <w:tcW w:w="1250" w:type="pct"/>
          </w:tcPr>
          <w:p w14:paraId="3C9AE10C">
            <w:pPr>
              <w:spacing w:line="240" w:lineRule="auto"/>
              <w:ind w:firstLine="0" w:firstLineChars="0"/>
              <w:jc w:val="center"/>
              <w:rPr>
                <w:rFonts w:cs="Times New Roman"/>
                <w:color w:val="000000"/>
                <w:sz w:val="20"/>
                <w:szCs w:val="20"/>
              </w:rPr>
            </w:pPr>
            <w:r>
              <w:rPr>
                <w:rFonts w:cs="Times New Roman"/>
                <w:color w:val="000000"/>
                <w:sz w:val="20"/>
                <w:szCs w:val="20"/>
              </w:rPr>
              <w:t xml:space="preserve">789.09 </w:t>
            </w:r>
          </w:p>
        </w:tc>
      </w:tr>
      <w:tr w14:paraId="5352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A12BE11">
            <w:pPr>
              <w:spacing w:line="240" w:lineRule="auto"/>
              <w:ind w:firstLine="0" w:firstLineChars="0"/>
              <w:jc w:val="center"/>
              <w:rPr>
                <w:rFonts w:cs="Times New Roman"/>
                <w:color w:val="000000"/>
                <w:sz w:val="20"/>
                <w:szCs w:val="20"/>
              </w:rPr>
            </w:pPr>
            <w:r>
              <w:rPr>
                <w:rFonts w:ascii="Arial" w:hAnsi="Arial" w:cs="Arial"/>
                <w:color w:val="000000"/>
                <w:sz w:val="20"/>
                <w:szCs w:val="20"/>
              </w:rPr>
              <w:t>冯家堡村</w:t>
            </w:r>
          </w:p>
        </w:tc>
        <w:tc>
          <w:tcPr>
            <w:tcW w:w="882" w:type="pct"/>
          </w:tcPr>
          <w:p w14:paraId="6C127C1F">
            <w:pPr>
              <w:spacing w:line="240" w:lineRule="auto"/>
              <w:ind w:firstLine="0" w:firstLineChars="0"/>
              <w:jc w:val="center"/>
              <w:rPr>
                <w:rFonts w:cs="Times New Roman"/>
                <w:color w:val="000000"/>
                <w:sz w:val="20"/>
                <w:szCs w:val="20"/>
              </w:rPr>
            </w:pPr>
            <w:r>
              <w:rPr>
                <w:rFonts w:cs="Times New Roman"/>
                <w:color w:val="000000"/>
                <w:sz w:val="20"/>
                <w:szCs w:val="20"/>
              </w:rPr>
              <w:t xml:space="preserve">314.72 </w:t>
            </w:r>
          </w:p>
        </w:tc>
        <w:tc>
          <w:tcPr>
            <w:tcW w:w="1618" w:type="pct"/>
          </w:tcPr>
          <w:p w14:paraId="1C30AB53">
            <w:pPr>
              <w:spacing w:line="240" w:lineRule="auto"/>
              <w:ind w:firstLine="0" w:firstLineChars="0"/>
              <w:jc w:val="center"/>
              <w:rPr>
                <w:rFonts w:cs="Times New Roman"/>
                <w:color w:val="000000"/>
                <w:sz w:val="20"/>
                <w:szCs w:val="20"/>
              </w:rPr>
            </w:pPr>
            <w:r>
              <w:rPr>
                <w:rFonts w:cs="Times New Roman"/>
                <w:color w:val="000000"/>
                <w:sz w:val="20"/>
                <w:szCs w:val="20"/>
              </w:rPr>
              <w:t xml:space="preserve">290.54 </w:t>
            </w:r>
          </w:p>
        </w:tc>
        <w:tc>
          <w:tcPr>
            <w:tcW w:w="1250" w:type="pct"/>
          </w:tcPr>
          <w:p w14:paraId="12293E96">
            <w:pPr>
              <w:spacing w:line="240" w:lineRule="auto"/>
              <w:ind w:firstLine="0" w:firstLineChars="0"/>
              <w:jc w:val="center"/>
              <w:rPr>
                <w:rFonts w:cs="Times New Roman"/>
                <w:color w:val="000000"/>
                <w:sz w:val="20"/>
                <w:szCs w:val="20"/>
              </w:rPr>
            </w:pPr>
            <w:r>
              <w:rPr>
                <w:rFonts w:cs="Times New Roman"/>
                <w:color w:val="000000"/>
                <w:sz w:val="20"/>
                <w:szCs w:val="20"/>
              </w:rPr>
              <w:t xml:space="preserve">1447.28 </w:t>
            </w:r>
          </w:p>
        </w:tc>
      </w:tr>
      <w:tr w14:paraId="6B41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6AF6431">
            <w:pPr>
              <w:spacing w:line="240" w:lineRule="auto"/>
              <w:ind w:firstLine="0" w:firstLineChars="0"/>
              <w:jc w:val="center"/>
              <w:rPr>
                <w:rFonts w:cs="Times New Roman"/>
                <w:color w:val="000000"/>
                <w:sz w:val="20"/>
                <w:szCs w:val="20"/>
              </w:rPr>
            </w:pPr>
            <w:r>
              <w:rPr>
                <w:rFonts w:ascii="Arial" w:hAnsi="Arial" w:cs="Arial"/>
                <w:color w:val="000000"/>
                <w:sz w:val="20"/>
                <w:szCs w:val="20"/>
              </w:rPr>
              <w:t>高俭地村</w:t>
            </w:r>
          </w:p>
        </w:tc>
        <w:tc>
          <w:tcPr>
            <w:tcW w:w="882" w:type="pct"/>
          </w:tcPr>
          <w:p w14:paraId="31A365CC">
            <w:pPr>
              <w:spacing w:line="240" w:lineRule="auto"/>
              <w:ind w:firstLine="0" w:firstLineChars="0"/>
              <w:jc w:val="center"/>
              <w:rPr>
                <w:rFonts w:cs="Times New Roman"/>
                <w:color w:val="000000"/>
                <w:sz w:val="20"/>
                <w:szCs w:val="20"/>
              </w:rPr>
            </w:pPr>
            <w:r>
              <w:rPr>
                <w:rFonts w:cs="Times New Roman"/>
                <w:color w:val="000000"/>
                <w:sz w:val="20"/>
                <w:szCs w:val="20"/>
              </w:rPr>
              <w:t xml:space="preserve">604.49 </w:t>
            </w:r>
          </w:p>
        </w:tc>
        <w:tc>
          <w:tcPr>
            <w:tcW w:w="1618" w:type="pct"/>
          </w:tcPr>
          <w:p w14:paraId="64850D36">
            <w:pPr>
              <w:spacing w:line="240" w:lineRule="auto"/>
              <w:ind w:firstLine="0" w:firstLineChars="0"/>
              <w:jc w:val="center"/>
              <w:rPr>
                <w:rFonts w:cs="Times New Roman"/>
                <w:color w:val="000000"/>
                <w:sz w:val="20"/>
                <w:szCs w:val="20"/>
              </w:rPr>
            </w:pPr>
            <w:r>
              <w:rPr>
                <w:rFonts w:cs="Times New Roman"/>
                <w:color w:val="000000"/>
                <w:sz w:val="20"/>
                <w:szCs w:val="20"/>
              </w:rPr>
              <w:t xml:space="preserve">558.32 </w:t>
            </w:r>
          </w:p>
        </w:tc>
        <w:tc>
          <w:tcPr>
            <w:tcW w:w="1250" w:type="pct"/>
          </w:tcPr>
          <w:p w14:paraId="5F58C31B">
            <w:pPr>
              <w:spacing w:line="240" w:lineRule="auto"/>
              <w:ind w:firstLine="0" w:firstLineChars="0"/>
              <w:jc w:val="center"/>
              <w:rPr>
                <w:rFonts w:cs="Times New Roman"/>
                <w:color w:val="000000"/>
                <w:sz w:val="20"/>
                <w:szCs w:val="20"/>
              </w:rPr>
            </w:pPr>
            <w:r>
              <w:rPr>
                <w:rFonts w:cs="Times New Roman"/>
                <w:color w:val="000000"/>
                <w:sz w:val="20"/>
                <w:szCs w:val="20"/>
              </w:rPr>
              <w:t xml:space="preserve">1416.61 </w:t>
            </w:r>
          </w:p>
        </w:tc>
      </w:tr>
      <w:tr w14:paraId="0507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5713D9C4">
            <w:pPr>
              <w:spacing w:line="240" w:lineRule="auto"/>
              <w:ind w:firstLine="0" w:firstLineChars="0"/>
              <w:jc w:val="center"/>
              <w:rPr>
                <w:rFonts w:cs="Times New Roman"/>
                <w:color w:val="000000"/>
                <w:sz w:val="20"/>
                <w:szCs w:val="20"/>
              </w:rPr>
            </w:pPr>
            <w:r>
              <w:rPr>
                <w:rFonts w:ascii="Arial" w:hAnsi="Arial" w:cs="Arial"/>
                <w:color w:val="000000"/>
                <w:sz w:val="20"/>
                <w:szCs w:val="20"/>
              </w:rPr>
              <w:t>高台子村</w:t>
            </w:r>
          </w:p>
        </w:tc>
        <w:tc>
          <w:tcPr>
            <w:tcW w:w="882" w:type="pct"/>
          </w:tcPr>
          <w:p w14:paraId="2F960ABF">
            <w:pPr>
              <w:spacing w:line="240" w:lineRule="auto"/>
              <w:ind w:firstLine="0" w:firstLineChars="0"/>
              <w:jc w:val="center"/>
              <w:rPr>
                <w:rFonts w:cs="Times New Roman"/>
                <w:color w:val="000000"/>
                <w:sz w:val="20"/>
                <w:szCs w:val="20"/>
              </w:rPr>
            </w:pPr>
            <w:r>
              <w:rPr>
                <w:rFonts w:cs="Times New Roman"/>
                <w:color w:val="000000"/>
                <w:sz w:val="20"/>
                <w:szCs w:val="20"/>
              </w:rPr>
              <w:t xml:space="preserve">325.37 </w:t>
            </w:r>
          </w:p>
        </w:tc>
        <w:tc>
          <w:tcPr>
            <w:tcW w:w="1618" w:type="pct"/>
          </w:tcPr>
          <w:p w14:paraId="2A27135C">
            <w:pPr>
              <w:spacing w:line="240" w:lineRule="auto"/>
              <w:ind w:firstLine="0" w:firstLineChars="0"/>
              <w:jc w:val="center"/>
              <w:rPr>
                <w:rFonts w:cs="Times New Roman"/>
                <w:color w:val="000000"/>
                <w:sz w:val="20"/>
                <w:szCs w:val="20"/>
              </w:rPr>
            </w:pPr>
            <w:r>
              <w:rPr>
                <w:rFonts w:cs="Times New Roman"/>
                <w:color w:val="000000"/>
                <w:sz w:val="20"/>
                <w:szCs w:val="20"/>
              </w:rPr>
              <w:t xml:space="preserve">292.30 </w:t>
            </w:r>
          </w:p>
        </w:tc>
        <w:tc>
          <w:tcPr>
            <w:tcW w:w="1250" w:type="pct"/>
          </w:tcPr>
          <w:p w14:paraId="381E7F52">
            <w:pPr>
              <w:spacing w:line="240" w:lineRule="auto"/>
              <w:ind w:firstLine="0" w:firstLineChars="0"/>
              <w:jc w:val="center"/>
              <w:rPr>
                <w:rFonts w:cs="Times New Roman"/>
                <w:color w:val="000000"/>
                <w:sz w:val="20"/>
                <w:szCs w:val="20"/>
              </w:rPr>
            </w:pPr>
            <w:r>
              <w:rPr>
                <w:rFonts w:cs="Times New Roman"/>
                <w:color w:val="000000"/>
                <w:sz w:val="20"/>
                <w:szCs w:val="20"/>
              </w:rPr>
              <w:t xml:space="preserve">1965.75 </w:t>
            </w:r>
          </w:p>
        </w:tc>
      </w:tr>
      <w:tr w14:paraId="7E1E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04B72E72">
            <w:pPr>
              <w:spacing w:line="240" w:lineRule="auto"/>
              <w:ind w:firstLine="0" w:firstLineChars="0"/>
              <w:jc w:val="center"/>
              <w:rPr>
                <w:rFonts w:cs="Times New Roman"/>
                <w:color w:val="000000"/>
                <w:sz w:val="20"/>
                <w:szCs w:val="20"/>
              </w:rPr>
            </w:pPr>
            <w:r>
              <w:rPr>
                <w:rFonts w:ascii="Arial" w:hAnsi="Arial" w:cs="Arial"/>
                <w:color w:val="000000"/>
                <w:sz w:val="20"/>
                <w:szCs w:val="20"/>
              </w:rPr>
              <w:t>光复村</w:t>
            </w:r>
          </w:p>
        </w:tc>
        <w:tc>
          <w:tcPr>
            <w:tcW w:w="882" w:type="pct"/>
          </w:tcPr>
          <w:p w14:paraId="027D894F">
            <w:pPr>
              <w:spacing w:line="240" w:lineRule="auto"/>
              <w:ind w:firstLine="0" w:firstLineChars="0"/>
              <w:jc w:val="center"/>
              <w:rPr>
                <w:rFonts w:cs="Times New Roman"/>
                <w:color w:val="000000"/>
                <w:sz w:val="20"/>
                <w:szCs w:val="20"/>
              </w:rPr>
            </w:pPr>
            <w:r>
              <w:rPr>
                <w:rFonts w:cs="Times New Roman"/>
                <w:color w:val="000000"/>
                <w:sz w:val="20"/>
                <w:szCs w:val="20"/>
              </w:rPr>
              <w:t xml:space="preserve">309.75 </w:t>
            </w:r>
          </w:p>
        </w:tc>
        <w:tc>
          <w:tcPr>
            <w:tcW w:w="1618" w:type="pct"/>
          </w:tcPr>
          <w:p w14:paraId="25095087">
            <w:pPr>
              <w:spacing w:line="240" w:lineRule="auto"/>
              <w:ind w:firstLine="0" w:firstLineChars="0"/>
              <w:jc w:val="center"/>
              <w:rPr>
                <w:rFonts w:cs="Times New Roman"/>
                <w:color w:val="000000"/>
                <w:sz w:val="20"/>
                <w:szCs w:val="20"/>
              </w:rPr>
            </w:pPr>
            <w:r>
              <w:rPr>
                <w:rFonts w:cs="Times New Roman"/>
                <w:color w:val="000000"/>
                <w:sz w:val="20"/>
                <w:szCs w:val="20"/>
              </w:rPr>
              <w:t xml:space="preserve">293.25 </w:t>
            </w:r>
          </w:p>
        </w:tc>
        <w:tc>
          <w:tcPr>
            <w:tcW w:w="1250" w:type="pct"/>
          </w:tcPr>
          <w:p w14:paraId="716300B1">
            <w:pPr>
              <w:spacing w:line="240" w:lineRule="auto"/>
              <w:ind w:firstLine="0" w:firstLineChars="0"/>
              <w:jc w:val="center"/>
              <w:rPr>
                <w:rFonts w:cs="Times New Roman"/>
                <w:color w:val="000000"/>
                <w:sz w:val="20"/>
                <w:szCs w:val="20"/>
              </w:rPr>
            </w:pPr>
            <w:r>
              <w:rPr>
                <w:rFonts w:cs="Times New Roman"/>
                <w:color w:val="000000"/>
                <w:sz w:val="20"/>
                <w:szCs w:val="20"/>
              </w:rPr>
              <w:t xml:space="preserve">58.27 </w:t>
            </w:r>
          </w:p>
        </w:tc>
      </w:tr>
      <w:tr w14:paraId="2733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21E0B93">
            <w:pPr>
              <w:spacing w:line="240" w:lineRule="auto"/>
              <w:ind w:firstLine="0" w:firstLineChars="0"/>
              <w:jc w:val="center"/>
              <w:rPr>
                <w:rFonts w:cs="Times New Roman"/>
                <w:color w:val="000000"/>
                <w:sz w:val="20"/>
                <w:szCs w:val="20"/>
              </w:rPr>
            </w:pPr>
            <w:r>
              <w:rPr>
                <w:rFonts w:ascii="Arial" w:hAnsi="Arial" w:cs="Arial"/>
                <w:color w:val="000000"/>
                <w:sz w:val="20"/>
                <w:szCs w:val="20"/>
              </w:rPr>
              <w:t>果松川村</w:t>
            </w:r>
          </w:p>
        </w:tc>
        <w:tc>
          <w:tcPr>
            <w:tcW w:w="882" w:type="pct"/>
          </w:tcPr>
          <w:p w14:paraId="05AEEE55">
            <w:pPr>
              <w:spacing w:line="240" w:lineRule="auto"/>
              <w:ind w:firstLine="0" w:firstLineChars="0"/>
              <w:jc w:val="center"/>
              <w:rPr>
                <w:rFonts w:cs="Times New Roman"/>
                <w:color w:val="000000"/>
                <w:sz w:val="20"/>
                <w:szCs w:val="20"/>
              </w:rPr>
            </w:pPr>
            <w:r>
              <w:rPr>
                <w:rFonts w:cs="Times New Roman"/>
                <w:color w:val="000000"/>
                <w:sz w:val="20"/>
                <w:szCs w:val="20"/>
              </w:rPr>
              <w:t xml:space="preserve">309.05 </w:t>
            </w:r>
          </w:p>
        </w:tc>
        <w:tc>
          <w:tcPr>
            <w:tcW w:w="1618" w:type="pct"/>
          </w:tcPr>
          <w:p w14:paraId="22F9E3F6">
            <w:pPr>
              <w:spacing w:line="240" w:lineRule="auto"/>
              <w:ind w:firstLine="0" w:firstLineChars="0"/>
              <w:jc w:val="center"/>
              <w:rPr>
                <w:rFonts w:cs="Times New Roman"/>
                <w:color w:val="000000"/>
                <w:sz w:val="20"/>
                <w:szCs w:val="20"/>
              </w:rPr>
            </w:pPr>
            <w:r>
              <w:rPr>
                <w:rFonts w:cs="Times New Roman"/>
                <w:color w:val="000000"/>
                <w:sz w:val="20"/>
                <w:szCs w:val="20"/>
              </w:rPr>
              <w:t xml:space="preserve">286.11 </w:t>
            </w:r>
          </w:p>
        </w:tc>
        <w:tc>
          <w:tcPr>
            <w:tcW w:w="1250" w:type="pct"/>
          </w:tcPr>
          <w:p w14:paraId="67AB06DE">
            <w:pPr>
              <w:spacing w:line="240" w:lineRule="auto"/>
              <w:ind w:firstLine="0" w:firstLineChars="0"/>
              <w:jc w:val="center"/>
              <w:rPr>
                <w:rFonts w:cs="Times New Roman"/>
                <w:color w:val="000000"/>
                <w:sz w:val="20"/>
                <w:szCs w:val="20"/>
              </w:rPr>
            </w:pPr>
            <w:r>
              <w:rPr>
                <w:rFonts w:cs="Times New Roman"/>
                <w:color w:val="000000"/>
                <w:sz w:val="20"/>
                <w:szCs w:val="20"/>
              </w:rPr>
              <w:t>3676.9</w:t>
            </w:r>
            <w:r>
              <w:rPr>
                <w:rFonts w:hint="eastAsia" w:cs="Times New Roman"/>
                <w:color w:val="000000"/>
                <w:sz w:val="20"/>
                <w:szCs w:val="20"/>
              </w:rPr>
              <w:t>7</w:t>
            </w:r>
            <w:r>
              <w:rPr>
                <w:rFonts w:cs="Times New Roman"/>
                <w:color w:val="000000"/>
                <w:sz w:val="20"/>
                <w:szCs w:val="20"/>
              </w:rPr>
              <w:t xml:space="preserve"> </w:t>
            </w:r>
          </w:p>
        </w:tc>
      </w:tr>
      <w:tr w14:paraId="2356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87CCCE3">
            <w:pPr>
              <w:spacing w:line="240" w:lineRule="auto"/>
              <w:ind w:firstLine="0" w:firstLineChars="0"/>
              <w:jc w:val="center"/>
              <w:rPr>
                <w:rFonts w:cs="Times New Roman"/>
                <w:color w:val="000000"/>
                <w:sz w:val="20"/>
                <w:szCs w:val="20"/>
              </w:rPr>
            </w:pPr>
            <w:r>
              <w:rPr>
                <w:rFonts w:ascii="Arial" w:hAnsi="Arial" w:cs="Arial"/>
                <w:color w:val="000000"/>
                <w:sz w:val="20"/>
                <w:szCs w:val="20"/>
              </w:rPr>
              <w:t>铧尖子村</w:t>
            </w:r>
          </w:p>
        </w:tc>
        <w:tc>
          <w:tcPr>
            <w:tcW w:w="882" w:type="pct"/>
          </w:tcPr>
          <w:p w14:paraId="66CD102E">
            <w:pPr>
              <w:spacing w:line="240" w:lineRule="auto"/>
              <w:ind w:firstLine="0" w:firstLineChars="0"/>
              <w:jc w:val="center"/>
              <w:rPr>
                <w:rFonts w:cs="Times New Roman"/>
                <w:color w:val="000000"/>
                <w:sz w:val="20"/>
                <w:szCs w:val="20"/>
              </w:rPr>
            </w:pPr>
            <w:r>
              <w:rPr>
                <w:rFonts w:cs="Times New Roman"/>
                <w:color w:val="000000"/>
                <w:sz w:val="20"/>
                <w:szCs w:val="20"/>
              </w:rPr>
              <w:t xml:space="preserve">1215.54 </w:t>
            </w:r>
          </w:p>
        </w:tc>
        <w:tc>
          <w:tcPr>
            <w:tcW w:w="1618" w:type="pct"/>
          </w:tcPr>
          <w:p w14:paraId="63F2AE51">
            <w:pPr>
              <w:spacing w:line="240" w:lineRule="auto"/>
              <w:ind w:firstLine="0" w:firstLineChars="0"/>
              <w:jc w:val="center"/>
              <w:rPr>
                <w:rFonts w:cs="Times New Roman"/>
                <w:color w:val="000000"/>
                <w:sz w:val="20"/>
                <w:szCs w:val="20"/>
              </w:rPr>
            </w:pPr>
            <w:r>
              <w:rPr>
                <w:rFonts w:cs="Times New Roman"/>
                <w:color w:val="000000"/>
                <w:sz w:val="20"/>
                <w:szCs w:val="20"/>
              </w:rPr>
              <w:t xml:space="preserve">1141.27 </w:t>
            </w:r>
          </w:p>
        </w:tc>
        <w:tc>
          <w:tcPr>
            <w:tcW w:w="1250" w:type="pct"/>
          </w:tcPr>
          <w:p w14:paraId="7016520F">
            <w:pPr>
              <w:spacing w:line="240" w:lineRule="auto"/>
              <w:ind w:firstLine="0" w:firstLineChars="0"/>
              <w:jc w:val="center"/>
              <w:rPr>
                <w:rFonts w:cs="Times New Roman"/>
                <w:color w:val="000000"/>
                <w:sz w:val="20"/>
                <w:szCs w:val="20"/>
              </w:rPr>
            </w:pPr>
            <w:r>
              <w:rPr>
                <w:rFonts w:cs="Times New Roman"/>
                <w:color w:val="000000"/>
                <w:sz w:val="20"/>
                <w:szCs w:val="20"/>
              </w:rPr>
              <w:t xml:space="preserve">2924.43 </w:t>
            </w:r>
          </w:p>
        </w:tc>
      </w:tr>
      <w:tr w14:paraId="1AEA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59E40267">
            <w:pPr>
              <w:spacing w:line="240" w:lineRule="auto"/>
              <w:ind w:firstLine="0" w:firstLineChars="0"/>
              <w:jc w:val="center"/>
              <w:rPr>
                <w:rFonts w:cs="Times New Roman"/>
                <w:color w:val="000000"/>
                <w:sz w:val="20"/>
                <w:szCs w:val="20"/>
              </w:rPr>
            </w:pPr>
            <w:r>
              <w:rPr>
                <w:rFonts w:ascii="Arial" w:hAnsi="Arial" w:cs="Arial"/>
                <w:color w:val="000000"/>
                <w:sz w:val="20"/>
                <w:szCs w:val="20"/>
              </w:rPr>
              <w:t>拉古甲村</w:t>
            </w:r>
          </w:p>
        </w:tc>
        <w:tc>
          <w:tcPr>
            <w:tcW w:w="882" w:type="pct"/>
          </w:tcPr>
          <w:p w14:paraId="1B3CFF23">
            <w:pPr>
              <w:spacing w:line="240" w:lineRule="auto"/>
              <w:ind w:firstLine="0" w:firstLineChars="0"/>
              <w:jc w:val="center"/>
              <w:rPr>
                <w:rFonts w:cs="Times New Roman"/>
                <w:color w:val="000000"/>
                <w:sz w:val="20"/>
                <w:szCs w:val="20"/>
              </w:rPr>
            </w:pPr>
            <w:r>
              <w:rPr>
                <w:rFonts w:cs="Times New Roman"/>
                <w:color w:val="000000"/>
                <w:sz w:val="20"/>
                <w:szCs w:val="20"/>
              </w:rPr>
              <w:t xml:space="preserve">298.69 </w:t>
            </w:r>
          </w:p>
        </w:tc>
        <w:tc>
          <w:tcPr>
            <w:tcW w:w="1618" w:type="pct"/>
          </w:tcPr>
          <w:p w14:paraId="0E14B3C4">
            <w:pPr>
              <w:spacing w:line="240" w:lineRule="auto"/>
              <w:ind w:firstLine="0" w:firstLineChars="0"/>
              <w:jc w:val="center"/>
              <w:rPr>
                <w:rFonts w:cs="Times New Roman"/>
                <w:color w:val="000000"/>
                <w:sz w:val="20"/>
                <w:szCs w:val="20"/>
              </w:rPr>
            </w:pPr>
            <w:r>
              <w:rPr>
                <w:rFonts w:cs="Times New Roman"/>
                <w:color w:val="000000"/>
                <w:sz w:val="20"/>
                <w:szCs w:val="20"/>
              </w:rPr>
              <w:t xml:space="preserve">288.64 </w:t>
            </w:r>
          </w:p>
        </w:tc>
        <w:tc>
          <w:tcPr>
            <w:tcW w:w="1250" w:type="pct"/>
          </w:tcPr>
          <w:p w14:paraId="4B4115B5">
            <w:pPr>
              <w:spacing w:line="240" w:lineRule="auto"/>
              <w:ind w:firstLine="0" w:firstLineChars="0"/>
              <w:jc w:val="center"/>
              <w:rPr>
                <w:rFonts w:cs="Times New Roman"/>
                <w:color w:val="000000"/>
                <w:sz w:val="20"/>
                <w:szCs w:val="20"/>
              </w:rPr>
            </w:pPr>
            <w:r>
              <w:rPr>
                <w:rFonts w:cs="Times New Roman"/>
                <w:color w:val="000000"/>
                <w:sz w:val="20"/>
                <w:szCs w:val="20"/>
              </w:rPr>
              <w:t xml:space="preserve">1445.21 </w:t>
            </w:r>
          </w:p>
        </w:tc>
      </w:tr>
      <w:tr w14:paraId="6E26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36254049">
            <w:pPr>
              <w:spacing w:line="240" w:lineRule="auto"/>
              <w:ind w:firstLine="0" w:firstLineChars="0"/>
              <w:jc w:val="center"/>
              <w:rPr>
                <w:rFonts w:cs="Times New Roman"/>
                <w:color w:val="000000"/>
                <w:sz w:val="20"/>
                <w:szCs w:val="20"/>
              </w:rPr>
            </w:pPr>
            <w:r>
              <w:rPr>
                <w:rFonts w:ascii="Arial" w:hAnsi="Arial" w:cs="Arial"/>
                <w:color w:val="000000"/>
                <w:sz w:val="20"/>
                <w:szCs w:val="20"/>
              </w:rPr>
              <w:t>柳林子村</w:t>
            </w:r>
          </w:p>
        </w:tc>
        <w:tc>
          <w:tcPr>
            <w:tcW w:w="882" w:type="pct"/>
          </w:tcPr>
          <w:p w14:paraId="4E201140">
            <w:pPr>
              <w:spacing w:line="240" w:lineRule="auto"/>
              <w:ind w:firstLine="0" w:firstLineChars="0"/>
              <w:jc w:val="center"/>
              <w:rPr>
                <w:rFonts w:cs="Times New Roman"/>
                <w:color w:val="000000"/>
                <w:sz w:val="20"/>
                <w:szCs w:val="20"/>
              </w:rPr>
            </w:pPr>
            <w:r>
              <w:rPr>
                <w:rFonts w:cs="Times New Roman"/>
                <w:color w:val="000000"/>
                <w:sz w:val="20"/>
                <w:szCs w:val="20"/>
              </w:rPr>
              <w:t xml:space="preserve">498.92 </w:t>
            </w:r>
          </w:p>
        </w:tc>
        <w:tc>
          <w:tcPr>
            <w:tcW w:w="1618" w:type="pct"/>
          </w:tcPr>
          <w:p w14:paraId="3F42B132">
            <w:pPr>
              <w:spacing w:line="240" w:lineRule="auto"/>
              <w:ind w:firstLine="0" w:firstLineChars="0"/>
              <w:jc w:val="center"/>
              <w:rPr>
                <w:rFonts w:cs="Times New Roman"/>
                <w:color w:val="000000"/>
                <w:sz w:val="20"/>
                <w:szCs w:val="20"/>
              </w:rPr>
            </w:pPr>
            <w:r>
              <w:rPr>
                <w:rFonts w:cs="Times New Roman"/>
                <w:color w:val="000000"/>
                <w:sz w:val="20"/>
                <w:szCs w:val="20"/>
              </w:rPr>
              <w:t xml:space="preserve">456.60 </w:t>
            </w:r>
          </w:p>
        </w:tc>
        <w:tc>
          <w:tcPr>
            <w:tcW w:w="1250" w:type="pct"/>
          </w:tcPr>
          <w:p w14:paraId="7C94A90C">
            <w:pPr>
              <w:spacing w:line="240" w:lineRule="auto"/>
              <w:ind w:firstLine="0" w:firstLineChars="0"/>
              <w:jc w:val="center"/>
              <w:rPr>
                <w:rFonts w:cs="Times New Roman"/>
                <w:color w:val="000000"/>
                <w:sz w:val="20"/>
                <w:szCs w:val="20"/>
              </w:rPr>
            </w:pPr>
            <w:r>
              <w:rPr>
                <w:rFonts w:cs="Times New Roman"/>
                <w:color w:val="000000"/>
                <w:sz w:val="20"/>
                <w:szCs w:val="20"/>
              </w:rPr>
              <w:t xml:space="preserve">1181.50 </w:t>
            </w:r>
          </w:p>
        </w:tc>
      </w:tr>
      <w:tr w14:paraId="1B99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7F52DC1">
            <w:pPr>
              <w:spacing w:line="240" w:lineRule="auto"/>
              <w:ind w:firstLine="0" w:firstLineChars="0"/>
              <w:jc w:val="center"/>
              <w:rPr>
                <w:rFonts w:cs="Times New Roman"/>
                <w:color w:val="000000"/>
                <w:sz w:val="20"/>
                <w:szCs w:val="20"/>
              </w:rPr>
            </w:pPr>
            <w:r>
              <w:rPr>
                <w:rFonts w:ascii="Arial" w:hAnsi="Arial" w:cs="Arial"/>
                <w:color w:val="000000"/>
                <w:sz w:val="20"/>
                <w:szCs w:val="20"/>
              </w:rPr>
              <w:t>木盂子村</w:t>
            </w:r>
          </w:p>
        </w:tc>
        <w:tc>
          <w:tcPr>
            <w:tcW w:w="882" w:type="pct"/>
          </w:tcPr>
          <w:p w14:paraId="23E927A5">
            <w:pPr>
              <w:spacing w:line="240" w:lineRule="auto"/>
              <w:ind w:firstLine="0" w:firstLineChars="0"/>
              <w:jc w:val="center"/>
              <w:rPr>
                <w:rFonts w:cs="Times New Roman"/>
                <w:color w:val="000000"/>
                <w:sz w:val="20"/>
                <w:szCs w:val="20"/>
              </w:rPr>
            </w:pPr>
            <w:r>
              <w:rPr>
                <w:rFonts w:cs="Times New Roman"/>
                <w:color w:val="000000"/>
                <w:sz w:val="20"/>
                <w:szCs w:val="20"/>
              </w:rPr>
              <w:t xml:space="preserve">292.43 </w:t>
            </w:r>
          </w:p>
        </w:tc>
        <w:tc>
          <w:tcPr>
            <w:tcW w:w="1618" w:type="pct"/>
          </w:tcPr>
          <w:p w14:paraId="42A2B950">
            <w:pPr>
              <w:spacing w:line="240" w:lineRule="auto"/>
              <w:ind w:firstLine="0" w:firstLineChars="0"/>
              <w:jc w:val="center"/>
              <w:rPr>
                <w:rFonts w:cs="Times New Roman"/>
                <w:color w:val="000000"/>
                <w:sz w:val="20"/>
                <w:szCs w:val="20"/>
              </w:rPr>
            </w:pPr>
            <w:r>
              <w:rPr>
                <w:rFonts w:cs="Times New Roman"/>
                <w:color w:val="000000"/>
                <w:sz w:val="20"/>
                <w:szCs w:val="20"/>
              </w:rPr>
              <w:t xml:space="preserve">269.80 </w:t>
            </w:r>
          </w:p>
        </w:tc>
        <w:tc>
          <w:tcPr>
            <w:tcW w:w="1250" w:type="pct"/>
          </w:tcPr>
          <w:p w14:paraId="77ABF9C4">
            <w:pPr>
              <w:spacing w:line="240" w:lineRule="auto"/>
              <w:ind w:firstLine="0" w:firstLineChars="0"/>
              <w:jc w:val="center"/>
              <w:rPr>
                <w:rFonts w:cs="Times New Roman"/>
                <w:color w:val="000000"/>
                <w:sz w:val="20"/>
                <w:szCs w:val="20"/>
              </w:rPr>
            </w:pPr>
            <w:r>
              <w:rPr>
                <w:rFonts w:cs="Times New Roman"/>
                <w:color w:val="000000"/>
                <w:sz w:val="20"/>
                <w:szCs w:val="20"/>
              </w:rPr>
              <w:t xml:space="preserve">1223.75 </w:t>
            </w:r>
          </w:p>
        </w:tc>
      </w:tr>
      <w:tr w14:paraId="6B3E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67C56B4">
            <w:pPr>
              <w:spacing w:line="240" w:lineRule="auto"/>
              <w:ind w:firstLine="0" w:firstLineChars="0"/>
              <w:jc w:val="center"/>
              <w:rPr>
                <w:rFonts w:cs="Times New Roman"/>
                <w:color w:val="000000"/>
                <w:sz w:val="20"/>
                <w:szCs w:val="20"/>
              </w:rPr>
            </w:pPr>
            <w:r>
              <w:rPr>
                <w:rFonts w:ascii="Arial" w:hAnsi="Arial" w:cs="Arial"/>
                <w:color w:val="000000"/>
                <w:sz w:val="20"/>
                <w:szCs w:val="20"/>
              </w:rPr>
              <w:t>暖河子村</w:t>
            </w:r>
          </w:p>
        </w:tc>
        <w:tc>
          <w:tcPr>
            <w:tcW w:w="882" w:type="pct"/>
          </w:tcPr>
          <w:p w14:paraId="1B171E0C">
            <w:pPr>
              <w:spacing w:line="240" w:lineRule="auto"/>
              <w:ind w:firstLine="0" w:firstLineChars="0"/>
              <w:jc w:val="center"/>
              <w:rPr>
                <w:rFonts w:cs="Times New Roman"/>
                <w:color w:val="000000"/>
                <w:sz w:val="20"/>
                <w:szCs w:val="20"/>
              </w:rPr>
            </w:pPr>
            <w:r>
              <w:rPr>
                <w:rFonts w:cs="Times New Roman"/>
                <w:color w:val="000000"/>
                <w:sz w:val="20"/>
                <w:szCs w:val="20"/>
              </w:rPr>
              <w:t xml:space="preserve">209.96 </w:t>
            </w:r>
          </w:p>
        </w:tc>
        <w:tc>
          <w:tcPr>
            <w:tcW w:w="1618" w:type="pct"/>
          </w:tcPr>
          <w:p w14:paraId="60E86024">
            <w:pPr>
              <w:spacing w:line="240" w:lineRule="auto"/>
              <w:ind w:firstLine="0" w:firstLineChars="0"/>
              <w:jc w:val="center"/>
              <w:rPr>
                <w:rFonts w:cs="Times New Roman"/>
                <w:color w:val="000000"/>
                <w:sz w:val="20"/>
                <w:szCs w:val="20"/>
              </w:rPr>
            </w:pPr>
            <w:r>
              <w:rPr>
                <w:rFonts w:cs="Times New Roman"/>
                <w:color w:val="000000"/>
                <w:sz w:val="20"/>
                <w:szCs w:val="20"/>
              </w:rPr>
              <w:t xml:space="preserve">197.12 </w:t>
            </w:r>
          </w:p>
        </w:tc>
        <w:tc>
          <w:tcPr>
            <w:tcW w:w="1250" w:type="pct"/>
          </w:tcPr>
          <w:p w14:paraId="4DBD1E3E">
            <w:pPr>
              <w:spacing w:line="240" w:lineRule="auto"/>
              <w:ind w:firstLine="0" w:firstLineChars="0"/>
              <w:jc w:val="center"/>
              <w:rPr>
                <w:rFonts w:cs="Times New Roman"/>
                <w:color w:val="000000"/>
                <w:sz w:val="20"/>
                <w:szCs w:val="20"/>
              </w:rPr>
            </w:pPr>
            <w:r>
              <w:rPr>
                <w:rFonts w:cs="Times New Roman"/>
                <w:color w:val="000000"/>
                <w:sz w:val="20"/>
                <w:szCs w:val="20"/>
              </w:rPr>
              <w:t xml:space="preserve">1495.86 </w:t>
            </w:r>
          </w:p>
        </w:tc>
      </w:tr>
      <w:tr w14:paraId="6CCB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700995F">
            <w:pPr>
              <w:spacing w:line="240" w:lineRule="auto"/>
              <w:ind w:firstLine="0" w:firstLineChars="0"/>
              <w:jc w:val="center"/>
              <w:rPr>
                <w:rFonts w:cs="Times New Roman"/>
                <w:color w:val="000000"/>
                <w:sz w:val="20"/>
                <w:szCs w:val="20"/>
              </w:rPr>
            </w:pPr>
            <w:r>
              <w:rPr>
                <w:rFonts w:ascii="Arial" w:hAnsi="Arial" w:cs="Arial"/>
                <w:color w:val="000000"/>
                <w:sz w:val="20"/>
                <w:szCs w:val="20"/>
              </w:rPr>
              <w:t>瓦尔喀什寨村</w:t>
            </w:r>
          </w:p>
        </w:tc>
        <w:tc>
          <w:tcPr>
            <w:tcW w:w="882" w:type="pct"/>
          </w:tcPr>
          <w:p w14:paraId="7D089C5D">
            <w:pPr>
              <w:spacing w:line="240" w:lineRule="auto"/>
              <w:ind w:firstLine="0" w:firstLineChars="0"/>
              <w:jc w:val="center"/>
              <w:rPr>
                <w:rFonts w:cs="Times New Roman"/>
                <w:color w:val="000000"/>
                <w:sz w:val="20"/>
                <w:szCs w:val="20"/>
              </w:rPr>
            </w:pPr>
            <w:r>
              <w:rPr>
                <w:rFonts w:cs="Times New Roman"/>
                <w:color w:val="000000"/>
                <w:sz w:val="20"/>
                <w:szCs w:val="20"/>
              </w:rPr>
              <w:t xml:space="preserve">217.99 </w:t>
            </w:r>
          </w:p>
        </w:tc>
        <w:tc>
          <w:tcPr>
            <w:tcW w:w="1618" w:type="pct"/>
          </w:tcPr>
          <w:p w14:paraId="4E63873B">
            <w:pPr>
              <w:spacing w:line="240" w:lineRule="auto"/>
              <w:ind w:firstLine="0" w:firstLineChars="0"/>
              <w:jc w:val="center"/>
              <w:rPr>
                <w:rFonts w:cs="Times New Roman"/>
                <w:color w:val="000000"/>
                <w:sz w:val="20"/>
                <w:szCs w:val="20"/>
              </w:rPr>
            </w:pPr>
            <w:r>
              <w:rPr>
                <w:rFonts w:cs="Times New Roman"/>
                <w:color w:val="000000"/>
                <w:sz w:val="20"/>
                <w:szCs w:val="20"/>
              </w:rPr>
              <w:t xml:space="preserve">210.74 </w:t>
            </w:r>
          </w:p>
        </w:tc>
        <w:tc>
          <w:tcPr>
            <w:tcW w:w="1250" w:type="pct"/>
          </w:tcPr>
          <w:p w14:paraId="5B47CE8E">
            <w:pPr>
              <w:spacing w:line="240" w:lineRule="auto"/>
              <w:ind w:firstLine="0" w:firstLineChars="0"/>
              <w:jc w:val="center"/>
              <w:rPr>
                <w:rFonts w:cs="Times New Roman"/>
                <w:color w:val="000000"/>
                <w:sz w:val="20"/>
                <w:szCs w:val="20"/>
              </w:rPr>
            </w:pPr>
            <w:r>
              <w:rPr>
                <w:rFonts w:cs="Times New Roman"/>
                <w:color w:val="000000"/>
                <w:sz w:val="20"/>
                <w:szCs w:val="20"/>
              </w:rPr>
              <w:t xml:space="preserve">507.83 </w:t>
            </w:r>
          </w:p>
        </w:tc>
      </w:tr>
      <w:tr w14:paraId="4A3E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87DFB28">
            <w:pPr>
              <w:spacing w:line="240" w:lineRule="auto"/>
              <w:ind w:firstLine="0" w:firstLineChars="0"/>
              <w:jc w:val="center"/>
              <w:rPr>
                <w:rFonts w:cs="Times New Roman"/>
                <w:color w:val="000000"/>
                <w:sz w:val="20"/>
                <w:szCs w:val="20"/>
              </w:rPr>
            </w:pPr>
            <w:r>
              <w:rPr>
                <w:rFonts w:ascii="Arial" w:hAnsi="Arial" w:cs="Arial"/>
                <w:color w:val="000000"/>
                <w:sz w:val="20"/>
                <w:szCs w:val="20"/>
              </w:rPr>
              <w:t>文治沟村</w:t>
            </w:r>
          </w:p>
        </w:tc>
        <w:tc>
          <w:tcPr>
            <w:tcW w:w="882" w:type="pct"/>
          </w:tcPr>
          <w:p w14:paraId="44190A84">
            <w:pPr>
              <w:spacing w:line="240" w:lineRule="auto"/>
              <w:ind w:firstLine="0" w:firstLineChars="0"/>
              <w:jc w:val="center"/>
              <w:rPr>
                <w:rFonts w:cs="Times New Roman"/>
                <w:color w:val="000000"/>
                <w:sz w:val="20"/>
                <w:szCs w:val="20"/>
              </w:rPr>
            </w:pPr>
            <w:r>
              <w:rPr>
                <w:rFonts w:cs="Times New Roman"/>
                <w:color w:val="000000"/>
                <w:sz w:val="20"/>
                <w:szCs w:val="20"/>
              </w:rPr>
              <w:t xml:space="preserve">604.61 </w:t>
            </w:r>
          </w:p>
        </w:tc>
        <w:tc>
          <w:tcPr>
            <w:tcW w:w="1618" w:type="pct"/>
          </w:tcPr>
          <w:p w14:paraId="0FB553C1">
            <w:pPr>
              <w:spacing w:line="240" w:lineRule="auto"/>
              <w:ind w:firstLine="0" w:firstLineChars="0"/>
              <w:jc w:val="center"/>
              <w:rPr>
                <w:rFonts w:cs="Times New Roman"/>
                <w:color w:val="000000"/>
                <w:sz w:val="20"/>
                <w:szCs w:val="20"/>
              </w:rPr>
            </w:pPr>
            <w:r>
              <w:rPr>
                <w:rFonts w:cs="Times New Roman"/>
                <w:color w:val="000000"/>
                <w:sz w:val="20"/>
                <w:szCs w:val="20"/>
              </w:rPr>
              <w:t xml:space="preserve">567.59 </w:t>
            </w:r>
          </w:p>
        </w:tc>
        <w:tc>
          <w:tcPr>
            <w:tcW w:w="1250" w:type="pct"/>
          </w:tcPr>
          <w:p w14:paraId="3A5AD8DF">
            <w:pPr>
              <w:spacing w:line="240" w:lineRule="auto"/>
              <w:ind w:firstLine="0" w:firstLineChars="0"/>
              <w:jc w:val="center"/>
              <w:rPr>
                <w:rFonts w:cs="Times New Roman"/>
                <w:color w:val="000000"/>
                <w:sz w:val="20"/>
                <w:szCs w:val="20"/>
              </w:rPr>
            </w:pPr>
            <w:r>
              <w:rPr>
                <w:rFonts w:cs="Times New Roman"/>
                <w:color w:val="000000"/>
                <w:sz w:val="20"/>
                <w:szCs w:val="20"/>
              </w:rPr>
              <w:t xml:space="preserve">670.85 </w:t>
            </w:r>
          </w:p>
        </w:tc>
      </w:tr>
      <w:tr w14:paraId="7045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47DE1C1">
            <w:pPr>
              <w:spacing w:line="240" w:lineRule="auto"/>
              <w:ind w:firstLine="0" w:firstLineChars="0"/>
              <w:jc w:val="center"/>
              <w:rPr>
                <w:rFonts w:cs="Times New Roman"/>
                <w:color w:val="000000"/>
                <w:sz w:val="20"/>
                <w:szCs w:val="20"/>
              </w:rPr>
            </w:pPr>
            <w:r>
              <w:rPr>
                <w:rFonts w:ascii="Arial" w:hAnsi="Arial" w:cs="Arial"/>
                <w:color w:val="000000"/>
                <w:sz w:val="20"/>
                <w:szCs w:val="20"/>
              </w:rPr>
              <w:t>仙人洞村</w:t>
            </w:r>
          </w:p>
        </w:tc>
        <w:tc>
          <w:tcPr>
            <w:tcW w:w="882" w:type="pct"/>
          </w:tcPr>
          <w:p w14:paraId="4C4A8606">
            <w:pPr>
              <w:spacing w:line="240" w:lineRule="auto"/>
              <w:ind w:firstLine="0" w:firstLineChars="0"/>
              <w:jc w:val="center"/>
              <w:rPr>
                <w:rFonts w:cs="Times New Roman"/>
                <w:color w:val="000000"/>
                <w:sz w:val="20"/>
                <w:szCs w:val="20"/>
              </w:rPr>
            </w:pPr>
            <w:r>
              <w:rPr>
                <w:rFonts w:cs="Times New Roman"/>
                <w:color w:val="000000"/>
                <w:sz w:val="20"/>
                <w:szCs w:val="20"/>
              </w:rPr>
              <w:t xml:space="preserve">193.87 </w:t>
            </w:r>
          </w:p>
        </w:tc>
        <w:tc>
          <w:tcPr>
            <w:tcW w:w="1618" w:type="pct"/>
          </w:tcPr>
          <w:p w14:paraId="62047702">
            <w:pPr>
              <w:spacing w:line="240" w:lineRule="auto"/>
              <w:ind w:firstLine="0" w:firstLineChars="0"/>
              <w:jc w:val="center"/>
              <w:rPr>
                <w:rFonts w:cs="Times New Roman"/>
                <w:color w:val="000000"/>
                <w:sz w:val="20"/>
                <w:szCs w:val="20"/>
              </w:rPr>
            </w:pPr>
            <w:r>
              <w:rPr>
                <w:rFonts w:cs="Times New Roman"/>
                <w:color w:val="000000"/>
                <w:sz w:val="20"/>
                <w:szCs w:val="20"/>
              </w:rPr>
              <w:t>169.9</w:t>
            </w:r>
            <w:r>
              <w:rPr>
                <w:rFonts w:hint="eastAsia" w:cs="Times New Roman"/>
                <w:color w:val="000000"/>
                <w:sz w:val="20"/>
                <w:szCs w:val="20"/>
              </w:rPr>
              <w:t>8</w:t>
            </w:r>
            <w:r>
              <w:rPr>
                <w:rFonts w:cs="Times New Roman"/>
                <w:color w:val="000000"/>
                <w:sz w:val="20"/>
                <w:szCs w:val="20"/>
              </w:rPr>
              <w:t xml:space="preserve"> </w:t>
            </w:r>
          </w:p>
        </w:tc>
        <w:tc>
          <w:tcPr>
            <w:tcW w:w="1250" w:type="pct"/>
          </w:tcPr>
          <w:p w14:paraId="605677F8">
            <w:pPr>
              <w:spacing w:line="240" w:lineRule="auto"/>
              <w:ind w:firstLine="0" w:firstLineChars="0"/>
              <w:jc w:val="center"/>
              <w:rPr>
                <w:rFonts w:cs="Times New Roman"/>
                <w:color w:val="000000"/>
                <w:sz w:val="20"/>
                <w:szCs w:val="20"/>
              </w:rPr>
            </w:pPr>
            <w:r>
              <w:rPr>
                <w:rFonts w:cs="Times New Roman"/>
                <w:color w:val="000000"/>
                <w:sz w:val="20"/>
                <w:szCs w:val="20"/>
              </w:rPr>
              <w:t xml:space="preserve">1532.23 </w:t>
            </w:r>
          </w:p>
        </w:tc>
      </w:tr>
      <w:tr w14:paraId="4119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C1BE208">
            <w:pPr>
              <w:widowControl/>
              <w:spacing w:line="240" w:lineRule="auto"/>
              <w:ind w:firstLine="0" w:firstLineChars="0"/>
              <w:jc w:val="center"/>
              <w:rPr>
                <w:rFonts w:cs="Times New Roman"/>
                <w:color w:val="000000"/>
                <w:sz w:val="20"/>
                <w:szCs w:val="20"/>
              </w:rPr>
            </w:pPr>
            <w:r>
              <w:rPr>
                <w:rFonts w:ascii="Arial" w:hAnsi="Arial" w:cs="Arial"/>
                <w:color w:val="000000"/>
                <w:sz w:val="20"/>
                <w:szCs w:val="20"/>
              </w:rPr>
              <w:t>朱家堡村</w:t>
            </w:r>
          </w:p>
        </w:tc>
        <w:tc>
          <w:tcPr>
            <w:tcW w:w="882" w:type="pct"/>
          </w:tcPr>
          <w:p w14:paraId="44BB180F">
            <w:pPr>
              <w:spacing w:line="240" w:lineRule="auto"/>
              <w:ind w:firstLine="0" w:firstLineChars="0"/>
              <w:jc w:val="center"/>
              <w:rPr>
                <w:rFonts w:cs="Times New Roman"/>
                <w:color w:val="000000"/>
                <w:sz w:val="20"/>
                <w:szCs w:val="20"/>
              </w:rPr>
            </w:pPr>
            <w:r>
              <w:rPr>
                <w:rFonts w:cs="Times New Roman"/>
                <w:color w:val="000000"/>
                <w:sz w:val="20"/>
                <w:szCs w:val="20"/>
              </w:rPr>
              <w:t xml:space="preserve">221.24 </w:t>
            </w:r>
          </w:p>
        </w:tc>
        <w:tc>
          <w:tcPr>
            <w:tcW w:w="1618" w:type="pct"/>
          </w:tcPr>
          <w:p w14:paraId="5896D868">
            <w:pPr>
              <w:spacing w:line="240" w:lineRule="auto"/>
              <w:ind w:firstLine="0" w:firstLineChars="0"/>
              <w:jc w:val="center"/>
              <w:rPr>
                <w:rFonts w:cs="Times New Roman"/>
                <w:color w:val="000000"/>
                <w:sz w:val="20"/>
                <w:szCs w:val="20"/>
              </w:rPr>
            </w:pPr>
            <w:r>
              <w:rPr>
                <w:rFonts w:cs="Times New Roman"/>
                <w:color w:val="000000"/>
                <w:sz w:val="20"/>
                <w:szCs w:val="20"/>
              </w:rPr>
              <w:t xml:space="preserve">211.17 </w:t>
            </w:r>
          </w:p>
        </w:tc>
        <w:tc>
          <w:tcPr>
            <w:tcW w:w="1250" w:type="pct"/>
          </w:tcPr>
          <w:p w14:paraId="2DF8E945">
            <w:pPr>
              <w:spacing w:line="240" w:lineRule="auto"/>
              <w:ind w:firstLine="0" w:firstLineChars="0"/>
              <w:jc w:val="center"/>
              <w:rPr>
                <w:rFonts w:cs="Times New Roman"/>
                <w:color w:val="000000"/>
                <w:sz w:val="20"/>
                <w:szCs w:val="20"/>
              </w:rPr>
            </w:pPr>
            <w:r>
              <w:rPr>
                <w:rFonts w:cs="Times New Roman"/>
                <w:color w:val="000000"/>
                <w:sz w:val="20"/>
                <w:szCs w:val="20"/>
              </w:rPr>
              <w:t xml:space="preserve">230.76 </w:t>
            </w:r>
          </w:p>
        </w:tc>
      </w:tr>
    </w:tbl>
    <w:p w14:paraId="15F0E550">
      <w:pPr>
        <w:spacing w:line="240" w:lineRule="auto"/>
        <w:ind w:firstLine="640"/>
        <w:rPr>
          <w:rFonts w:cs="Times New Roman"/>
          <w:szCs w:val="32"/>
          <w:lang w:bidi="ar"/>
        </w:rPr>
      </w:pPr>
    </w:p>
    <w:p w14:paraId="5599DE2A">
      <w:pPr>
        <w:pStyle w:val="3"/>
        <w:rPr>
          <w:rFonts w:ascii="Times New Roman" w:hAnsi="Times New Roman" w:cs="Times New Roman"/>
        </w:rPr>
      </w:pPr>
      <w:bookmarkStart w:id="33" w:name="_Toc185931295"/>
      <w:bookmarkStart w:id="34" w:name="_Toc12081"/>
      <w:bookmarkStart w:id="35" w:name="_Toc6491"/>
      <w:bookmarkStart w:id="36" w:name="_Toc14759"/>
      <w:r>
        <w:rPr>
          <w:rFonts w:ascii="Times New Roman" w:hAnsi="Times New Roman" w:cs="Times New Roman"/>
        </w:rPr>
        <w:t>第三节 规划分区</w:t>
      </w:r>
      <w:bookmarkEnd w:id="33"/>
      <w:bookmarkEnd w:id="34"/>
      <w:bookmarkEnd w:id="35"/>
      <w:bookmarkEnd w:id="36"/>
    </w:p>
    <w:p w14:paraId="0AECE2A1">
      <w:pPr>
        <w:pStyle w:val="4"/>
        <w:numPr>
          <w:ilvl w:val="0"/>
          <w:numId w:val="7"/>
        </w:numPr>
        <w:ind w:left="420" w:firstLine="361" w:firstLineChars="113"/>
      </w:pPr>
      <w:r>
        <w:t>规划分区</w:t>
      </w:r>
    </w:p>
    <w:p w14:paraId="3CBEE725">
      <w:pPr>
        <w:ind w:firstLine="640"/>
        <w:rPr>
          <w:rFonts w:cs="Times New Roman"/>
        </w:rPr>
      </w:pPr>
      <w:bookmarkStart w:id="37" w:name="_Hlk130996293"/>
      <w:r>
        <w:rPr>
          <w:rFonts w:hint="eastAsia"/>
        </w:rPr>
        <w:t>依据国土空间开发保护总体格局，按照主体功能定位划分规划分区，规划分区共</w:t>
      </w:r>
      <w:r>
        <w:t>6</w:t>
      </w:r>
      <w:r>
        <w:rPr>
          <w:rFonts w:hint="eastAsia"/>
        </w:rPr>
        <w:t>类，分别为生态保护区、生态控制区、农田保护区、乡村发展区、城镇发展区、矿产能源发展区。</w:t>
      </w:r>
      <w:bookmarkEnd w:id="37"/>
      <w:r>
        <w:rPr>
          <w:rFonts w:cs="Times New Roman"/>
        </w:rPr>
        <w:t>规划分区管控应按照国家转换原则和准入要求规定执行。</w:t>
      </w:r>
    </w:p>
    <w:p w14:paraId="02B65A2D">
      <w:pPr>
        <w:pStyle w:val="4"/>
        <w:numPr>
          <w:ilvl w:val="0"/>
          <w:numId w:val="1"/>
        </w:numPr>
        <w:ind w:left="860" w:firstLine="362"/>
      </w:pPr>
      <w:r>
        <w:rPr>
          <w:rFonts w:hint="eastAsia"/>
        </w:rPr>
        <w:t>生态保护区</w:t>
      </w:r>
    </w:p>
    <w:p w14:paraId="28AE1AC2">
      <w:pPr>
        <w:ind w:firstLine="640"/>
      </w:pPr>
      <w:r>
        <w:rPr>
          <w:rFonts w:hint="eastAsia"/>
        </w:rPr>
        <w:t>生态保护区指具有特殊重要生态功能或生态敏感脆弱、必须强制性严格保护的陆地自然区域，主要为生态保护红线集中划定的区域，占全域空间的</w:t>
      </w:r>
      <w:r>
        <w:rPr>
          <w:rFonts w:cs="Times New Roman"/>
        </w:rPr>
        <w:t>44.19%</w:t>
      </w:r>
      <w:r>
        <w:rPr>
          <w:rFonts w:hint="eastAsia" w:cs="Times New Roman"/>
        </w:rPr>
        <w:t>（其中生态保护红线面积26443.96公顷）</w:t>
      </w:r>
      <w:r>
        <w:rPr>
          <w:rFonts w:hint="eastAsia"/>
        </w:rPr>
        <w:t>。落实生态保护红线管理办法要求。</w:t>
      </w:r>
    </w:p>
    <w:p w14:paraId="3A4556FA">
      <w:pPr>
        <w:pStyle w:val="4"/>
        <w:numPr>
          <w:ilvl w:val="0"/>
          <w:numId w:val="1"/>
        </w:numPr>
        <w:ind w:left="860" w:firstLine="362"/>
      </w:pPr>
      <w:r>
        <w:rPr>
          <w:rFonts w:hint="eastAsia"/>
        </w:rPr>
        <w:t>生态控制区</w:t>
      </w:r>
    </w:p>
    <w:p w14:paraId="11267EC7">
      <w:pPr>
        <w:ind w:firstLine="640"/>
      </w:pPr>
      <w:r>
        <w:rPr>
          <w:rFonts w:hint="eastAsia"/>
        </w:rPr>
        <w:t>生态控制区指生态保护红线外，需要予以保留原貌、强化生态保育和生态建设、限制开发建设的自然区域，主要为域内河流水面，以及重点生态公益林等，占全域空间的</w:t>
      </w:r>
      <w:r>
        <w:rPr>
          <w:rFonts w:cs="Times New Roman"/>
        </w:rPr>
        <w:t>35.02%</w:t>
      </w:r>
      <w:r>
        <w:rPr>
          <w:rFonts w:hint="eastAsia"/>
        </w:rPr>
        <w:t>。允许在不降低生态功能、不破坏生态系统稳定的前提下，进行土地利用结构和布局调整；在符合相关法律法规前提下，允许依据国土空间规划适度开发利用。</w:t>
      </w:r>
    </w:p>
    <w:p w14:paraId="0CDA567D">
      <w:pPr>
        <w:pStyle w:val="4"/>
        <w:ind w:firstLine="362"/>
      </w:pPr>
      <w:r>
        <w:rPr>
          <w:rFonts w:hint="eastAsia"/>
        </w:rPr>
        <w:t>农田保护区</w:t>
      </w:r>
    </w:p>
    <w:p w14:paraId="2F34A3BF">
      <w:pPr>
        <w:ind w:firstLine="640"/>
        <w:rPr>
          <w:rFonts w:cs="Times New Roman"/>
        </w:rPr>
      </w:pPr>
      <w:r>
        <w:rPr>
          <w:rFonts w:hint="eastAsia" w:cs="Times New Roman"/>
          <w:shd w:val="clear" w:color="auto" w:fill="auto"/>
        </w:rPr>
        <w:t>农田保护区指永久基本农田相对集中需严格保护的区域，主要分布在镇域东部等永久基本农田大规模集中的地区，占华来镇国土总面积的</w:t>
      </w:r>
      <w:r>
        <w:rPr>
          <w:rFonts w:cs="Times New Roman"/>
          <w:shd w:val="clear" w:color="auto" w:fill="auto"/>
        </w:rPr>
        <w:t>11.78%</w:t>
      </w:r>
      <w:r>
        <w:rPr>
          <w:rFonts w:hint="eastAsia" w:cs="Times New Roman"/>
          <w:shd w:val="clear" w:color="auto" w:fill="auto"/>
        </w:rPr>
        <w:t>。</w:t>
      </w:r>
    </w:p>
    <w:p w14:paraId="117AA1EB">
      <w:pPr>
        <w:pStyle w:val="4"/>
        <w:ind w:firstLine="362"/>
      </w:pPr>
      <w:r>
        <w:rPr>
          <w:rFonts w:hint="eastAsia"/>
        </w:rPr>
        <w:t>乡村发展区</w:t>
      </w:r>
    </w:p>
    <w:p w14:paraId="28A26B72">
      <w:pPr>
        <w:ind w:firstLine="640"/>
        <w:rPr>
          <w:rFonts w:cs="Times New Roman"/>
        </w:rPr>
      </w:pPr>
      <w:r>
        <w:rPr>
          <w:rFonts w:hint="eastAsia" w:cs="Times New Roman"/>
          <w:shd w:val="clear" w:color="auto" w:fill="auto"/>
        </w:rPr>
        <w:t>乡村发展区指农田保护区外，为满足农林牧渔等农业发展以及农民集中生活和生产配套为主的区域，主要分布于城镇发展区、农田保护区周边，占华来镇国土总面积的</w:t>
      </w:r>
      <w:r>
        <w:rPr>
          <w:rFonts w:cs="Times New Roman"/>
          <w:shd w:val="clear" w:color="auto" w:fill="auto"/>
        </w:rPr>
        <w:t>6.22%</w:t>
      </w:r>
      <w:r>
        <w:rPr>
          <w:rFonts w:hint="eastAsia" w:cs="Times New Roman"/>
          <w:shd w:val="clear" w:color="auto" w:fill="auto"/>
        </w:rPr>
        <w:t>。</w:t>
      </w:r>
    </w:p>
    <w:p w14:paraId="7A00BB4B">
      <w:pPr>
        <w:pStyle w:val="4"/>
        <w:ind w:firstLine="362"/>
      </w:pPr>
      <w:r>
        <w:rPr>
          <w:rFonts w:hint="eastAsia"/>
        </w:rPr>
        <w:t>城镇发展区</w:t>
      </w:r>
    </w:p>
    <w:p w14:paraId="091E2602">
      <w:pPr>
        <w:ind w:firstLine="640"/>
        <w:rPr>
          <w:rFonts w:cs="Times New Roman"/>
        </w:rPr>
      </w:pPr>
      <w:r>
        <w:rPr>
          <w:rFonts w:hint="eastAsia" w:cs="Times New Roman"/>
          <w:shd w:val="clear" w:color="auto" w:fill="auto"/>
        </w:rPr>
        <w:t>城镇发展区指城镇开发边界围合的范围，是城镇集中开发建设并可满足城镇生产、生活需要的区域，主要分布在华来镇中心区，占华来镇国土总面积的</w:t>
      </w:r>
      <w:r>
        <w:rPr>
          <w:rFonts w:cs="Times New Roman"/>
          <w:shd w:val="clear" w:color="auto" w:fill="auto"/>
        </w:rPr>
        <w:t>0.34%</w:t>
      </w:r>
      <w:r>
        <w:rPr>
          <w:rFonts w:hint="eastAsia" w:cs="Times New Roman"/>
          <w:shd w:val="clear" w:color="auto" w:fill="auto"/>
        </w:rPr>
        <w:t>。</w:t>
      </w:r>
    </w:p>
    <w:p w14:paraId="64A4D4A5">
      <w:pPr>
        <w:pStyle w:val="4"/>
        <w:ind w:firstLine="362"/>
      </w:pPr>
      <w:r>
        <w:rPr>
          <w:rFonts w:hint="eastAsia"/>
        </w:rPr>
        <w:t>矿产能源发展区</w:t>
      </w:r>
    </w:p>
    <w:p w14:paraId="227EA771">
      <w:pPr>
        <w:ind w:firstLine="640"/>
        <w:rPr>
          <w:rFonts w:cs="Times New Roman"/>
          <w:shd w:val="clear" w:color="auto" w:fill="auto"/>
        </w:rPr>
      </w:pPr>
      <w:r>
        <w:rPr>
          <w:rFonts w:hint="eastAsia" w:cs="Times New Roman"/>
          <w:shd w:val="clear" w:color="auto" w:fill="auto"/>
        </w:rPr>
        <w:t>矿产能源发展区指为适应国家能源安全与矿业发展的重要陆域采矿区、战略性矿产储量区等区域，主要分布在镇域西部，占华来镇国土总面积的</w:t>
      </w:r>
      <w:r>
        <w:rPr>
          <w:rFonts w:cs="Times New Roman"/>
          <w:shd w:val="clear" w:color="auto" w:fill="auto"/>
        </w:rPr>
        <w:t>2.45%</w:t>
      </w:r>
      <w:r>
        <w:rPr>
          <w:rFonts w:hint="eastAsia" w:cs="Times New Roman"/>
          <w:shd w:val="clear" w:color="auto" w:fill="auto"/>
        </w:rPr>
        <w:t>。</w:t>
      </w:r>
    </w:p>
    <w:p w14:paraId="6FEA6A4C">
      <w:pPr>
        <w:pStyle w:val="3"/>
        <w:rPr>
          <w:rFonts w:ascii="Times New Roman" w:hAnsi="Times New Roman" w:cs="Times New Roman"/>
        </w:rPr>
      </w:pPr>
      <w:bookmarkStart w:id="38" w:name="_Toc26451"/>
      <w:bookmarkStart w:id="39" w:name="_Toc5206"/>
      <w:bookmarkStart w:id="40" w:name="_Toc32285"/>
      <w:bookmarkStart w:id="41" w:name="_Toc185931296"/>
      <w:r>
        <w:rPr>
          <w:rFonts w:ascii="Times New Roman" w:hAnsi="Times New Roman" w:cs="Times New Roman"/>
        </w:rPr>
        <w:t>第四节 国土空间</w:t>
      </w:r>
      <w:r>
        <w:rPr>
          <w:rFonts w:hint="eastAsia" w:ascii="Times New Roman" w:hAnsi="Times New Roman" w:cs="Times New Roman"/>
        </w:rPr>
        <w:t>功能</w:t>
      </w:r>
      <w:r>
        <w:rPr>
          <w:rFonts w:ascii="Times New Roman" w:hAnsi="Times New Roman" w:cs="Times New Roman"/>
        </w:rPr>
        <w:t>结构优化</w:t>
      </w:r>
      <w:bookmarkEnd w:id="38"/>
      <w:bookmarkEnd w:id="39"/>
      <w:bookmarkEnd w:id="40"/>
      <w:bookmarkEnd w:id="41"/>
    </w:p>
    <w:p w14:paraId="0EFCD40F">
      <w:pPr>
        <w:ind w:firstLine="640"/>
        <w:rPr>
          <w:rFonts w:cs="Times New Roman"/>
        </w:rPr>
      </w:pPr>
      <w:r>
        <w:rPr>
          <w:rFonts w:hint="eastAsia" w:cs="Times New Roman"/>
          <w:lang w:bidi="ar"/>
        </w:rPr>
        <w:t>严格落实桓仁县国土空间总体规划确定的国土空间规划约束性指标，加强全域用途管制。稳定农用地、自然保护与保留用地规模，保障生态安全和蔬菜、粮食等基本生产。严格控制建设用地总量，精准配置新增建设用地，加大存量盘活，激活建设用地流量，提升土地使用质量。</w:t>
      </w:r>
    </w:p>
    <w:p w14:paraId="145FED0A">
      <w:pPr>
        <w:pStyle w:val="4"/>
        <w:numPr>
          <w:ilvl w:val="0"/>
          <w:numId w:val="8"/>
        </w:numPr>
        <w:ind w:left="420" w:firstLine="361" w:firstLineChars="113"/>
      </w:pPr>
      <w:r>
        <w:t>耕地和永久基本农田布局优化</w:t>
      </w:r>
    </w:p>
    <w:p w14:paraId="3F1544D7">
      <w:pPr>
        <w:ind w:firstLine="640"/>
        <w:rPr>
          <w:rFonts w:cs="Times New Roman"/>
        </w:rPr>
      </w:pPr>
      <w:r>
        <w:rPr>
          <w:rFonts w:cs="Times New Roman"/>
        </w:rPr>
        <w:t>保障优化农业空间，落实最严格的耕地保护制度，多渠道补充耕地，切实完成耕地保护任务，通过实施土地整治等工程促使耕地尤其是永久基本农田集中连片布局。</w:t>
      </w:r>
    </w:p>
    <w:p w14:paraId="22F3DB77">
      <w:pPr>
        <w:pStyle w:val="4"/>
        <w:numPr>
          <w:ilvl w:val="0"/>
          <w:numId w:val="1"/>
        </w:numPr>
        <w:ind w:left="860" w:firstLine="361" w:firstLineChars="113"/>
      </w:pPr>
      <w:r>
        <w:t>园地布局优化</w:t>
      </w:r>
    </w:p>
    <w:p w14:paraId="0037347C">
      <w:pPr>
        <w:ind w:firstLine="640"/>
        <w:rPr>
          <w:rFonts w:cs="Times New Roman"/>
        </w:rPr>
      </w:pPr>
      <w:r>
        <w:rPr>
          <w:rFonts w:cs="Times New Roman"/>
        </w:rPr>
        <w:t>规划期间合理引导园地发展，综合运用农业措施，改善生产条件，提高园地利用效益，推动农产品加工等产业发展。</w:t>
      </w:r>
    </w:p>
    <w:p w14:paraId="60E51AC3">
      <w:pPr>
        <w:pStyle w:val="4"/>
        <w:numPr>
          <w:ilvl w:val="0"/>
          <w:numId w:val="1"/>
        </w:numPr>
        <w:ind w:left="860" w:firstLine="361" w:firstLineChars="113"/>
      </w:pPr>
      <w:r>
        <w:t>林草和水域用地布局优化</w:t>
      </w:r>
    </w:p>
    <w:p w14:paraId="5040A101">
      <w:pPr>
        <w:ind w:firstLine="640"/>
        <w:rPr>
          <w:rFonts w:cs="Times New Roman"/>
        </w:rPr>
      </w:pPr>
      <w:r>
        <w:rPr>
          <w:rFonts w:cs="Times New Roman"/>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5A6D7662">
      <w:pPr>
        <w:pStyle w:val="4"/>
        <w:numPr>
          <w:ilvl w:val="0"/>
          <w:numId w:val="1"/>
        </w:numPr>
        <w:ind w:left="860" w:firstLine="361" w:firstLineChars="113"/>
      </w:pPr>
      <w:r>
        <w:t>建设用地结构优化</w:t>
      </w:r>
    </w:p>
    <w:p w14:paraId="34637155">
      <w:pPr>
        <w:ind w:firstLine="640"/>
        <w:rPr>
          <w:rFonts w:cs="Times New Roman"/>
        </w:rPr>
      </w:pPr>
      <w:r>
        <w:rPr>
          <w:rFonts w:cs="Times New Roman"/>
        </w:rPr>
        <w:t>统筹城乡居住、基础设施、公共服务、产业发展布局，推动城乡建设用地结构优化。节约集约用地，引导工业区分散用地集中布局。提升公共管理与公共服务设施用地、商业服务业用地占比，增加基础设施，完善路网结构，鼓励宅基地集约化建设，引导乡村人口集中居住。</w:t>
      </w:r>
    </w:p>
    <w:p w14:paraId="65FF9AA6">
      <w:pPr>
        <w:ind w:firstLine="640"/>
        <w:rPr>
          <w:rFonts w:cs="Times New Roman"/>
        </w:rPr>
      </w:pPr>
      <w:r>
        <w:rPr>
          <w:rFonts w:cs="Times New Roman"/>
        </w:rPr>
        <w:t>促进城镇建设用地集约利用。逐步增加城乡建设用地增减挂钩、工矿废弃地复垦利用等流量指标，通过建设用地流量供应推动建设用地在城镇和农村内部、城乡之间合理流动。</w:t>
      </w:r>
    </w:p>
    <w:p w14:paraId="19DCCB2B">
      <w:pPr>
        <w:ind w:firstLine="640"/>
        <w:rPr>
          <w:rFonts w:cs="Times New Roman"/>
        </w:rPr>
      </w:pPr>
      <w:r>
        <w:rPr>
          <w:rFonts w:cs="Times New Roman"/>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在符合法律法规、政策要求的前提下，可预留不高于5%的建设用地机动指标，用于村民居住、农村公共公益设施、零星分散的乡村文旅设施及农村新产业新业态等用地需求。</w:t>
      </w:r>
    </w:p>
    <w:p w14:paraId="466AE393">
      <w:pPr>
        <w:ind w:firstLine="640"/>
        <w:rPr>
          <w:rFonts w:cs="Times New Roman"/>
        </w:rPr>
      </w:pPr>
    </w:p>
    <w:p w14:paraId="0DA945AA">
      <w:pPr>
        <w:ind w:firstLine="640"/>
        <w:rPr>
          <w:rFonts w:cs="Times New Roman"/>
        </w:rPr>
      </w:pPr>
    </w:p>
    <w:p w14:paraId="31E23445">
      <w:pPr>
        <w:ind w:firstLine="640"/>
        <w:rPr>
          <w:rFonts w:cs="Times New Roman"/>
        </w:rPr>
      </w:pPr>
    </w:p>
    <w:tbl>
      <w:tblPr>
        <w:tblStyle w:val="17"/>
        <w:tblW w:w="5127" w:type="pct"/>
        <w:tblInd w:w="0" w:type="dxa"/>
        <w:tblLayout w:type="autofit"/>
        <w:tblCellMar>
          <w:top w:w="0" w:type="dxa"/>
          <w:left w:w="108" w:type="dxa"/>
          <w:bottom w:w="0" w:type="dxa"/>
          <w:right w:w="108" w:type="dxa"/>
        </w:tblCellMar>
      </w:tblPr>
      <w:tblGrid>
        <w:gridCol w:w="1968"/>
        <w:gridCol w:w="1880"/>
        <w:gridCol w:w="1632"/>
        <w:gridCol w:w="1189"/>
        <w:gridCol w:w="2076"/>
      </w:tblGrid>
      <w:tr w14:paraId="75035D9A">
        <w:tblPrEx>
          <w:tblCellMar>
            <w:top w:w="0" w:type="dxa"/>
            <w:left w:w="108" w:type="dxa"/>
            <w:bottom w:w="0" w:type="dxa"/>
            <w:right w:w="108" w:type="dxa"/>
          </w:tblCellMar>
        </w:tblPrEx>
        <w:trPr>
          <w:trHeight w:val="20" w:hRule="atLeast"/>
        </w:trPr>
        <w:tc>
          <w:tcPr>
            <w:tcW w:w="2200" w:type="pct"/>
            <w:gridSpan w:val="2"/>
            <w:vMerge w:val="restart"/>
            <w:tcBorders>
              <w:top w:val="single" w:color="000000" w:sz="8" w:space="0"/>
              <w:left w:val="single" w:color="000000" w:sz="8" w:space="0"/>
              <w:bottom w:val="single" w:color="000000" w:sz="8" w:space="0"/>
              <w:right w:val="single" w:color="000000" w:sz="8" w:space="0"/>
            </w:tcBorders>
            <w:vAlign w:val="center"/>
          </w:tcPr>
          <w:p w14:paraId="4DFC06AB">
            <w:pPr>
              <w:spacing w:line="240" w:lineRule="auto"/>
              <w:ind w:firstLine="0" w:firstLineChars="0"/>
              <w:jc w:val="center"/>
              <w:rPr>
                <w:rFonts w:cs="Times New Roman"/>
                <w:color w:val="000000"/>
                <w:sz w:val="20"/>
                <w:szCs w:val="20"/>
              </w:rPr>
            </w:pPr>
            <w:r>
              <w:rPr>
                <w:rFonts w:cs="Times New Roman"/>
                <w:color w:val="000000"/>
                <w:sz w:val="20"/>
                <w:szCs w:val="20"/>
              </w:rPr>
              <w:t>用地类型</w:t>
            </w:r>
          </w:p>
        </w:tc>
        <w:tc>
          <w:tcPr>
            <w:tcW w:w="1613" w:type="pct"/>
            <w:gridSpan w:val="2"/>
            <w:tcBorders>
              <w:top w:val="single" w:color="000000" w:sz="8" w:space="0"/>
              <w:left w:val="single" w:color="000000" w:sz="8" w:space="0"/>
              <w:bottom w:val="single" w:color="000000" w:sz="8" w:space="0"/>
              <w:right w:val="single" w:color="000000" w:sz="8" w:space="0"/>
            </w:tcBorders>
            <w:vAlign w:val="center"/>
          </w:tcPr>
          <w:p w14:paraId="5898B286">
            <w:pPr>
              <w:spacing w:line="240" w:lineRule="auto"/>
              <w:ind w:firstLine="0" w:firstLineChars="0"/>
              <w:jc w:val="center"/>
              <w:rPr>
                <w:rFonts w:cs="Times New Roman"/>
                <w:color w:val="000000"/>
                <w:sz w:val="20"/>
                <w:szCs w:val="20"/>
              </w:rPr>
            </w:pPr>
            <w:r>
              <w:rPr>
                <w:rFonts w:cs="Times New Roman"/>
                <w:color w:val="000000"/>
                <w:sz w:val="20"/>
                <w:szCs w:val="20"/>
              </w:rPr>
              <w:t>规划基期年</w:t>
            </w:r>
          </w:p>
        </w:tc>
        <w:tc>
          <w:tcPr>
            <w:tcW w:w="1187" w:type="pct"/>
            <w:tcBorders>
              <w:top w:val="single" w:color="000000" w:sz="8" w:space="0"/>
              <w:left w:val="single" w:color="000000" w:sz="8" w:space="0"/>
              <w:bottom w:val="single" w:color="000000" w:sz="8" w:space="0"/>
              <w:right w:val="single" w:color="000000" w:sz="8" w:space="0"/>
            </w:tcBorders>
            <w:vAlign w:val="center"/>
          </w:tcPr>
          <w:p w14:paraId="7505A7CD">
            <w:pPr>
              <w:spacing w:line="240" w:lineRule="auto"/>
              <w:ind w:firstLine="0" w:firstLineChars="0"/>
              <w:jc w:val="center"/>
              <w:rPr>
                <w:rFonts w:cs="Times New Roman"/>
                <w:color w:val="000000"/>
                <w:sz w:val="20"/>
                <w:szCs w:val="20"/>
              </w:rPr>
            </w:pPr>
            <w:r>
              <w:rPr>
                <w:rFonts w:cs="Times New Roman"/>
                <w:color w:val="000000"/>
                <w:sz w:val="20"/>
                <w:szCs w:val="20"/>
              </w:rPr>
              <w:t>规划目标年</w:t>
            </w:r>
          </w:p>
        </w:tc>
      </w:tr>
      <w:tr w14:paraId="037B1BB0">
        <w:tblPrEx>
          <w:tblCellMar>
            <w:top w:w="0" w:type="dxa"/>
            <w:left w:w="108" w:type="dxa"/>
            <w:bottom w:w="0" w:type="dxa"/>
            <w:right w:w="108" w:type="dxa"/>
          </w:tblCellMar>
        </w:tblPrEx>
        <w:trPr>
          <w:trHeight w:val="20" w:hRule="atLeast"/>
        </w:trPr>
        <w:tc>
          <w:tcPr>
            <w:tcW w:w="2200" w:type="pct"/>
            <w:gridSpan w:val="2"/>
            <w:vMerge w:val="continue"/>
            <w:tcBorders>
              <w:top w:val="single" w:color="000000" w:sz="8" w:space="0"/>
              <w:left w:val="single" w:color="000000" w:sz="8" w:space="0"/>
              <w:bottom w:val="single" w:color="000000" w:sz="8" w:space="0"/>
              <w:right w:val="single" w:color="000000" w:sz="8" w:space="0"/>
            </w:tcBorders>
            <w:vAlign w:val="center"/>
          </w:tcPr>
          <w:p w14:paraId="1D2AE026">
            <w:pPr>
              <w:spacing w:line="240" w:lineRule="auto"/>
              <w:ind w:firstLine="0" w:firstLineChars="0"/>
              <w:jc w:val="center"/>
              <w:rPr>
                <w:rFonts w:cs="Times New Roman"/>
                <w:color w:val="000000"/>
                <w:sz w:val="20"/>
                <w:szCs w:val="20"/>
              </w:rPr>
            </w:pPr>
          </w:p>
        </w:tc>
        <w:tc>
          <w:tcPr>
            <w:tcW w:w="933" w:type="pct"/>
            <w:tcBorders>
              <w:top w:val="nil"/>
              <w:left w:val="single" w:color="000000" w:sz="8" w:space="0"/>
              <w:bottom w:val="single" w:color="000000" w:sz="8" w:space="0"/>
              <w:right w:val="single" w:color="000000" w:sz="8" w:space="0"/>
            </w:tcBorders>
            <w:vAlign w:val="center"/>
          </w:tcPr>
          <w:p w14:paraId="10E5C762">
            <w:pPr>
              <w:spacing w:line="240" w:lineRule="auto"/>
              <w:ind w:firstLine="0" w:firstLineChars="0"/>
              <w:jc w:val="center"/>
              <w:rPr>
                <w:rFonts w:cs="Times New Roman"/>
                <w:color w:val="000000"/>
                <w:sz w:val="20"/>
                <w:szCs w:val="20"/>
              </w:rPr>
            </w:pPr>
            <w:r>
              <w:rPr>
                <w:rFonts w:cs="Times New Roman"/>
                <w:color w:val="000000"/>
                <w:sz w:val="20"/>
                <w:szCs w:val="20"/>
              </w:rPr>
              <w:t>面积</w:t>
            </w:r>
          </w:p>
        </w:tc>
        <w:tc>
          <w:tcPr>
            <w:tcW w:w="680" w:type="pct"/>
            <w:tcBorders>
              <w:top w:val="single" w:color="000000" w:sz="8" w:space="0"/>
              <w:left w:val="single" w:color="000000" w:sz="8" w:space="0"/>
              <w:bottom w:val="single" w:color="000000" w:sz="8" w:space="0"/>
              <w:right w:val="single" w:color="000000" w:sz="8" w:space="0"/>
            </w:tcBorders>
            <w:vAlign w:val="center"/>
          </w:tcPr>
          <w:p w14:paraId="5A1EA935">
            <w:pPr>
              <w:spacing w:line="240" w:lineRule="auto"/>
              <w:ind w:firstLine="0" w:firstLineChars="0"/>
              <w:jc w:val="center"/>
              <w:rPr>
                <w:rFonts w:cs="Times New Roman"/>
                <w:color w:val="000000"/>
                <w:sz w:val="20"/>
                <w:szCs w:val="20"/>
              </w:rPr>
            </w:pPr>
            <w:r>
              <w:rPr>
                <w:rFonts w:cs="Times New Roman"/>
                <w:color w:val="000000"/>
                <w:sz w:val="20"/>
                <w:szCs w:val="20"/>
              </w:rPr>
              <w:t>比重</w:t>
            </w:r>
          </w:p>
        </w:tc>
        <w:tc>
          <w:tcPr>
            <w:tcW w:w="1187" w:type="pct"/>
            <w:tcBorders>
              <w:top w:val="single" w:color="000000" w:sz="8" w:space="0"/>
              <w:left w:val="single" w:color="000000" w:sz="8" w:space="0"/>
              <w:bottom w:val="single" w:color="000000" w:sz="8" w:space="0"/>
              <w:right w:val="single" w:color="000000" w:sz="8" w:space="0"/>
            </w:tcBorders>
            <w:vAlign w:val="center"/>
          </w:tcPr>
          <w:p w14:paraId="654E2F57">
            <w:pPr>
              <w:spacing w:line="240" w:lineRule="auto"/>
              <w:ind w:firstLine="0" w:firstLineChars="0"/>
              <w:jc w:val="center"/>
              <w:rPr>
                <w:rFonts w:cs="Times New Roman"/>
                <w:color w:val="000000"/>
                <w:sz w:val="20"/>
                <w:szCs w:val="20"/>
              </w:rPr>
            </w:pPr>
            <w:r>
              <w:rPr>
                <w:rFonts w:cs="Times New Roman"/>
                <w:color w:val="000000"/>
                <w:sz w:val="20"/>
                <w:szCs w:val="20"/>
              </w:rPr>
              <w:t>面积</w:t>
            </w:r>
          </w:p>
        </w:tc>
      </w:tr>
      <w:tr w14:paraId="6531B90B">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24E1E4D0">
            <w:pPr>
              <w:spacing w:line="240" w:lineRule="auto"/>
              <w:ind w:firstLine="0" w:firstLineChars="0"/>
              <w:jc w:val="center"/>
              <w:rPr>
                <w:rFonts w:cs="Times New Roman"/>
                <w:color w:val="000000"/>
                <w:sz w:val="20"/>
                <w:szCs w:val="20"/>
              </w:rPr>
            </w:pPr>
            <w:r>
              <w:rPr>
                <w:rFonts w:cs="Times New Roman"/>
                <w:color w:val="000000"/>
                <w:sz w:val="20"/>
                <w:szCs w:val="20"/>
              </w:rPr>
              <w:t>耕地</w:t>
            </w:r>
          </w:p>
        </w:tc>
        <w:tc>
          <w:tcPr>
            <w:tcW w:w="933" w:type="pct"/>
            <w:tcBorders>
              <w:top w:val="nil"/>
              <w:left w:val="single" w:color="000000" w:sz="8" w:space="0"/>
              <w:bottom w:val="single" w:color="000000" w:sz="8" w:space="0"/>
              <w:right w:val="single" w:color="000000" w:sz="8" w:space="0"/>
            </w:tcBorders>
            <w:noWrap/>
          </w:tcPr>
          <w:p w14:paraId="0913CA0B">
            <w:pPr>
              <w:spacing w:line="240" w:lineRule="auto"/>
              <w:ind w:firstLine="0" w:firstLineChars="0"/>
              <w:jc w:val="center"/>
              <w:rPr>
                <w:rFonts w:cs="Times New Roman"/>
                <w:color w:val="000000"/>
                <w:sz w:val="20"/>
                <w:szCs w:val="20"/>
              </w:rPr>
            </w:pPr>
            <w:r>
              <w:rPr>
                <w:rFonts w:cs="Times New Roman"/>
                <w:color w:val="000000"/>
                <w:sz w:val="20"/>
                <w:szCs w:val="20"/>
              </w:rPr>
              <w:t>7637.63</w:t>
            </w:r>
          </w:p>
        </w:tc>
        <w:tc>
          <w:tcPr>
            <w:tcW w:w="680" w:type="pct"/>
            <w:tcBorders>
              <w:top w:val="nil"/>
              <w:left w:val="single" w:color="000000" w:sz="8" w:space="0"/>
              <w:bottom w:val="single" w:color="000000" w:sz="8" w:space="0"/>
              <w:right w:val="single" w:color="000000" w:sz="8" w:space="0"/>
            </w:tcBorders>
          </w:tcPr>
          <w:p w14:paraId="573AD09A">
            <w:pPr>
              <w:spacing w:line="240" w:lineRule="auto"/>
              <w:ind w:firstLine="0" w:firstLineChars="0"/>
              <w:jc w:val="center"/>
              <w:rPr>
                <w:rFonts w:cs="Times New Roman"/>
                <w:color w:val="000000"/>
                <w:sz w:val="20"/>
                <w:szCs w:val="20"/>
              </w:rPr>
            </w:pPr>
            <w:r>
              <w:rPr>
                <w:rFonts w:cs="Times New Roman"/>
                <w:color w:val="000000"/>
                <w:sz w:val="20"/>
                <w:szCs w:val="20"/>
              </w:rPr>
              <w:t>12.76</w:t>
            </w:r>
          </w:p>
        </w:tc>
        <w:tc>
          <w:tcPr>
            <w:tcW w:w="1187" w:type="pct"/>
            <w:tcBorders>
              <w:top w:val="nil"/>
              <w:left w:val="single" w:color="000000" w:sz="8" w:space="0"/>
              <w:bottom w:val="single" w:color="000000" w:sz="8" w:space="0"/>
              <w:right w:val="single" w:color="000000" w:sz="8" w:space="0"/>
            </w:tcBorders>
            <w:vAlign w:val="center"/>
          </w:tcPr>
          <w:p w14:paraId="06617E2A">
            <w:pPr>
              <w:spacing w:line="240" w:lineRule="auto"/>
              <w:ind w:firstLine="0" w:firstLineChars="0"/>
              <w:jc w:val="center"/>
              <w:rPr>
                <w:sz w:val="20"/>
                <w:szCs w:val="20"/>
              </w:rPr>
            </w:pPr>
            <w:r>
              <w:rPr>
                <w:rFonts w:cs="Times New Roman"/>
                <w:color w:val="000000"/>
                <w:sz w:val="20"/>
                <w:szCs w:val="20"/>
              </w:rPr>
              <w:t>≥7637.63</w:t>
            </w:r>
          </w:p>
        </w:tc>
      </w:tr>
      <w:tr w14:paraId="6E6061A5">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3F94C625">
            <w:pPr>
              <w:spacing w:line="240" w:lineRule="auto"/>
              <w:ind w:firstLine="0" w:firstLineChars="0"/>
              <w:jc w:val="center"/>
              <w:rPr>
                <w:rFonts w:cs="Times New Roman"/>
                <w:color w:val="000000"/>
                <w:sz w:val="20"/>
                <w:szCs w:val="20"/>
              </w:rPr>
            </w:pPr>
            <w:r>
              <w:rPr>
                <w:rFonts w:cs="Times New Roman"/>
                <w:color w:val="000000"/>
                <w:sz w:val="20"/>
                <w:szCs w:val="20"/>
              </w:rPr>
              <w:t>园地</w:t>
            </w:r>
          </w:p>
        </w:tc>
        <w:tc>
          <w:tcPr>
            <w:tcW w:w="933" w:type="pct"/>
            <w:tcBorders>
              <w:top w:val="nil"/>
              <w:left w:val="single" w:color="000000" w:sz="8" w:space="0"/>
              <w:bottom w:val="single" w:color="000000" w:sz="8" w:space="0"/>
              <w:right w:val="single" w:color="000000" w:sz="8" w:space="0"/>
            </w:tcBorders>
            <w:noWrap/>
          </w:tcPr>
          <w:p w14:paraId="4982498A">
            <w:pPr>
              <w:spacing w:line="240" w:lineRule="auto"/>
              <w:ind w:firstLine="0" w:firstLineChars="0"/>
              <w:jc w:val="center"/>
              <w:rPr>
                <w:rFonts w:cs="Times New Roman"/>
                <w:color w:val="000000"/>
                <w:sz w:val="20"/>
                <w:szCs w:val="20"/>
              </w:rPr>
            </w:pPr>
            <w:r>
              <w:rPr>
                <w:rFonts w:cs="Times New Roman"/>
                <w:color w:val="000000"/>
                <w:sz w:val="20"/>
                <w:szCs w:val="20"/>
              </w:rPr>
              <w:t>191.21</w:t>
            </w:r>
          </w:p>
        </w:tc>
        <w:tc>
          <w:tcPr>
            <w:tcW w:w="680" w:type="pct"/>
            <w:tcBorders>
              <w:top w:val="nil"/>
              <w:left w:val="single" w:color="000000" w:sz="8" w:space="0"/>
              <w:bottom w:val="single" w:color="000000" w:sz="8" w:space="0"/>
              <w:right w:val="single" w:color="000000" w:sz="8" w:space="0"/>
            </w:tcBorders>
          </w:tcPr>
          <w:p w14:paraId="264C13A4">
            <w:pPr>
              <w:spacing w:line="240" w:lineRule="auto"/>
              <w:ind w:firstLine="0" w:firstLineChars="0"/>
              <w:jc w:val="center"/>
              <w:rPr>
                <w:rFonts w:cs="Times New Roman"/>
                <w:color w:val="000000"/>
                <w:sz w:val="20"/>
                <w:szCs w:val="20"/>
              </w:rPr>
            </w:pPr>
            <w:r>
              <w:rPr>
                <w:rFonts w:cs="Times New Roman"/>
                <w:color w:val="000000"/>
                <w:sz w:val="20"/>
                <w:szCs w:val="20"/>
              </w:rPr>
              <w:t>0.32</w:t>
            </w:r>
          </w:p>
        </w:tc>
        <w:tc>
          <w:tcPr>
            <w:tcW w:w="1187" w:type="pct"/>
            <w:tcBorders>
              <w:top w:val="nil"/>
              <w:left w:val="single" w:color="000000" w:sz="8" w:space="0"/>
              <w:bottom w:val="single" w:color="000000" w:sz="8" w:space="0"/>
              <w:right w:val="single" w:color="000000" w:sz="8" w:space="0"/>
            </w:tcBorders>
          </w:tcPr>
          <w:p w14:paraId="4F9A529E">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72DFFB7C">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028EE684">
            <w:pPr>
              <w:spacing w:line="240" w:lineRule="auto"/>
              <w:ind w:firstLine="0" w:firstLineChars="0"/>
              <w:jc w:val="center"/>
              <w:rPr>
                <w:rFonts w:cs="Times New Roman"/>
                <w:color w:val="000000"/>
                <w:sz w:val="20"/>
                <w:szCs w:val="20"/>
              </w:rPr>
            </w:pPr>
            <w:r>
              <w:rPr>
                <w:rFonts w:cs="Times New Roman"/>
                <w:color w:val="000000"/>
                <w:sz w:val="20"/>
                <w:szCs w:val="20"/>
              </w:rPr>
              <w:t>林地</w:t>
            </w:r>
          </w:p>
        </w:tc>
        <w:tc>
          <w:tcPr>
            <w:tcW w:w="933" w:type="pct"/>
            <w:tcBorders>
              <w:top w:val="nil"/>
              <w:left w:val="single" w:color="000000" w:sz="8" w:space="0"/>
              <w:bottom w:val="single" w:color="000000" w:sz="8" w:space="0"/>
              <w:right w:val="single" w:color="000000" w:sz="8" w:space="0"/>
            </w:tcBorders>
            <w:noWrap/>
          </w:tcPr>
          <w:p w14:paraId="3F2DF4E6">
            <w:pPr>
              <w:spacing w:line="240" w:lineRule="auto"/>
              <w:ind w:firstLine="0" w:firstLineChars="0"/>
              <w:jc w:val="center"/>
              <w:rPr>
                <w:rFonts w:cs="Times New Roman"/>
                <w:color w:val="000000"/>
                <w:sz w:val="20"/>
                <w:szCs w:val="20"/>
              </w:rPr>
            </w:pPr>
            <w:r>
              <w:rPr>
                <w:rFonts w:cs="Times New Roman"/>
                <w:color w:val="000000"/>
                <w:sz w:val="20"/>
                <w:szCs w:val="20"/>
              </w:rPr>
              <w:t>49661.66</w:t>
            </w:r>
          </w:p>
        </w:tc>
        <w:tc>
          <w:tcPr>
            <w:tcW w:w="680" w:type="pct"/>
            <w:tcBorders>
              <w:top w:val="nil"/>
              <w:left w:val="single" w:color="000000" w:sz="8" w:space="0"/>
              <w:bottom w:val="single" w:color="000000" w:sz="8" w:space="0"/>
              <w:right w:val="single" w:color="000000" w:sz="8" w:space="0"/>
            </w:tcBorders>
          </w:tcPr>
          <w:p w14:paraId="6118F612">
            <w:pPr>
              <w:spacing w:line="240" w:lineRule="auto"/>
              <w:ind w:firstLine="0" w:firstLineChars="0"/>
              <w:jc w:val="center"/>
              <w:rPr>
                <w:rFonts w:cs="Times New Roman"/>
                <w:color w:val="000000"/>
                <w:sz w:val="20"/>
                <w:szCs w:val="20"/>
              </w:rPr>
            </w:pPr>
            <w:r>
              <w:rPr>
                <w:rFonts w:cs="Times New Roman"/>
                <w:color w:val="000000"/>
                <w:sz w:val="20"/>
                <w:szCs w:val="20"/>
              </w:rPr>
              <w:t>82.95</w:t>
            </w:r>
          </w:p>
        </w:tc>
        <w:tc>
          <w:tcPr>
            <w:tcW w:w="1187" w:type="pct"/>
            <w:tcBorders>
              <w:top w:val="nil"/>
              <w:left w:val="single" w:color="000000" w:sz="8" w:space="0"/>
              <w:bottom w:val="single" w:color="000000" w:sz="8" w:space="0"/>
              <w:right w:val="single" w:color="000000" w:sz="8" w:space="0"/>
            </w:tcBorders>
          </w:tcPr>
          <w:p w14:paraId="15A4EB35">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21ABBD29">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15BFBCD6">
            <w:pPr>
              <w:spacing w:line="240" w:lineRule="auto"/>
              <w:ind w:firstLine="0" w:firstLineChars="0"/>
              <w:jc w:val="center"/>
              <w:rPr>
                <w:rFonts w:cs="Times New Roman"/>
                <w:color w:val="000000"/>
                <w:sz w:val="20"/>
                <w:szCs w:val="20"/>
              </w:rPr>
            </w:pPr>
            <w:r>
              <w:rPr>
                <w:rFonts w:cs="Times New Roman"/>
                <w:color w:val="000000"/>
                <w:sz w:val="20"/>
                <w:szCs w:val="20"/>
              </w:rPr>
              <w:t>草地</w:t>
            </w:r>
          </w:p>
        </w:tc>
        <w:tc>
          <w:tcPr>
            <w:tcW w:w="933" w:type="pct"/>
            <w:tcBorders>
              <w:top w:val="nil"/>
              <w:left w:val="single" w:color="000000" w:sz="8" w:space="0"/>
              <w:bottom w:val="single" w:color="000000" w:sz="8" w:space="0"/>
              <w:right w:val="single" w:color="000000" w:sz="8" w:space="0"/>
            </w:tcBorders>
            <w:noWrap/>
          </w:tcPr>
          <w:p w14:paraId="77BC09B9">
            <w:pPr>
              <w:spacing w:line="240" w:lineRule="auto"/>
              <w:ind w:firstLine="0" w:firstLineChars="0"/>
              <w:jc w:val="center"/>
              <w:rPr>
                <w:rFonts w:cs="Times New Roman"/>
                <w:color w:val="000000"/>
                <w:sz w:val="20"/>
                <w:szCs w:val="20"/>
              </w:rPr>
            </w:pPr>
            <w:r>
              <w:rPr>
                <w:rFonts w:cs="Times New Roman"/>
                <w:color w:val="000000"/>
                <w:sz w:val="20"/>
                <w:szCs w:val="20"/>
              </w:rPr>
              <w:t>116.53</w:t>
            </w:r>
          </w:p>
        </w:tc>
        <w:tc>
          <w:tcPr>
            <w:tcW w:w="680" w:type="pct"/>
            <w:tcBorders>
              <w:top w:val="nil"/>
              <w:left w:val="single" w:color="000000" w:sz="8" w:space="0"/>
              <w:bottom w:val="single" w:color="000000" w:sz="8" w:space="0"/>
              <w:right w:val="single" w:color="000000" w:sz="8" w:space="0"/>
            </w:tcBorders>
          </w:tcPr>
          <w:p w14:paraId="03CDEFF4">
            <w:pPr>
              <w:spacing w:line="240" w:lineRule="auto"/>
              <w:ind w:firstLine="0" w:firstLineChars="0"/>
              <w:jc w:val="center"/>
              <w:rPr>
                <w:rFonts w:cs="Times New Roman"/>
                <w:color w:val="000000"/>
                <w:sz w:val="20"/>
                <w:szCs w:val="20"/>
              </w:rPr>
            </w:pPr>
            <w:r>
              <w:rPr>
                <w:rFonts w:cs="Times New Roman"/>
                <w:color w:val="000000"/>
                <w:sz w:val="20"/>
                <w:szCs w:val="20"/>
              </w:rPr>
              <w:t>0.19</w:t>
            </w:r>
          </w:p>
        </w:tc>
        <w:tc>
          <w:tcPr>
            <w:tcW w:w="1187" w:type="pct"/>
            <w:tcBorders>
              <w:top w:val="nil"/>
              <w:left w:val="single" w:color="000000" w:sz="8" w:space="0"/>
              <w:bottom w:val="single" w:color="000000" w:sz="8" w:space="0"/>
              <w:right w:val="single" w:color="000000" w:sz="8" w:space="0"/>
            </w:tcBorders>
            <w:vAlign w:val="center"/>
          </w:tcPr>
          <w:p w14:paraId="0E7B0CEE">
            <w:pPr>
              <w:pStyle w:val="40"/>
              <w:spacing w:line="240" w:lineRule="auto"/>
              <w:rPr>
                <w:rFonts w:hint="default" w:ascii="Times New Roman" w:hAnsi="Times New Roman"/>
                <w:sz w:val="20"/>
                <w:szCs w:val="20"/>
              </w:rPr>
            </w:pPr>
            <w:r>
              <w:rPr>
                <w:rFonts w:ascii="Times New Roman" w:hAnsi="Times New Roman"/>
                <w:sz w:val="20"/>
                <w:szCs w:val="20"/>
              </w:rPr>
              <w:t>总体略有下降</w:t>
            </w:r>
          </w:p>
        </w:tc>
      </w:tr>
      <w:tr w14:paraId="2033750B">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5484984C">
            <w:pPr>
              <w:spacing w:line="240" w:lineRule="auto"/>
              <w:ind w:firstLine="0" w:firstLineChars="0"/>
              <w:jc w:val="center"/>
              <w:rPr>
                <w:rFonts w:cs="Times New Roman"/>
                <w:color w:val="000000"/>
                <w:sz w:val="20"/>
                <w:szCs w:val="20"/>
              </w:rPr>
            </w:pPr>
            <w:r>
              <w:rPr>
                <w:rFonts w:cs="Times New Roman"/>
                <w:color w:val="000000"/>
                <w:sz w:val="20"/>
                <w:szCs w:val="20"/>
              </w:rPr>
              <w:t>农业设施建设用地</w:t>
            </w:r>
          </w:p>
        </w:tc>
        <w:tc>
          <w:tcPr>
            <w:tcW w:w="933" w:type="pct"/>
            <w:tcBorders>
              <w:top w:val="nil"/>
              <w:left w:val="single" w:color="000000" w:sz="8" w:space="0"/>
              <w:bottom w:val="single" w:color="000000" w:sz="8" w:space="0"/>
              <w:right w:val="single" w:color="000000" w:sz="8" w:space="0"/>
            </w:tcBorders>
            <w:noWrap/>
          </w:tcPr>
          <w:p w14:paraId="7DD3839B">
            <w:pPr>
              <w:spacing w:line="240" w:lineRule="auto"/>
              <w:ind w:firstLine="0" w:firstLineChars="0"/>
              <w:jc w:val="center"/>
              <w:rPr>
                <w:rFonts w:cs="Times New Roman"/>
                <w:color w:val="000000"/>
                <w:sz w:val="20"/>
                <w:szCs w:val="20"/>
              </w:rPr>
            </w:pPr>
            <w:r>
              <w:rPr>
                <w:rFonts w:cs="Times New Roman"/>
                <w:color w:val="000000"/>
                <w:sz w:val="20"/>
                <w:szCs w:val="20"/>
              </w:rPr>
              <w:t>250.72</w:t>
            </w:r>
          </w:p>
        </w:tc>
        <w:tc>
          <w:tcPr>
            <w:tcW w:w="680" w:type="pct"/>
            <w:tcBorders>
              <w:top w:val="nil"/>
              <w:left w:val="single" w:color="000000" w:sz="8" w:space="0"/>
              <w:bottom w:val="single" w:color="000000" w:sz="8" w:space="0"/>
              <w:right w:val="single" w:color="000000" w:sz="8" w:space="0"/>
            </w:tcBorders>
          </w:tcPr>
          <w:p w14:paraId="366CD602">
            <w:pPr>
              <w:spacing w:line="240" w:lineRule="auto"/>
              <w:ind w:firstLine="0" w:firstLineChars="0"/>
              <w:jc w:val="center"/>
              <w:rPr>
                <w:rFonts w:cs="Times New Roman"/>
                <w:color w:val="000000"/>
                <w:sz w:val="20"/>
                <w:szCs w:val="20"/>
              </w:rPr>
            </w:pPr>
            <w:r>
              <w:rPr>
                <w:rFonts w:cs="Times New Roman"/>
                <w:color w:val="000000"/>
                <w:sz w:val="20"/>
                <w:szCs w:val="20"/>
              </w:rPr>
              <w:t>0.42</w:t>
            </w:r>
          </w:p>
        </w:tc>
        <w:tc>
          <w:tcPr>
            <w:tcW w:w="1187" w:type="pct"/>
            <w:tcBorders>
              <w:top w:val="nil"/>
              <w:left w:val="single" w:color="000000" w:sz="8" w:space="0"/>
              <w:bottom w:val="single" w:color="000000" w:sz="8" w:space="0"/>
              <w:right w:val="single" w:color="000000" w:sz="8" w:space="0"/>
            </w:tcBorders>
            <w:vAlign w:val="center"/>
          </w:tcPr>
          <w:p w14:paraId="085AD895">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2DA1989B">
        <w:tblPrEx>
          <w:tblCellMar>
            <w:top w:w="0" w:type="dxa"/>
            <w:left w:w="108" w:type="dxa"/>
            <w:bottom w:w="0" w:type="dxa"/>
            <w:right w:w="108" w:type="dxa"/>
          </w:tblCellMar>
        </w:tblPrEx>
        <w:trPr>
          <w:trHeight w:val="20" w:hRule="atLeast"/>
        </w:trPr>
        <w:tc>
          <w:tcPr>
            <w:tcW w:w="1125" w:type="pct"/>
            <w:vMerge w:val="restart"/>
            <w:tcBorders>
              <w:top w:val="nil"/>
              <w:left w:val="single" w:color="000000" w:sz="8" w:space="0"/>
              <w:bottom w:val="single" w:color="000000" w:sz="8" w:space="0"/>
              <w:right w:val="single" w:color="000000" w:sz="8" w:space="0"/>
            </w:tcBorders>
            <w:vAlign w:val="center"/>
          </w:tcPr>
          <w:p w14:paraId="711DE136">
            <w:pPr>
              <w:spacing w:line="240" w:lineRule="auto"/>
              <w:ind w:firstLine="0" w:firstLineChars="0"/>
              <w:jc w:val="center"/>
              <w:rPr>
                <w:rFonts w:cs="Times New Roman"/>
                <w:color w:val="000000"/>
                <w:sz w:val="20"/>
                <w:szCs w:val="20"/>
              </w:rPr>
            </w:pPr>
            <w:r>
              <w:rPr>
                <w:rFonts w:cs="Times New Roman"/>
                <w:color w:val="000000"/>
                <w:sz w:val="20"/>
                <w:szCs w:val="20"/>
              </w:rPr>
              <w:t>城乡建设用地</w:t>
            </w:r>
          </w:p>
        </w:tc>
        <w:tc>
          <w:tcPr>
            <w:tcW w:w="1075" w:type="pct"/>
            <w:tcBorders>
              <w:top w:val="nil"/>
              <w:left w:val="single" w:color="000000" w:sz="8" w:space="0"/>
              <w:bottom w:val="single" w:color="000000" w:sz="8" w:space="0"/>
              <w:right w:val="single" w:color="000000" w:sz="8" w:space="0"/>
            </w:tcBorders>
            <w:vAlign w:val="center"/>
          </w:tcPr>
          <w:p w14:paraId="2255D9FE">
            <w:pPr>
              <w:spacing w:line="240" w:lineRule="auto"/>
              <w:ind w:firstLine="0" w:firstLineChars="0"/>
              <w:jc w:val="center"/>
              <w:rPr>
                <w:rFonts w:cs="Times New Roman"/>
                <w:color w:val="000000"/>
                <w:sz w:val="20"/>
                <w:szCs w:val="20"/>
              </w:rPr>
            </w:pPr>
            <w:r>
              <w:rPr>
                <w:rFonts w:cs="Times New Roman"/>
                <w:color w:val="000000"/>
                <w:sz w:val="20"/>
                <w:szCs w:val="20"/>
              </w:rPr>
              <w:t>城镇建设用地</w:t>
            </w:r>
          </w:p>
        </w:tc>
        <w:tc>
          <w:tcPr>
            <w:tcW w:w="933" w:type="pct"/>
            <w:tcBorders>
              <w:top w:val="nil"/>
              <w:left w:val="single" w:color="000000" w:sz="8" w:space="0"/>
              <w:bottom w:val="single" w:color="000000" w:sz="8" w:space="0"/>
              <w:right w:val="single" w:color="000000" w:sz="8" w:space="0"/>
            </w:tcBorders>
            <w:noWrap/>
            <w:vAlign w:val="center"/>
          </w:tcPr>
          <w:p w14:paraId="5298A509">
            <w:pPr>
              <w:spacing w:line="240" w:lineRule="auto"/>
              <w:ind w:firstLine="0" w:firstLineChars="0"/>
              <w:jc w:val="center"/>
              <w:rPr>
                <w:rFonts w:cs="Times New Roman"/>
                <w:color w:val="000000"/>
                <w:sz w:val="20"/>
                <w:szCs w:val="20"/>
              </w:rPr>
            </w:pPr>
            <w:r>
              <w:rPr>
                <w:rFonts w:cs="Times New Roman"/>
                <w:color w:val="000000"/>
                <w:sz w:val="20"/>
                <w:szCs w:val="20"/>
              </w:rPr>
              <w:t>108.97</w:t>
            </w:r>
          </w:p>
        </w:tc>
        <w:tc>
          <w:tcPr>
            <w:tcW w:w="680" w:type="pct"/>
            <w:tcBorders>
              <w:top w:val="nil"/>
              <w:left w:val="single" w:color="000000" w:sz="8" w:space="0"/>
              <w:bottom w:val="single" w:color="000000" w:sz="8" w:space="0"/>
              <w:right w:val="single" w:color="000000" w:sz="8" w:space="0"/>
            </w:tcBorders>
            <w:vAlign w:val="center"/>
          </w:tcPr>
          <w:p w14:paraId="45003A36">
            <w:pPr>
              <w:pStyle w:val="40"/>
              <w:spacing w:line="240" w:lineRule="auto"/>
              <w:rPr>
                <w:rFonts w:hint="default" w:ascii="Times New Roman" w:hAnsi="Times New Roman"/>
                <w:sz w:val="20"/>
                <w:szCs w:val="20"/>
              </w:rPr>
            </w:pPr>
            <w:r>
              <w:rPr>
                <w:rFonts w:ascii="Times New Roman" w:hAnsi="Times New Roman"/>
                <w:sz w:val="20"/>
                <w:szCs w:val="20"/>
              </w:rPr>
              <w:t>0.18</w:t>
            </w:r>
          </w:p>
        </w:tc>
        <w:tc>
          <w:tcPr>
            <w:tcW w:w="1187" w:type="pct"/>
            <w:tcBorders>
              <w:top w:val="nil"/>
              <w:left w:val="single" w:color="000000" w:sz="8" w:space="0"/>
              <w:bottom w:val="single" w:color="000000" w:sz="8" w:space="0"/>
              <w:right w:val="single" w:color="000000" w:sz="8" w:space="0"/>
            </w:tcBorders>
            <w:vAlign w:val="center"/>
          </w:tcPr>
          <w:p w14:paraId="34C611B2">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7661E877">
        <w:tblPrEx>
          <w:tblCellMar>
            <w:top w:w="0" w:type="dxa"/>
            <w:left w:w="108" w:type="dxa"/>
            <w:bottom w:w="0" w:type="dxa"/>
            <w:right w:w="108" w:type="dxa"/>
          </w:tblCellMar>
        </w:tblPrEx>
        <w:trPr>
          <w:trHeight w:val="20" w:hRule="atLeast"/>
        </w:trPr>
        <w:tc>
          <w:tcPr>
            <w:tcW w:w="1125" w:type="pct"/>
            <w:vMerge w:val="continue"/>
            <w:tcBorders>
              <w:top w:val="nil"/>
              <w:left w:val="single" w:color="000000" w:sz="8" w:space="0"/>
              <w:bottom w:val="single" w:color="000000" w:sz="8" w:space="0"/>
              <w:right w:val="single" w:color="000000" w:sz="8" w:space="0"/>
            </w:tcBorders>
            <w:vAlign w:val="center"/>
          </w:tcPr>
          <w:p w14:paraId="2B683BF7">
            <w:pPr>
              <w:spacing w:line="240" w:lineRule="auto"/>
              <w:ind w:firstLine="0" w:firstLineChars="0"/>
              <w:jc w:val="center"/>
              <w:rPr>
                <w:rFonts w:cs="Times New Roman"/>
                <w:color w:val="000000"/>
                <w:sz w:val="20"/>
                <w:szCs w:val="20"/>
              </w:rPr>
            </w:pPr>
          </w:p>
        </w:tc>
        <w:tc>
          <w:tcPr>
            <w:tcW w:w="1075" w:type="pct"/>
            <w:tcBorders>
              <w:top w:val="nil"/>
              <w:left w:val="single" w:color="000000" w:sz="8" w:space="0"/>
              <w:bottom w:val="single" w:color="000000" w:sz="8" w:space="0"/>
              <w:right w:val="single" w:color="000000" w:sz="8" w:space="0"/>
            </w:tcBorders>
            <w:vAlign w:val="center"/>
          </w:tcPr>
          <w:p w14:paraId="58D13B69">
            <w:pPr>
              <w:spacing w:line="240" w:lineRule="auto"/>
              <w:ind w:firstLine="0" w:firstLineChars="0"/>
              <w:jc w:val="center"/>
              <w:rPr>
                <w:rFonts w:cs="Times New Roman"/>
                <w:color w:val="000000"/>
                <w:sz w:val="20"/>
                <w:szCs w:val="20"/>
              </w:rPr>
            </w:pPr>
            <w:r>
              <w:rPr>
                <w:rFonts w:cs="Times New Roman"/>
                <w:color w:val="000000"/>
                <w:sz w:val="20"/>
                <w:szCs w:val="20"/>
              </w:rPr>
              <w:t>村庄建设用地</w:t>
            </w:r>
          </w:p>
        </w:tc>
        <w:tc>
          <w:tcPr>
            <w:tcW w:w="933" w:type="pct"/>
            <w:tcBorders>
              <w:top w:val="nil"/>
              <w:left w:val="single" w:color="000000" w:sz="8" w:space="0"/>
              <w:bottom w:val="single" w:color="000000" w:sz="8" w:space="0"/>
              <w:right w:val="single" w:color="000000" w:sz="8" w:space="0"/>
            </w:tcBorders>
            <w:noWrap/>
            <w:vAlign w:val="center"/>
          </w:tcPr>
          <w:p w14:paraId="6DE10C53">
            <w:pPr>
              <w:spacing w:line="240" w:lineRule="auto"/>
              <w:ind w:firstLine="0" w:firstLineChars="0"/>
              <w:jc w:val="center"/>
              <w:rPr>
                <w:rFonts w:cs="Times New Roman"/>
                <w:color w:val="000000"/>
                <w:sz w:val="20"/>
                <w:szCs w:val="20"/>
              </w:rPr>
            </w:pPr>
            <w:r>
              <w:rPr>
                <w:rFonts w:cs="Times New Roman"/>
                <w:color w:val="000000"/>
                <w:sz w:val="20"/>
                <w:szCs w:val="20"/>
              </w:rPr>
              <w:t>987.84</w:t>
            </w:r>
          </w:p>
        </w:tc>
        <w:tc>
          <w:tcPr>
            <w:tcW w:w="680" w:type="pct"/>
            <w:tcBorders>
              <w:top w:val="nil"/>
              <w:left w:val="single" w:color="000000" w:sz="8" w:space="0"/>
              <w:bottom w:val="single" w:color="000000" w:sz="8" w:space="0"/>
              <w:right w:val="single" w:color="000000" w:sz="8" w:space="0"/>
            </w:tcBorders>
            <w:vAlign w:val="center"/>
          </w:tcPr>
          <w:p w14:paraId="6DA2BC8B">
            <w:pPr>
              <w:pStyle w:val="40"/>
              <w:spacing w:line="240" w:lineRule="auto"/>
              <w:rPr>
                <w:rFonts w:hint="default" w:ascii="Times New Roman" w:hAnsi="Times New Roman"/>
                <w:sz w:val="20"/>
                <w:szCs w:val="20"/>
              </w:rPr>
            </w:pPr>
            <w:r>
              <w:rPr>
                <w:rFonts w:ascii="Times New Roman" w:hAnsi="Times New Roman"/>
                <w:sz w:val="20"/>
                <w:szCs w:val="20"/>
              </w:rPr>
              <w:t>1.65</w:t>
            </w:r>
          </w:p>
        </w:tc>
        <w:tc>
          <w:tcPr>
            <w:tcW w:w="1187" w:type="pct"/>
            <w:tcBorders>
              <w:top w:val="nil"/>
              <w:left w:val="single" w:color="000000" w:sz="8" w:space="0"/>
              <w:bottom w:val="single" w:color="000000" w:sz="8" w:space="0"/>
              <w:right w:val="single" w:color="000000" w:sz="8" w:space="0"/>
            </w:tcBorders>
            <w:vAlign w:val="center"/>
          </w:tcPr>
          <w:p w14:paraId="17280C05">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46EE6268">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25201677">
            <w:pPr>
              <w:spacing w:line="240" w:lineRule="auto"/>
              <w:ind w:firstLine="0" w:firstLineChars="0"/>
              <w:jc w:val="center"/>
              <w:rPr>
                <w:rFonts w:cs="Times New Roman"/>
                <w:color w:val="000000"/>
                <w:sz w:val="20"/>
                <w:szCs w:val="20"/>
              </w:rPr>
            </w:pPr>
            <w:r>
              <w:rPr>
                <w:rFonts w:cs="Times New Roman"/>
                <w:color w:val="000000"/>
                <w:sz w:val="20"/>
                <w:szCs w:val="20"/>
              </w:rPr>
              <w:t>区域基础设施用地</w:t>
            </w:r>
          </w:p>
        </w:tc>
        <w:tc>
          <w:tcPr>
            <w:tcW w:w="933" w:type="pct"/>
            <w:tcBorders>
              <w:top w:val="nil"/>
              <w:left w:val="single" w:color="000000" w:sz="8" w:space="0"/>
              <w:bottom w:val="single" w:color="000000" w:sz="8" w:space="0"/>
              <w:right w:val="single" w:color="000000" w:sz="8" w:space="0"/>
            </w:tcBorders>
            <w:noWrap/>
            <w:vAlign w:val="center"/>
          </w:tcPr>
          <w:p w14:paraId="5B0AA92C">
            <w:pPr>
              <w:spacing w:line="240" w:lineRule="auto"/>
              <w:ind w:firstLine="0" w:firstLineChars="0"/>
              <w:jc w:val="center"/>
              <w:rPr>
                <w:rFonts w:cs="Times New Roman"/>
                <w:color w:val="000000"/>
                <w:sz w:val="20"/>
                <w:szCs w:val="20"/>
              </w:rPr>
            </w:pPr>
            <w:r>
              <w:rPr>
                <w:rFonts w:cs="Times New Roman"/>
                <w:color w:val="000000"/>
                <w:sz w:val="20"/>
                <w:szCs w:val="20"/>
              </w:rPr>
              <w:t>369.81</w:t>
            </w:r>
          </w:p>
        </w:tc>
        <w:tc>
          <w:tcPr>
            <w:tcW w:w="680" w:type="pct"/>
            <w:tcBorders>
              <w:top w:val="nil"/>
              <w:left w:val="single" w:color="000000" w:sz="8" w:space="0"/>
              <w:bottom w:val="single" w:color="000000" w:sz="8" w:space="0"/>
              <w:right w:val="single" w:color="000000" w:sz="8" w:space="0"/>
            </w:tcBorders>
            <w:vAlign w:val="center"/>
          </w:tcPr>
          <w:p w14:paraId="4308E3F0">
            <w:pPr>
              <w:pStyle w:val="40"/>
              <w:spacing w:line="240" w:lineRule="auto"/>
              <w:rPr>
                <w:rFonts w:hint="default" w:ascii="Times New Roman" w:hAnsi="Times New Roman"/>
                <w:sz w:val="20"/>
                <w:szCs w:val="20"/>
              </w:rPr>
            </w:pPr>
            <w:r>
              <w:rPr>
                <w:rFonts w:ascii="Times New Roman" w:hAnsi="Times New Roman"/>
                <w:sz w:val="20"/>
                <w:szCs w:val="20"/>
              </w:rPr>
              <w:t>0.62</w:t>
            </w:r>
          </w:p>
        </w:tc>
        <w:tc>
          <w:tcPr>
            <w:tcW w:w="1187" w:type="pct"/>
            <w:tcBorders>
              <w:top w:val="nil"/>
              <w:left w:val="single" w:color="000000" w:sz="8" w:space="0"/>
              <w:bottom w:val="single" w:color="000000" w:sz="8" w:space="0"/>
              <w:right w:val="single" w:color="000000" w:sz="8" w:space="0"/>
            </w:tcBorders>
            <w:vAlign w:val="center"/>
          </w:tcPr>
          <w:p w14:paraId="471D37B1">
            <w:pPr>
              <w:pStyle w:val="40"/>
              <w:spacing w:line="240" w:lineRule="auto"/>
              <w:rPr>
                <w:rFonts w:hint="default" w:ascii="Times New Roman" w:hAnsi="Times New Roman"/>
                <w:sz w:val="20"/>
                <w:szCs w:val="20"/>
              </w:rPr>
            </w:pPr>
            <w:r>
              <w:rPr>
                <w:rFonts w:ascii="Times New Roman" w:hAnsi="Times New Roman"/>
                <w:sz w:val="20"/>
                <w:szCs w:val="20"/>
              </w:rPr>
              <w:t>持续增加</w:t>
            </w:r>
          </w:p>
        </w:tc>
      </w:tr>
      <w:tr w14:paraId="182EFF35">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42421935">
            <w:pPr>
              <w:spacing w:line="240" w:lineRule="auto"/>
              <w:ind w:firstLine="0" w:firstLineChars="0"/>
              <w:jc w:val="center"/>
              <w:rPr>
                <w:rFonts w:cs="Times New Roman"/>
                <w:color w:val="000000"/>
                <w:sz w:val="20"/>
                <w:szCs w:val="20"/>
              </w:rPr>
            </w:pPr>
            <w:r>
              <w:rPr>
                <w:rFonts w:cs="Times New Roman"/>
                <w:color w:val="000000"/>
                <w:sz w:val="20"/>
                <w:szCs w:val="20"/>
              </w:rPr>
              <w:t>其他建设用地</w:t>
            </w:r>
          </w:p>
        </w:tc>
        <w:tc>
          <w:tcPr>
            <w:tcW w:w="933" w:type="pct"/>
            <w:tcBorders>
              <w:top w:val="nil"/>
              <w:left w:val="single" w:color="000000" w:sz="8" w:space="0"/>
              <w:bottom w:val="single" w:color="000000" w:sz="8" w:space="0"/>
              <w:right w:val="single" w:color="000000" w:sz="8" w:space="0"/>
            </w:tcBorders>
            <w:noWrap/>
            <w:vAlign w:val="center"/>
          </w:tcPr>
          <w:p w14:paraId="7CCDCF88">
            <w:pPr>
              <w:spacing w:line="240" w:lineRule="auto"/>
              <w:ind w:firstLine="0" w:firstLineChars="0"/>
              <w:jc w:val="center"/>
              <w:rPr>
                <w:rFonts w:cs="Times New Roman"/>
                <w:color w:val="000000"/>
                <w:sz w:val="20"/>
                <w:szCs w:val="20"/>
              </w:rPr>
            </w:pPr>
            <w:r>
              <w:rPr>
                <w:rFonts w:cs="Times New Roman"/>
                <w:color w:val="000000"/>
                <w:sz w:val="20"/>
                <w:szCs w:val="20"/>
              </w:rPr>
              <w:t>86.70</w:t>
            </w:r>
          </w:p>
        </w:tc>
        <w:tc>
          <w:tcPr>
            <w:tcW w:w="680" w:type="pct"/>
            <w:tcBorders>
              <w:top w:val="nil"/>
              <w:left w:val="single" w:color="000000" w:sz="8" w:space="0"/>
              <w:bottom w:val="single" w:color="000000" w:sz="8" w:space="0"/>
              <w:right w:val="single" w:color="000000" w:sz="8" w:space="0"/>
            </w:tcBorders>
            <w:vAlign w:val="center"/>
          </w:tcPr>
          <w:p w14:paraId="7E9F86F8">
            <w:pPr>
              <w:pStyle w:val="40"/>
              <w:spacing w:line="240" w:lineRule="auto"/>
              <w:rPr>
                <w:rFonts w:hint="default" w:ascii="Times New Roman" w:hAnsi="Times New Roman"/>
                <w:sz w:val="20"/>
                <w:szCs w:val="20"/>
              </w:rPr>
            </w:pPr>
            <w:r>
              <w:rPr>
                <w:rFonts w:ascii="Times New Roman" w:hAnsi="Times New Roman"/>
                <w:sz w:val="20"/>
                <w:szCs w:val="20"/>
              </w:rPr>
              <w:t>0.14</w:t>
            </w:r>
          </w:p>
        </w:tc>
        <w:tc>
          <w:tcPr>
            <w:tcW w:w="1187" w:type="pct"/>
            <w:tcBorders>
              <w:top w:val="nil"/>
              <w:left w:val="single" w:color="000000" w:sz="8" w:space="0"/>
              <w:bottom w:val="single" w:color="000000" w:sz="8" w:space="0"/>
              <w:right w:val="single" w:color="000000" w:sz="8" w:space="0"/>
            </w:tcBorders>
            <w:vAlign w:val="center"/>
          </w:tcPr>
          <w:p w14:paraId="4909CDF5">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2C3F5514">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000000" w:sz="8" w:space="0"/>
              <w:right w:val="single" w:color="000000" w:sz="8" w:space="0"/>
            </w:tcBorders>
            <w:vAlign w:val="center"/>
          </w:tcPr>
          <w:p w14:paraId="5E014781">
            <w:pPr>
              <w:spacing w:line="240" w:lineRule="auto"/>
              <w:ind w:firstLine="0" w:firstLineChars="0"/>
              <w:jc w:val="center"/>
              <w:rPr>
                <w:rFonts w:cs="Times New Roman"/>
                <w:color w:val="000000"/>
                <w:sz w:val="20"/>
                <w:szCs w:val="20"/>
              </w:rPr>
            </w:pPr>
            <w:r>
              <w:rPr>
                <w:rFonts w:cs="Times New Roman"/>
                <w:color w:val="000000"/>
                <w:sz w:val="20"/>
                <w:szCs w:val="20"/>
              </w:rPr>
              <w:t>陆地水域</w:t>
            </w:r>
          </w:p>
        </w:tc>
        <w:tc>
          <w:tcPr>
            <w:tcW w:w="933" w:type="pct"/>
            <w:tcBorders>
              <w:top w:val="nil"/>
              <w:left w:val="single" w:color="000000" w:sz="8" w:space="0"/>
              <w:bottom w:val="single" w:color="000000" w:sz="8" w:space="0"/>
              <w:right w:val="single" w:color="000000" w:sz="8" w:space="0"/>
            </w:tcBorders>
            <w:noWrap/>
            <w:vAlign w:val="center"/>
          </w:tcPr>
          <w:p w14:paraId="722102FE">
            <w:pPr>
              <w:spacing w:line="240" w:lineRule="auto"/>
              <w:ind w:firstLine="0" w:firstLineChars="0"/>
              <w:jc w:val="center"/>
              <w:rPr>
                <w:rFonts w:cs="Times New Roman"/>
                <w:color w:val="000000"/>
                <w:sz w:val="20"/>
                <w:szCs w:val="20"/>
              </w:rPr>
            </w:pPr>
            <w:r>
              <w:rPr>
                <w:rFonts w:cs="Times New Roman"/>
                <w:color w:val="000000"/>
                <w:sz w:val="20"/>
                <w:szCs w:val="20"/>
              </w:rPr>
              <w:t>420.24</w:t>
            </w:r>
          </w:p>
        </w:tc>
        <w:tc>
          <w:tcPr>
            <w:tcW w:w="680" w:type="pct"/>
            <w:tcBorders>
              <w:top w:val="nil"/>
              <w:left w:val="single" w:color="000000" w:sz="8" w:space="0"/>
              <w:bottom w:val="single" w:color="000000" w:sz="8" w:space="0"/>
              <w:right w:val="single" w:color="000000" w:sz="8" w:space="0"/>
            </w:tcBorders>
            <w:vAlign w:val="center"/>
          </w:tcPr>
          <w:p w14:paraId="777CB006">
            <w:pPr>
              <w:pStyle w:val="40"/>
              <w:spacing w:line="240" w:lineRule="auto"/>
              <w:rPr>
                <w:rFonts w:hint="default" w:ascii="Times New Roman" w:hAnsi="Times New Roman"/>
                <w:sz w:val="20"/>
                <w:szCs w:val="20"/>
              </w:rPr>
            </w:pPr>
            <w:r>
              <w:rPr>
                <w:rFonts w:ascii="Times New Roman" w:hAnsi="Times New Roman"/>
                <w:sz w:val="20"/>
                <w:szCs w:val="20"/>
              </w:rPr>
              <w:t>0.70</w:t>
            </w:r>
          </w:p>
        </w:tc>
        <w:tc>
          <w:tcPr>
            <w:tcW w:w="1187" w:type="pct"/>
            <w:tcBorders>
              <w:top w:val="nil"/>
              <w:left w:val="single" w:color="000000" w:sz="8" w:space="0"/>
              <w:bottom w:val="single" w:color="000000" w:sz="8" w:space="0"/>
              <w:right w:val="single" w:color="000000" w:sz="8" w:space="0"/>
            </w:tcBorders>
            <w:vAlign w:val="center"/>
          </w:tcPr>
          <w:p w14:paraId="0579C9CC">
            <w:pPr>
              <w:pStyle w:val="40"/>
              <w:spacing w:line="240" w:lineRule="auto"/>
              <w:rPr>
                <w:rFonts w:hint="default" w:ascii="Times New Roman" w:hAnsi="Times New Roman"/>
                <w:sz w:val="20"/>
                <w:szCs w:val="20"/>
              </w:rPr>
            </w:pPr>
            <w:r>
              <w:rPr>
                <w:rFonts w:ascii="Times New Roman" w:hAnsi="Times New Roman"/>
                <w:sz w:val="20"/>
                <w:szCs w:val="20"/>
              </w:rPr>
              <w:t>保持稳定</w:t>
            </w:r>
          </w:p>
        </w:tc>
      </w:tr>
      <w:tr w14:paraId="2E9AC0DA">
        <w:tblPrEx>
          <w:tblCellMar>
            <w:top w:w="0" w:type="dxa"/>
            <w:left w:w="108" w:type="dxa"/>
            <w:bottom w:w="0" w:type="dxa"/>
            <w:right w:w="108" w:type="dxa"/>
          </w:tblCellMar>
        </w:tblPrEx>
        <w:trPr>
          <w:trHeight w:val="20" w:hRule="atLeast"/>
        </w:trPr>
        <w:tc>
          <w:tcPr>
            <w:tcW w:w="2200" w:type="pct"/>
            <w:gridSpan w:val="2"/>
            <w:tcBorders>
              <w:top w:val="nil"/>
              <w:left w:val="single" w:color="000000" w:sz="8" w:space="0"/>
              <w:bottom w:val="single" w:color="auto" w:sz="4" w:space="0"/>
              <w:right w:val="single" w:color="000000" w:sz="8" w:space="0"/>
            </w:tcBorders>
            <w:noWrap/>
            <w:vAlign w:val="center"/>
          </w:tcPr>
          <w:p w14:paraId="14AF9C10">
            <w:pPr>
              <w:spacing w:line="240" w:lineRule="auto"/>
              <w:ind w:firstLine="0" w:firstLineChars="0"/>
              <w:jc w:val="center"/>
              <w:rPr>
                <w:rFonts w:cs="Times New Roman"/>
                <w:color w:val="000000"/>
                <w:sz w:val="20"/>
                <w:szCs w:val="20"/>
              </w:rPr>
            </w:pPr>
            <w:r>
              <w:rPr>
                <w:rFonts w:cs="Times New Roman"/>
                <w:color w:val="000000"/>
                <w:sz w:val="20"/>
                <w:szCs w:val="20"/>
              </w:rPr>
              <w:t>其他土地</w:t>
            </w:r>
          </w:p>
        </w:tc>
        <w:tc>
          <w:tcPr>
            <w:tcW w:w="933" w:type="pct"/>
            <w:tcBorders>
              <w:top w:val="nil"/>
              <w:left w:val="single" w:color="000000" w:sz="8" w:space="0"/>
              <w:bottom w:val="single" w:color="auto" w:sz="4" w:space="0"/>
              <w:right w:val="single" w:color="000000" w:sz="8" w:space="0"/>
            </w:tcBorders>
            <w:noWrap/>
            <w:vAlign w:val="center"/>
          </w:tcPr>
          <w:p w14:paraId="3002C357">
            <w:pPr>
              <w:spacing w:line="240" w:lineRule="auto"/>
              <w:ind w:firstLine="0" w:firstLineChars="0"/>
              <w:jc w:val="center"/>
              <w:rPr>
                <w:rFonts w:cs="Times New Roman"/>
                <w:color w:val="000000"/>
                <w:sz w:val="20"/>
                <w:szCs w:val="20"/>
              </w:rPr>
            </w:pPr>
            <w:r>
              <w:rPr>
                <w:rFonts w:cs="Times New Roman"/>
                <w:color w:val="000000"/>
                <w:sz w:val="20"/>
                <w:szCs w:val="20"/>
              </w:rPr>
              <w:t>13.02</w:t>
            </w:r>
          </w:p>
        </w:tc>
        <w:tc>
          <w:tcPr>
            <w:tcW w:w="680" w:type="pct"/>
            <w:tcBorders>
              <w:top w:val="nil"/>
              <w:left w:val="single" w:color="000000" w:sz="8" w:space="0"/>
              <w:bottom w:val="single" w:color="auto" w:sz="4" w:space="0"/>
              <w:right w:val="single" w:color="000000" w:sz="8" w:space="0"/>
            </w:tcBorders>
            <w:vAlign w:val="center"/>
          </w:tcPr>
          <w:p w14:paraId="750CBCEA">
            <w:pPr>
              <w:pStyle w:val="40"/>
              <w:spacing w:line="240" w:lineRule="auto"/>
              <w:rPr>
                <w:rFonts w:hint="default" w:ascii="Times New Roman" w:hAnsi="Times New Roman"/>
                <w:sz w:val="20"/>
                <w:szCs w:val="20"/>
              </w:rPr>
            </w:pPr>
            <w:r>
              <w:rPr>
                <w:rFonts w:ascii="Times New Roman" w:hAnsi="Times New Roman"/>
                <w:sz w:val="20"/>
                <w:szCs w:val="20"/>
              </w:rPr>
              <w:t>0.02</w:t>
            </w:r>
          </w:p>
        </w:tc>
        <w:tc>
          <w:tcPr>
            <w:tcW w:w="1187" w:type="pct"/>
            <w:tcBorders>
              <w:top w:val="nil"/>
              <w:left w:val="single" w:color="000000" w:sz="8" w:space="0"/>
              <w:bottom w:val="single" w:color="auto" w:sz="4" w:space="0"/>
              <w:right w:val="single" w:color="000000" w:sz="8" w:space="0"/>
            </w:tcBorders>
            <w:vAlign w:val="center"/>
          </w:tcPr>
          <w:p w14:paraId="04B854D2">
            <w:pPr>
              <w:pStyle w:val="40"/>
              <w:spacing w:line="240" w:lineRule="auto"/>
              <w:rPr>
                <w:rFonts w:hint="default" w:ascii="Times New Roman" w:hAnsi="Times New Roman"/>
                <w:sz w:val="20"/>
                <w:szCs w:val="20"/>
              </w:rPr>
            </w:pPr>
            <w:r>
              <w:rPr>
                <w:rFonts w:ascii="Times New Roman" w:hAnsi="Times New Roman"/>
                <w:sz w:val="20"/>
                <w:szCs w:val="20"/>
              </w:rPr>
              <w:t>逐步降低</w:t>
            </w:r>
          </w:p>
        </w:tc>
      </w:tr>
      <w:tr w14:paraId="5562AC6C">
        <w:tblPrEx>
          <w:tblCellMar>
            <w:top w:w="0" w:type="dxa"/>
            <w:left w:w="108" w:type="dxa"/>
            <w:bottom w:w="0" w:type="dxa"/>
            <w:right w:w="108" w:type="dxa"/>
          </w:tblCellMar>
        </w:tblPrEx>
        <w:trPr>
          <w:trHeight w:val="20" w:hRule="atLeast"/>
        </w:trPr>
        <w:tc>
          <w:tcPr>
            <w:tcW w:w="2200" w:type="pct"/>
            <w:gridSpan w:val="2"/>
            <w:tcBorders>
              <w:top w:val="single" w:color="auto" w:sz="4" w:space="0"/>
              <w:left w:val="single" w:color="000000" w:sz="8" w:space="0"/>
              <w:bottom w:val="single" w:color="000000" w:sz="8" w:space="0"/>
              <w:right w:val="single" w:color="000000" w:sz="8" w:space="0"/>
            </w:tcBorders>
            <w:noWrap/>
            <w:vAlign w:val="center"/>
          </w:tcPr>
          <w:p w14:paraId="01E52665">
            <w:pPr>
              <w:spacing w:line="240" w:lineRule="auto"/>
              <w:ind w:firstLine="0" w:firstLineChars="0"/>
              <w:jc w:val="center"/>
              <w:rPr>
                <w:rFonts w:cs="Times New Roman"/>
                <w:color w:val="000000"/>
                <w:sz w:val="20"/>
                <w:szCs w:val="20"/>
              </w:rPr>
            </w:pPr>
            <w:r>
              <w:rPr>
                <w:rFonts w:cs="Times New Roman"/>
                <w:color w:val="000000"/>
                <w:sz w:val="20"/>
                <w:szCs w:val="20"/>
              </w:rPr>
              <w:t>合计</w:t>
            </w:r>
          </w:p>
        </w:tc>
        <w:tc>
          <w:tcPr>
            <w:tcW w:w="933" w:type="pct"/>
            <w:tcBorders>
              <w:top w:val="single" w:color="auto" w:sz="4" w:space="0"/>
              <w:left w:val="single" w:color="000000" w:sz="8" w:space="0"/>
              <w:bottom w:val="single" w:color="000000" w:sz="8" w:space="0"/>
              <w:right w:val="single" w:color="000000" w:sz="8" w:space="0"/>
            </w:tcBorders>
            <w:noWrap/>
            <w:vAlign w:val="center"/>
          </w:tcPr>
          <w:p w14:paraId="4EFE90D6">
            <w:pPr>
              <w:spacing w:line="240" w:lineRule="auto"/>
              <w:ind w:firstLine="0" w:firstLineChars="0"/>
              <w:jc w:val="center"/>
              <w:rPr>
                <w:rFonts w:cs="Times New Roman"/>
                <w:color w:val="000000"/>
                <w:sz w:val="20"/>
                <w:szCs w:val="20"/>
              </w:rPr>
            </w:pPr>
            <w:r>
              <w:rPr>
                <w:rFonts w:hint="eastAsia" w:cs="Times New Roman"/>
                <w:color w:val="000000"/>
                <w:sz w:val="20"/>
                <w:szCs w:val="20"/>
              </w:rPr>
              <w:t>59861.59</w:t>
            </w:r>
          </w:p>
        </w:tc>
        <w:tc>
          <w:tcPr>
            <w:tcW w:w="680" w:type="pct"/>
            <w:tcBorders>
              <w:top w:val="single" w:color="auto" w:sz="4" w:space="0"/>
              <w:left w:val="single" w:color="000000" w:sz="8" w:space="0"/>
              <w:bottom w:val="single" w:color="000000" w:sz="8" w:space="0"/>
              <w:right w:val="single" w:color="000000" w:sz="8" w:space="0"/>
            </w:tcBorders>
            <w:vAlign w:val="center"/>
          </w:tcPr>
          <w:p w14:paraId="170738AA">
            <w:pPr>
              <w:pStyle w:val="40"/>
              <w:spacing w:line="240" w:lineRule="auto"/>
              <w:rPr>
                <w:rFonts w:hint="default" w:ascii="Times New Roman" w:hAnsi="Times New Roman"/>
                <w:sz w:val="20"/>
                <w:szCs w:val="20"/>
              </w:rPr>
            </w:pPr>
            <w:r>
              <w:rPr>
                <w:rFonts w:hint="default" w:ascii="Times New Roman" w:hAnsi="Times New Roman"/>
                <w:sz w:val="20"/>
                <w:szCs w:val="20"/>
              </w:rPr>
              <w:t>100.00</w:t>
            </w:r>
          </w:p>
        </w:tc>
        <w:tc>
          <w:tcPr>
            <w:tcW w:w="1187" w:type="pct"/>
            <w:tcBorders>
              <w:top w:val="single" w:color="auto" w:sz="4" w:space="0"/>
              <w:left w:val="single" w:color="000000" w:sz="8" w:space="0"/>
              <w:bottom w:val="single" w:color="000000" w:sz="8" w:space="0"/>
              <w:right w:val="single" w:color="000000" w:sz="8" w:space="0"/>
            </w:tcBorders>
            <w:vAlign w:val="center"/>
          </w:tcPr>
          <w:p w14:paraId="0B1590DA">
            <w:pPr>
              <w:pStyle w:val="40"/>
              <w:spacing w:line="240" w:lineRule="auto"/>
              <w:rPr>
                <w:rFonts w:hint="default" w:ascii="Times New Roman" w:hAnsi="Times New Roman"/>
                <w:sz w:val="20"/>
                <w:szCs w:val="20"/>
              </w:rPr>
            </w:pPr>
          </w:p>
        </w:tc>
      </w:tr>
    </w:tbl>
    <w:p w14:paraId="457D9209">
      <w:pPr>
        <w:ind w:firstLine="640"/>
        <w:rPr>
          <w:rFonts w:cs="Times New Roman"/>
          <w:color w:val="FF0000"/>
          <w:u w:val="single"/>
        </w:rPr>
      </w:pPr>
    </w:p>
    <w:p w14:paraId="7D584533">
      <w:pPr>
        <w:pStyle w:val="2"/>
        <w:spacing w:before="312" w:after="312"/>
        <w:rPr>
          <w:rFonts w:ascii="Times New Roman" w:hAnsi="Times New Roman" w:cs="Times New Roman"/>
        </w:rPr>
      </w:pPr>
      <w:bookmarkStart w:id="42" w:name="_Toc24892"/>
      <w:bookmarkStart w:id="43" w:name="_Toc26552"/>
      <w:bookmarkStart w:id="44" w:name="_Toc185931297"/>
      <w:bookmarkStart w:id="45" w:name="_Toc10283"/>
      <w:r>
        <w:rPr>
          <w:rFonts w:ascii="Times New Roman" w:hAnsi="Times New Roman" w:cs="Times New Roman"/>
        </w:rPr>
        <w:t>第四章 资源保护与利用</w:t>
      </w:r>
      <w:bookmarkEnd w:id="42"/>
      <w:bookmarkEnd w:id="43"/>
      <w:bookmarkEnd w:id="44"/>
      <w:bookmarkEnd w:id="45"/>
    </w:p>
    <w:p w14:paraId="3E639EE1">
      <w:pPr>
        <w:pStyle w:val="3"/>
        <w:rPr>
          <w:rFonts w:ascii="Times New Roman" w:hAnsi="Times New Roman" w:cs="Times New Roman"/>
        </w:rPr>
      </w:pPr>
      <w:bookmarkStart w:id="46" w:name="_Toc2827"/>
      <w:bookmarkStart w:id="47" w:name="_Toc185931298"/>
      <w:bookmarkStart w:id="48" w:name="_Toc18224"/>
      <w:bookmarkStart w:id="49" w:name="_Toc26817"/>
      <w:r>
        <w:rPr>
          <w:rFonts w:ascii="Times New Roman" w:hAnsi="Times New Roman" w:cs="Times New Roman"/>
        </w:rPr>
        <w:t>第一节 耕地资源</w:t>
      </w:r>
      <w:bookmarkEnd w:id="46"/>
      <w:bookmarkEnd w:id="47"/>
      <w:bookmarkEnd w:id="48"/>
      <w:bookmarkEnd w:id="49"/>
    </w:p>
    <w:p w14:paraId="0ED2E034">
      <w:pPr>
        <w:pStyle w:val="4"/>
        <w:numPr>
          <w:ilvl w:val="0"/>
          <w:numId w:val="9"/>
        </w:numPr>
        <w:ind w:left="420" w:firstLine="361" w:firstLineChars="113"/>
      </w:pPr>
      <w:r>
        <w:t>严守耕地数量</w:t>
      </w:r>
    </w:p>
    <w:p w14:paraId="4AEFE2C9">
      <w:pPr>
        <w:ind w:firstLine="640"/>
        <w:rPr>
          <w:rFonts w:cs="Times New Roman"/>
        </w:rPr>
      </w:pPr>
      <w:r>
        <w:rPr>
          <w:rFonts w:hint="eastAsia"/>
        </w:rPr>
        <w:t>坚持最严格的耕地和永久基本农田保护制度，科学合理利用耕地资源，坚持耕地保护优先，强化耕地数量质量双重保护，坚决制止耕地尤其是永久基本农田“非农化”、防止耕地“非粮化”，确保粮食安全。严格落实上级规划下达的耕地保护目标和永久基本农田保护任务。规划期间，全镇耕地保有量不低于113,977.8亩（7598.52公顷）以上。</w:t>
      </w:r>
    </w:p>
    <w:p w14:paraId="6FDC2630">
      <w:pPr>
        <w:pStyle w:val="4"/>
        <w:numPr>
          <w:ilvl w:val="0"/>
          <w:numId w:val="1"/>
        </w:numPr>
        <w:ind w:left="860" w:firstLine="361" w:firstLineChars="113"/>
      </w:pPr>
      <w:r>
        <w:t>提升耕地质量</w:t>
      </w:r>
    </w:p>
    <w:p w14:paraId="6BB1F23A">
      <w:pPr>
        <w:ind w:firstLine="640"/>
        <w:rPr>
          <w:rFonts w:cs="Times New Roman"/>
        </w:rPr>
      </w:pPr>
      <w:r>
        <w:rPr>
          <w:rFonts w:cs="Times New Roman"/>
        </w:rPr>
        <w:t>切实加强耕地质量建设。全面推进建设占用耕地耕作层剥离再利用，用于劣质耕地或新开垦耕地提质。因地制宜实施坡改梯工程建设，在尊重村民意愿的前提下，实施旱改水工程，对现有耕地进行提质改造，开展退化耕地综合治理、污染耕地阻控修复等，有效提高耕地产能。</w:t>
      </w:r>
    </w:p>
    <w:p w14:paraId="24A67F67">
      <w:pPr>
        <w:ind w:firstLine="640"/>
        <w:rPr>
          <w:rFonts w:cs="Times New Roman"/>
        </w:rPr>
      </w:pPr>
      <w:r>
        <w:rPr>
          <w:rFonts w:cs="Times New Roman"/>
        </w:rPr>
        <w:t>推动耕地生态环境质量提升。严格控制污染耕地，加大耕地污染防治力度，提升土壤质量，防范新增污染。严格预防耕地灾毁，加强自然灾害防御措施，控制人为活动损毁耕地，强化灾毁耕地治理。</w:t>
      </w:r>
    </w:p>
    <w:p w14:paraId="22724E4A">
      <w:pPr>
        <w:pStyle w:val="4"/>
        <w:numPr>
          <w:ilvl w:val="0"/>
          <w:numId w:val="1"/>
        </w:numPr>
        <w:ind w:left="860" w:firstLine="361" w:firstLineChars="113"/>
      </w:pPr>
      <w:r>
        <w:t>完善永久基本农田储备区制度</w:t>
      </w:r>
    </w:p>
    <w:p w14:paraId="16322562">
      <w:pPr>
        <w:ind w:firstLine="640"/>
        <w:rPr>
          <w:rFonts w:cs="Times New Roman"/>
        </w:rPr>
      </w:pPr>
      <w:r>
        <w:rPr>
          <w:rFonts w:cs="Times New Roman"/>
        </w:rPr>
        <w:t>加大实施补充耕地力度。统筹实施农用地整理、城乡建设用地增减挂钩、历史遗留工矿废弃地复垦、宜耕后备资源开发等工程，拓展补充耕地途径，增加有效耕地面积。落实补充耕地质量验收制度，完善后续管护和再评价机制。</w:t>
      </w:r>
    </w:p>
    <w:p w14:paraId="1CD0D26E">
      <w:pPr>
        <w:ind w:firstLine="640"/>
        <w:rPr>
          <w:rFonts w:cs="Times New Roman"/>
        </w:rPr>
      </w:pPr>
      <w:r>
        <w:rPr>
          <w:rFonts w:cs="Times New Roman"/>
        </w:rPr>
        <w:t>加强永久基本农田保护和建设。优先把优质耕地、高标准农田划为永久基本农田，以永久基本农田为基础，优先在粮食生产功能区、重要农产品生产保护区建设高标准农田，逐步把永久基本农田全部建成旱涝保收的高标准农田。经依法批准确需占用永久基本农田的，应先补建后占用。完善永久基本农田保护储备区制度。土地整治和新建高标准农田增加的优质耕地应当优先补划为永久基本农田。在永久基本农田集中分布地区，不得规划新建可能造成污染的建设项目。</w:t>
      </w:r>
    </w:p>
    <w:p w14:paraId="122597C9">
      <w:pPr>
        <w:pStyle w:val="4"/>
        <w:numPr>
          <w:ilvl w:val="0"/>
          <w:numId w:val="1"/>
        </w:numPr>
        <w:ind w:left="860" w:firstLine="361" w:firstLineChars="113"/>
      </w:pPr>
      <w:r>
        <w:t>落实耕地占补平衡</w:t>
      </w:r>
    </w:p>
    <w:p w14:paraId="473CBAFB">
      <w:pPr>
        <w:ind w:firstLine="640"/>
        <w:rPr>
          <w:rFonts w:cs="Times New Roman"/>
        </w:rPr>
      </w:pPr>
      <w:r>
        <w:rPr>
          <w:rFonts w:cs="Times New Roman"/>
        </w:rPr>
        <w:t>严格控制建设占用耕地特别是永久基本农田，确需占用耕地的应尽量占用低等别耕地，并积极落实“占补平衡”制度，坚持“以补定占”，严格落实耕地“占一补一、先补后占、占优补优、占水田补水田”，严控占用、严格补充、严守总量，强化耕地占补平衡实施监管，落实耕地占补平衡责任制度，确保补充数量质量双到位。</w:t>
      </w:r>
    </w:p>
    <w:p w14:paraId="7FDE1B87">
      <w:pPr>
        <w:pStyle w:val="3"/>
        <w:rPr>
          <w:rFonts w:ascii="Times New Roman" w:hAnsi="Times New Roman" w:cs="Times New Roman"/>
          <w:color w:val="auto"/>
        </w:rPr>
      </w:pPr>
      <w:bookmarkStart w:id="50" w:name="_Toc20581"/>
      <w:bookmarkStart w:id="51" w:name="_Toc20506"/>
      <w:bookmarkStart w:id="52" w:name="_Toc24993"/>
      <w:bookmarkStart w:id="53" w:name="_Toc185931299"/>
      <w:r>
        <w:rPr>
          <w:rFonts w:ascii="Times New Roman" w:hAnsi="Times New Roman" w:cs="Times New Roman"/>
          <w:color w:val="auto"/>
        </w:rPr>
        <w:t>第二节 水资源</w:t>
      </w:r>
      <w:bookmarkEnd w:id="50"/>
      <w:bookmarkEnd w:id="51"/>
      <w:bookmarkEnd w:id="52"/>
      <w:bookmarkEnd w:id="53"/>
    </w:p>
    <w:p w14:paraId="06D2FCE9">
      <w:pPr>
        <w:pStyle w:val="4"/>
        <w:numPr>
          <w:ilvl w:val="0"/>
          <w:numId w:val="10"/>
        </w:numPr>
        <w:ind w:left="420" w:firstLine="361" w:firstLineChars="113"/>
      </w:pPr>
      <w:r>
        <w:t>加强水资源保护</w:t>
      </w:r>
    </w:p>
    <w:p w14:paraId="673D3BA7">
      <w:pPr>
        <w:ind w:firstLine="640"/>
      </w:pPr>
      <w:r>
        <w:rPr>
          <w:rFonts w:hint="eastAsia"/>
        </w:rPr>
        <w:t>依法划定河湖岸线保护和管理范围，严格落实河道管理范围内退耕退林有关规定，保护河湖水域空间。严控水资源利用上限，强化水资源保护，提升水环境容量，推进水利基础设施建设，保证城乡供水安全。严控用水总量与水质管控、加强河湖资源保护、提高水资源利用水平等。</w:t>
      </w:r>
    </w:p>
    <w:p w14:paraId="33265AAC">
      <w:pPr>
        <w:ind w:firstLine="640"/>
      </w:pPr>
      <w:r>
        <w:rPr>
          <w:rFonts w:hint="eastAsia"/>
        </w:rPr>
        <w:t>根据国家《生活饮用水卫生标准》（</w:t>
      </w:r>
      <w:r>
        <w:t>GB5749-2006）和《地面水环境质量标准》（GB3838-2002）中水源卫生保护规定，划定水源保护区，保护区必须执行国家水源相关保护条例，保证取水点的水质符合饮用水水源水质标准。</w:t>
      </w:r>
    </w:p>
    <w:p w14:paraId="61714CA1">
      <w:pPr>
        <w:ind w:firstLine="640"/>
      </w:pPr>
      <w:r>
        <w:t>合理开发水资源，避免水资源破坏。实施</w:t>
      </w:r>
      <w:r>
        <w:rPr>
          <w:rFonts w:hint="eastAsia"/>
        </w:rPr>
        <w:t>“</w:t>
      </w:r>
      <w:r>
        <w:t>生态涵水</w:t>
      </w:r>
      <w:r>
        <w:rPr>
          <w:rFonts w:hint="eastAsia"/>
        </w:rPr>
        <w:t>”</w:t>
      </w:r>
      <w:r>
        <w:t>战略，涵水于地、涵水于林草，实现</w:t>
      </w:r>
      <w:r>
        <w:rPr>
          <w:rFonts w:hint="eastAsia"/>
        </w:rPr>
        <w:t>“</w:t>
      </w:r>
      <w:r>
        <w:t>以水带绿，以绿养水，以林护岸</w:t>
      </w:r>
      <w:r>
        <w:rPr>
          <w:rFonts w:hint="eastAsia"/>
        </w:rPr>
        <w:t>”</w:t>
      </w:r>
      <w:r>
        <w:t>，进一步增强全</w:t>
      </w:r>
      <w:r>
        <w:rPr>
          <w:rFonts w:hint="eastAsia"/>
        </w:rPr>
        <w:t>街道</w:t>
      </w:r>
      <w:r>
        <w:t>水源涵养能力。实施</w:t>
      </w:r>
      <w:r>
        <w:rPr>
          <w:rFonts w:hint="eastAsia"/>
        </w:rPr>
        <w:t>“</w:t>
      </w:r>
      <w:r>
        <w:t>管理节水</w:t>
      </w:r>
      <w:r>
        <w:rPr>
          <w:rFonts w:hint="eastAsia"/>
        </w:rPr>
        <w:t>”</w:t>
      </w:r>
      <w:r>
        <w:t>战略，提升可持续发展能力。坚持</w:t>
      </w:r>
      <w:r>
        <w:rPr>
          <w:rFonts w:hint="eastAsia"/>
        </w:rPr>
        <w:t>“</w:t>
      </w:r>
      <w:r>
        <w:t>以水定产、以水定城</w:t>
      </w:r>
      <w:r>
        <w:rPr>
          <w:rFonts w:hint="eastAsia"/>
        </w:rPr>
        <w:t>”</w:t>
      </w:r>
      <w:r>
        <w:t>，全面落实水资源管理制度，落实水资源消耗总量与强度双控制，加快节水型社会建设</w:t>
      </w:r>
      <w:r>
        <w:rPr>
          <w:rFonts w:hint="eastAsia"/>
        </w:rPr>
        <w:t>。</w:t>
      </w:r>
    </w:p>
    <w:p w14:paraId="529595A7">
      <w:pPr>
        <w:ind w:firstLine="640"/>
      </w:pPr>
      <w:r>
        <w:rPr>
          <w:rFonts w:hint="eastAsia"/>
        </w:rPr>
        <w:t>优化水资源配置，提高水资源利用率。按照用水需求，科学合理配置水资源。加大水资源的利用率，实现循环利用，节约用水。大力实现废水的资源化，利用处理后的废水开展市政建设、城镇基础设施建设等，充分利用水资源，缓解水资源的矛盾。</w:t>
      </w:r>
    </w:p>
    <w:p w14:paraId="4F9B075A">
      <w:pPr>
        <w:ind w:firstLine="640"/>
      </w:pPr>
      <w:r>
        <w:rPr>
          <w:rFonts w:hint="eastAsia"/>
        </w:rPr>
        <w:t>大力倡导节水型产业，实施建设项目节水制度。对全街道所有新建、改建、扩建项目必须进行用水节水项目审查。新建工程或民用建筑供水系统要有节水措施和节水系统</w:t>
      </w:r>
      <w:r>
        <w:rPr>
          <w:rFonts w:hint="eastAsia" w:hAnsi="仿宋_GB2312" w:cs="仿宋_GB2312"/>
        </w:rPr>
        <w:t>，否则不予审批，不准开工。审查验收新建、改建、扩建项目用水节水评估报告、施工图和建设工程验收。确保建设项目全周期节水。</w:t>
      </w:r>
    </w:p>
    <w:p w14:paraId="0975DFD1">
      <w:pPr>
        <w:ind w:firstLine="640"/>
        <w:rPr>
          <w:rFonts w:cs="Times New Roman"/>
        </w:rPr>
      </w:pPr>
      <w:r>
        <w:rPr>
          <w:rFonts w:hint="eastAsia"/>
        </w:rPr>
        <w:t>加强水环境生态治理，控源、截污与河段清淤相结合，实施河流水质目标管理，全面治理工业污染源。强化城镇、乡村污水收集处理，有效治理农业面源污染，打造良好河流生态环境</w:t>
      </w:r>
      <w:r>
        <w:t>。</w:t>
      </w:r>
    </w:p>
    <w:p w14:paraId="0A17F96B">
      <w:pPr>
        <w:pStyle w:val="4"/>
        <w:numPr>
          <w:ilvl w:val="0"/>
          <w:numId w:val="1"/>
        </w:numPr>
        <w:ind w:left="860" w:firstLine="361" w:firstLineChars="113"/>
      </w:pPr>
      <w:r>
        <w:t>河流水系保护</w:t>
      </w:r>
    </w:p>
    <w:p w14:paraId="54C842F4">
      <w:pPr>
        <w:ind w:firstLine="640"/>
        <w:rPr>
          <w:rFonts w:cs="Times New Roman"/>
        </w:rPr>
      </w:pPr>
      <w: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rPr>
        <w:t>项目选址中，涉及饮用水水源保护区时，按照《中华人民共和国水污染防治法》、《辽宁省水污染防治条例》等相关规定执行。</w:t>
      </w:r>
    </w:p>
    <w:p w14:paraId="21BD769D">
      <w:pPr>
        <w:pStyle w:val="4"/>
        <w:numPr>
          <w:ilvl w:val="0"/>
          <w:numId w:val="1"/>
        </w:numPr>
        <w:ind w:left="860" w:firstLine="361" w:firstLineChars="113"/>
      </w:pPr>
      <w:r>
        <w:t>建设节水型社会</w:t>
      </w:r>
    </w:p>
    <w:p w14:paraId="7C7C350E">
      <w:pPr>
        <w:ind w:firstLine="640"/>
        <w:rPr>
          <w:rFonts w:cs="Times New Roman"/>
        </w:rPr>
      </w:pPr>
      <w:r>
        <w:rPr>
          <w:rFonts w:cs="Times New Roman"/>
        </w:rPr>
        <w:t>全面推进节水型社会建设，加强工业、农业、城乡节水改造，大力推广工业节水工艺和农业节水灌溉技术，大力倡导节水型产业，实施建设项目节水制度。统筹考虑水资源保护、雨水利用、再生水利用、新水源开发等各项措施，进行统一规划和科学管理，合理利用多种水资源。</w:t>
      </w:r>
    </w:p>
    <w:p w14:paraId="440C59FD">
      <w:pPr>
        <w:pStyle w:val="3"/>
        <w:rPr>
          <w:rFonts w:ascii="Times New Roman" w:hAnsi="Times New Roman" w:cs="Times New Roman"/>
        </w:rPr>
      </w:pPr>
      <w:bookmarkStart w:id="54" w:name="_Toc25302"/>
      <w:bookmarkStart w:id="55" w:name="_Toc17679"/>
      <w:bookmarkStart w:id="56" w:name="_Toc4338"/>
      <w:bookmarkStart w:id="57" w:name="_Toc185931300"/>
      <w:r>
        <w:rPr>
          <w:rFonts w:ascii="Times New Roman" w:hAnsi="Times New Roman" w:cs="Times New Roman"/>
        </w:rPr>
        <w:t>第三节 湿地资源</w:t>
      </w:r>
      <w:bookmarkEnd w:id="54"/>
      <w:bookmarkEnd w:id="55"/>
      <w:bookmarkEnd w:id="56"/>
      <w:bookmarkEnd w:id="57"/>
    </w:p>
    <w:p w14:paraId="28E51B26">
      <w:pPr>
        <w:pStyle w:val="4"/>
        <w:numPr>
          <w:ilvl w:val="0"/>
          <w:numId w:val="11"/>
        </w:numPr>
        <w:ind w:left="420" w:firstLine="361" w:firstLineChars="113"/>
      </w:pPr>
      <w:r>
        <w:rPr>
          <w:rFonts w:hint="eastAsia"/>
        </w:rPr>
        <w:t>加强</w:t>
      </w:r>
      <w:r>
        <w:t>湿地保护</w:t>
      </w:r>
    </w:p>
    <w:p w14:paraId="784F4B48">
      <w:pPr>
        <w:ind w:firstLine="640"/>
      </w:pPr>
      <w:bookmarkStart w:id="58" w:name="_Hlk131003627"/>
      <w:r>
        <w:rPr>
          <w:rFonts w:hint="eastAsia"/>
        </w:rPr>
        <w:t>严格实行湿地面积总量管控制度，将湿地总量管控目标纳入湿地保护目标责任制</w:t>
      </w:r>
      <w:r>
        <w:t>。确需占用</w:t>
      </w:r>
      <w:r>
        <w:rPr>
          <w:rFonts w:hint="eastAsia"/>
        </w:rPr>
        <w:t>纳入生态红线以外的</w:t>
      </w:r>
      <w:r>
        <w:t>湿地并转为其他用途的，用地单位要按照</w:t>
      </w:r>
      <w:r>
        <w:rPr>
          <w:rFonts w:hint="eastAsia"/>
        </w:rPr>
        <w:t>“</w:t>
      </w:r>
      <w:r>
        <w:t>先补后占、占补平衡</w:t>
      </w:r>
      <w:r>
        <w:rPr>
          <w:rFonts w:hint="eastAsia"/>
        </w:rPr>
        <w:t>”</w:t>
      </w:r>
      <w:r>
        <w:t>的原则，负责恢复或重建与所占湿地面积和质量相当的湿地，确保湿地面积不减少，通过实施退耕还湿、退养还湿、排水退化湿地恢复和盐碱化土地复湿等增加湿地面积</w:t>
      </w:r>
      <w:bookmarkEnd w:id="58"/>
      <w:r>
        <w:t>。</w:t>
      </w:r>
      <w:r>
        <w:rPr>
          <w:rFonts w:hint="eastAsia"/>
        </w:rPr>
        <w:t>落实湿地总量管控、维护和修复湿地生态功能。</w:t>
      </w:r>
    </w:p>
    <w:p w14:paraId="1507F821">
      <w:pPr>
        <w:pStyle w:val="4"/>
        <w:numPr>
          <w:ilvl w:val="0"/>
          <w:numId w:val="1"/>
        </w:numPr>
        <w:ind w:left="860" w:firstLine="362"/>
      </w:pPr>
      <w:r>
        <w:rPr>
          <w:rFonts w:hint="eastAsia"/>
        </w:rPr>
        <w:t>恢复治理功能退化湿地</w:t>
      </w:r>
    </w:p>
    <w:p w14:paraId="6DC6BDE9">
      <w:pPr>
        <w:ind w:firstLine="640"/>
      </w:pPr>
      <w:r>
        <w:rPr>
          <w:rFonts w:hint="eastAsia"/>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p w14:paraId="7C708F1F">
      <w:pPr>
        <w:ind w:firstLine="640"/>
        <w:rPr>
          <w:rFonts w:cs="Times New Roman"/>
        </w:rPr>
      </w:pPr>
    </w:p>
    <w:p w14:paraId="052FA5A8">
      <w:pPr>
        <w:pStyle w:val="3"/>
        <w:rPr>
          <w:rFonts w:ascii="Times New Roman" w:hAnsi="Times New Roman" w:cs="Times New Roman"/>
        </w:rPr>
      </w:pPr>
      <w:bookmarkStart w:id="59" w:name="_Toc30693"/>
      <w:bookmarkStart w:id="60" w:name="_Toc185931301"/>
      <w:bookmarkStart w:id="61" w:name="_Toc12737"/>
      <w:bookmarkStart w:id="62" w:name="_Toc6070"/>
      <w:r>
        <w:rPr>
          <w:rFonts w:ascii="Times New Roman" w:hAnsi="Times New Roman" w:cs="Times New Roman"/>
        </w:rPr>
        <w:t>第四节 林草资源</w:t>
      </w:r>
      <w:bookmarkEnd w:id="59"/>
      <w:bookmarkEnd w:id="60"/>
      <w:bookmarkEnd w:id="61"/>
      <w:bookmarkEnd w:id="62"/>
    </w:p>
    <w:p w14:paraId="0FF2C838">
      <w:pPr>
        <w:pStyle w:val="4"/>
        <w:numPr>
          <w:ilvl w:val="0"/>
          <w:numId w:val="12"/>
        </w:numPr>
        <w:ind w:left="420" w:firstLine="361" w:firstLineChars="113"/>
      </w:pPr>
      <w:r>
        <w:t>加强森林资源保护</w:t>
      </w:r>
    </w:p>
    <w:p w14:paraId="6FF7C9EF">
      <w:pPr>
        <w:ind w:firstLine="640"/>
        <w:rPr>
          <w:rFonts w:cs="Times New Roman"/>
        </w:rPr>
      </w:pPr>
      <w:r>
        <w:rPr>
          <w:rFonts w:cs="Times New Roman"/>
          <w:color w:val="000000"/>
          <w:lang w:bidi="ar"/>
        </w:rPr>
        <w:t>大力维护森林资源，稳步推进提升林分质量为主的中幼龄林抚育和退化林修复工作。大力推进</w:t>
      </w:r>
      <w:r>
        <w:rPr>
          <w:rFonts w:hint="eastAsia" w:cs="Times New Roman"/>
          <w:color w:val="000000"/>
          <w:lang w:bidi="ar"/>
        </w:rPr>
        <w:t>辽宁老秃顶子国家级自然保护区、辽宁本溪国家地质公园</w:t>
      </w:r>
      <w:r>
        <w:rPr>
          <w:rFonts w:cs="Times New Roman"/>
          <w:color w:val="000000"/>
          <w:lang w:bidi="ar"/>
        </w:rPr>
        <w:t>建设，强化对林地的整体保护。</w:t>
      </w:r>
      <w:r>
        <w:rPr>
          <w:rFonts w:cs="Times New Roman"/>
          <w:lang w:bidi="ar"/>
        </w:rPr>
        <w:t>规</w:t>
      </w:r>
      <w:r>
        <w:rPr>
          <w:rFonts w:cs="Times New Roman"/>
          <w:color w:val="000000"/>
          <w:lang w:bidi="ar"/>
        </w:rPr>
        <w:t>划期间林地面积保持稳定，确保森林覆盖率和林地保有量达到上级下达任务要求。</w:t>
      </w:r>
    </w:p>
    <w:p w14:paraId="100ABB81">
      <w:pPr>
        <w:ind w:firstLine="640"/>
        <w:rPr>
          <w:rFonts w:cs="Times New Roman"/>
        </w:rPr>
      </w:pPr>
      <w:r>
        <w:rPr>
          <w:rFonts w:cs="Times New Roman"/>
          <w:color w:val="000000"/>
          <w:lang w:bidi="ar"/>
        </w:rPr>
        <w:t>积极推进造林绿化工程。通过开展适宜造林绿化空间的调</w:t>
      </w:r>
      <w:r>
        <w:rPr>
          <w:rFonts w:cs="Times New Roman"/>
          <w:color w:val="000000" w:themeColor="text1"/>
          <w:lang w:bidi="ar"/>
          <w14:textFill>
            <w14:solidFill>
              <w14:schemeClr w14:val="tx1"/>
            </w14:solidFill>
          </w14:textFill>
        </w:rPr>
        <w:t>查评估工作</w:t>
      </w:r>
      <w:r>
        <w:rPr>
          <w:rFonts w:cs="Times New Roman"/>
        </w:rPr>
        <w:t>，</w:t>
      </w:r>
      <w:r>
        <w:rPr>
          <w:rFonts w:cs="Times New Roman"/>
          <w:color w:val="000000"/>
          <w:lang w:bidi="ar"/>
        </w:rPr>
        <w:t>空间内优先选择乡土树种实施植树造林工程，促进生态环境健康发展。</w:t>
      </w:r>
    </w:p>
    <w:p w14:paraId="06C80A13">
      <w:pPr>
        <w:ind w:firstLine="640"/>
        <w:rPr>
          <w:rFonts w:cs="Times New Roman"/>
        </w:rPr>
      </w:pPr>
      <w:r>
        <w:rPr>
          <w:rFonts w:cs="Times New Roman"/>
          <w:color w:val="000000"/>
          <w:lang w:bidi="ar"/>
        </w:rPr>
        <w:t>大力提升森林质量。规划期间，加固全域生态保护屏障，提高生态环境质量。实施封山育林，坚持“以封为主，封育结合”原则，加大对天然林、生态公益林等林地保护力度，优化森林组成、结构和功能，营造水土保持林、水源涵养林，全面提升水土保持、水源涵养和生物多样性维护功能。加大森林防火和有害生物防治力度。保障以山体和水体为骨架的生态过程连续性和生态系统稳定性，构建山体、林田、水系共生的生态基础设施格局，稳定国土生态安全屏障防护功能。在不影响整体森林生态系统功能发挥和破坏森林植被的前提下，科学发展林下经济，增强生态产品供给能力。</w:t>
      </w:r>
    </w:p>
    <w:p w14:paraId="433735F2">
      <w:pPr>
        <w:pStyle w:val="4"/>
        <w:numPr>
          <w:ilvl w:val="0"/>
          <w:numId w:val="1"/>
        </w:numPr>
        <w:ind w:left="860" w:firstLine="361" w:firstLineChars="113"/>
      </w:pPr>
      <w:r>
        <w:t>加强草地资源保护</w:t>
      </w:r>
    </w:p>
    <w:p w14:paraId="381D63D9">
      <w:pPr>
        <w:ind w:firstLine="640"/>
        <w:rPr>
          <w:rFonts w:cs="Times New Roman"/>
        </w:rPr>
      </w:pPr>
      <w:r>
        <w:rPr>
          <w:rFonts w:cs="Times New Roman"/>
          <w:lang w:bidi="ar"/>
        </w:rPr>
        <w:t>华来镇现状草地主要是其他草地，规划期间草地面积总体略有下降。大力维护天然牧草地，合理利用草地资源，有序实施草地生态修复与综合治理，提升草地生态质量，最大程度保护原生植被不</w:t>
      </w:r>
      <w:r>
        <w:rPr>
          <w:rFonts w:cs="Times New Roman"/>
          <w:color w:val="000000"/>
          <w:lang w:bidi="ar"/>
        </w:rPr>
        <w:t>受破坏，增加草地物种生物多样性，维护草地生态系统稳定性，稳固草地在防风固沙、水土保持等方面的积极作用。</w:t>
      </w:r>
    </w:p>
    <w:p w14:paraId="5A8C5AFD">
      <w:pPr>
        <w:pStyle w:val="3"/>
        <w:rPr>
          <w:rFonts w:ascii="Times New Roman" w:hAnsi="Times New Roman" w:cs="Times New Roman"/>
        </w:rPr>
      </w:pPr>
      <w:bookmarkStart w:id="63" w:name="_Toc4064"/>
      <w:bookmarkStart w:id="64" w:name="_Toc25413"/>
      <w:bookmarkStart w:id="65" w:name="_Toc185931302"/>
      <w:bookmarkStart w:id="66" w:name="_Toc31603"/>
      <w:r>
        <w:rPr>
          <w:rFonts w:ascii="Times New Roman" w:hAnsi="Times New Roman" w:cs="Times New Roman"/>
        </w:rPr>
        <w:t>第五节 矿产资源</w:t>
      </w:r>
      <w:bookmarkEnd w:id="63"/>
      <w:bookmarkEnd w:id="64"/>
      <w:bookmarkEnd w:id="65"/>
      <w:bookmarkEnd w:id="66"/>
    </w:p>
    <w:p w14:paraId="558B8FF9">
      <w:pPr>
        <w:pStyle w:val="4"/>
        <w:numPr>
          <w:ilvl w:val="0"/>
          <w:numId w:val="13"/>
        </w:numPr>
        <w:ind w:left="420" w:firstLine="361" w:firstLineChars="113"/>
      </w:pPr>
      <w:r>
        <w:t>合理利用矿产资源</w:t>
      </w:r>
    </w:p>
    <w:p w14:paraId="661F2B28">
      <w:pPr>
        <w:ind w:firstLine="640"/>
        <w:rPr>
          <w:rFonts w:cs="Times New Roman"/>
        </w:rPr>
      </w:pPr>
      <w:r>
        <w:rPr>
          <w:rFonts w:cs="Times New Roman"/>
        </w:rP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鼓励矿山企业加强低品位、难选冶、共伴生矿产资源以及尾矿、废石等废弃物的综合利用，科学利用地下开采矿山坑采废石、露天开采矿山覆盖层、夹层及矿体顶底板岩石，不断提升矿产资源节约与综合利用水平。</w:t>
      </w:r>
    </w:p>
    <w:p w14:paraId="54C7865B">
      <w:pPr>
        <w:pStyle w:val="4"/>
        <w:numPr>
          <w:ilvl w:val="0"/>
          <w:numId w:val="1"/>
        </w:numPr>
        <w:ind w:left="860" w:firstLine="361" w:firstLineChars="113"/>
      </w:pPr>
      <w:r>
        <w:t>积极发展绿色矿山</w:t>
      </w:r>
    </w:p>
    <w:p w14:paraId="057A2F53">
      <w:pPr>
        <w:ind w:firstLine="640"/>
        <w:rPr>
          <w:rFonts w:cs="Times New Roman"/>
        </w:rPr>
      </w:pPr>
      <w:r>
        <w:rPr>
          <w:rFonts w:cs="Times New Roman"/>
        </w:rPr>
        <w:t>加大矿山地质环境保护与治理力度，发展绿色矿山，切实推进绿色矿山建设进程。新建矿山全部按照绿色矿山标准进行规划、设计、建设和运营管理，积极推动已有矿山加快升级改造，逐步达到绿色矿山标准。</w:t>
      </w:r>
    </w:p>
    <w:p w14:paraId="3B762399">
      <w:pPr>
        <w:pStyle w:val="3"/>
        <w:rPr>
          <w:rFonts w:ascii="Times New Roman" w:hAnsi="Times New Roman" w:cs="Times New Roman"/>
        </w:rPr>
      </w:pPr>
      <w:bookmarkStart w:id="67" w:name="_Toc8412"/>
      <w:bookmarkStart w:id="68" w:name="_Toc17834"/>
      <w:bookmarkStart w:id="69" w:name="_Toc185931303"/>
      <w:bookmarkStart w:id="70" w:name="_Toc1426"/>
      <w:r>
        <w:rPr>
          <w:rFonts w:ascii="Times New Roman" w:hAnsi="Times New Roman" w:cs="Times New Roman"/>
        </w:rPr>
        <w:t>第六节 历史文化资源</w:t>
      </w:r>
      <w:bookmarkEnd w:id="67"/>
      <w:bookmarkEnd w:id="68"/>
      <w:bookmarkEnd w:id="69"/>
      <w:bookmarkEnd w:id="70"/>
    </w:p>
    <w:p w14:paraId="3E407102">
      <w:pPr>
        <w:pStyle w:val="4"/>
        <w:numPr>
          <w:ilvl w:val="0"/>
          <w:numId w:val="14"/>
        </w:numPr>
        <w:ind w:left="420" w:firstLine="361" w:firstLineChars="113"/>
      </w:pPr>
      <w:bookmarkStart w:id="71" w:name="_Toc381693"/>
      <w:r>
        <w:t>完善历史文化保护体系</w:t>
      </w:r>
      <w:bookmarkEnd w:id="71"/>
    </w:p>
    <w:p w14:paraId="493C3E0E">
      <w:pPr>
        <w:ind w:firstLine="640"/>
        <w:rPr>
          <w:rFonts w:cs="Times New Roman"/>
        </w:rPr>
      </w:pPr>
      <w:r>
        <w:rPr>
          <w:rFonts w:cs="Times New Roman"/>
        </w:rPr>
        <w:t>大力挖掘华来镇乡土文化、地域文化、红色文化、民俗文化等特色资源，注重地方历史文化传承。做好</w:t>
      </w:r>
      <w:r>
        <w:rPr>
          <w:rFonts w:hint="eastAsia" w:cs="Times New Roman"/>
        </w:rPr>
        <w:t>全国重点文物保护单位高俭地山城、冯家堡子墓群，市级重点文物保护单位半截沟古战场、吴荣沟遗址、二户来革命烈士陵园、二户来歪脖望战斗遗址、釜山遗址、铧尖子革命烈士陵园及纪念碑、木盂子仙人洞桓兴县委成立大会遗址等</w:t>
      </w:r>
      <w:r>
        <w:rPr>
          <w:rFonts w:cs="Times New Roman"/>
        </w:rPr>
        <w:t>各级文物保护单位的保护工作，以文物保护单位为主，补充具有历史文化价值的历史建筑、古树名木、街巷格局等，以地方多元文化为主题，展示和传承地方饮食、工艺、传说等，推进全面全要素保护，开展全方位普查工作，积极推动历史文化名镇名村、传统村落申报，不断完善保护对象， 建立保护名录。以点带面，实施渐进式更新。坚持以用促保，保护与发展相互促进，以多样化利用活化历史遗迹。</w:t>
      </w:r>
    </w:p>
    <w:p w14:paraId="2725813E">
      <w:pPr>
        <w:pStyle w:val="4"/>
        <w:numPr>
          <w:ilvl w:val="0"/>
          <w:numId w:val="1"/>
        </w:numPr>
        <w:ind w:left="860" w:firstLine="361" w:firstLineChars="113"/>
      </w:pPr>
      <w:bookmarkStart w:id="72" w:name="_Toc381697"/>
      <w:bookmarkStart w:id="73" w:name="_Toc381700"/>
      <w:r>
        <w:t>妥善保护利用文物古迹</w:t>
      </w:r>
      <w:bookmarkEnd w:id="72"/>
    </w:p>
    <w:p w14:paraId="64DBFF6A">
      <w:pPr>
        <w:widowControl/>
        <w:adjustRightInd w:val="0"/>
        <w:snapToGrid w:val="0"/>
        <w:ind w:firstLine="640"/>
        <w:rPr>
          <w:rFonts w:cs="Times New Roman"/>
        </w:rPr>
      </w:pPr>
      <w:r>
        <w:rPr>
          <w:rFonts w:cs="Times New Roman"/>
        </w:rPr>
        <w:t>严格保护各级文物保护单位的原址、原物、原状，明确保护要求和管理责任，严禁任何对文物本体造成破坏的行为，加强文物周边环境整治，提高历史环境品质，落实保护范围和建设控制地带。保护范围内不得随意改变原有现状建筑；建设控制地带严格控制建设，加强维修可保留建筑，逐步拆除不需保留建筑，凡有新建建筑，应在外观、造型、体量、高度、色彩上和保护对象协调。</w:t>
      </w:r>
    </w:p>
    <w:p w14:paraId="66E261D1">
      <w:pPr>
        <w:pStyle w:val="4"/>
        <w:numPr>
          <w:ilvl w:val="0"/>
          <w:numId w:val="1"/>
        </w:numPr>
        <w:ind w:left="860" w:firstLine="361" w:firstLineChars="113"/>
      </w:pPr>
      <w:r>
        <w:t>强化历史文化遗产活化利用</w:t>
      </w:r>
    </w:p>
    <w:p w14:paraId="15CF86BD">
      <w:pPr>
        <w:widowControl/>
        <w:adjustRightInd w:val="0"/>
        <w:snapToGrid w:val="0"/>
        <w:ind w:firstLine="640"/>
        <w:rPr>
          <w:rFonts w:cs="Times New Roman"/>
        </w:rPr>
      </w:pPr>
      <w:r>
        <w:rPr>
          <w:rFonts w:cs="Times New Roman"/>
        </w:rPr>
        <w:t>深入挖掘华来镇满清文化</w:t>
      </w:r>
      <w:r>
        <w:rPr>
          <w:rFonts w:hint="eastAsia" w:cs="Times New Roman"/>
        </w:rPr>
        <w:t>，</w:t>
      </w:r>
      <w:r>
        <w:rPr>
          <w:rFonts w:cs="Times New Roman"/>
        </w:rPr>
        <w:t>传承农耕文明，建设红色教育基地。坚持创造性转化、创新性发展，深入挖掘、广泛传播文化遗产蕴含的文化精髓和时代价值，创新历史文化遗产合理利用方式，推动历史文化遗产保护利用工作全面融入经济社会发展。引导历史文化遗产充分发挥公共教育、文化服务等作用，让文化遗产活起来。加大文化遗产开放利用力度，因地制宜改造为公共文化设施或场所。妥善处理保护与开发的关系，推动历史文化遗产成为特色旅游目的地和文明旅游的典范，提升环境品质，满足人民群众精神文化生活新期待，推动历史文化遗产保护的同时带动产业发展。</w:t>
      </w:r>
    </w:p>
    <w:p w14:paraId="5570C525">
      <w:pPr>
        <w:widowControl/>
        <w:adjustRightInd/>
        <w:snapToGrid/>
        <w:ind w:firstLine="0" w:firstLineChars="0"/>
        <w:rPr>
          <w:rFonts w:cs="Times New Roman"/>
        </w:rPr>
      </w:pPr>
    </w:p>
    <w:tbl>
      <w:tblPr>
        <w:tblStyle w:val="17"/>
        <w:tblW w:w="0" w:type="auto"/>
        <w:tblInd w:w="0" w:type="dxa"/>
        <w:tblLayout w:type="autofit"/>
        <w:tblCellMar>
          <w:top w:w="0" w:type="dxa"/>
          <w:left w:w="108" w:type="dxa"/>
          <w:bottom w:w="0" w:type="dxa"/>
          <w:right w:w="108" w:type="dxa"/>
        </w:tblCellMar>
      </w:tblPr>
      <w:tblGrid>
        <w:gridCol w:w="638"/>
        <w:gridCol w:w="3125"/>
        <w:gridCol w:w="2693"/>
        <w:gridCol w:w="711"/>
        <w:gridCol w:w="1214"/>
      </w:tblGrid>
      <w:tr w14:paraId="220CDCC5">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6247F707">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序号</w:t>
            </w:r>
          </w:p>
        </w:tc>
        <w:tc>
          <w:tcPr>
            <w:tcW w:w="3125" w:type="dxa"/>
            <w:tcBorders>
              <w:top w:val="single" w:color="000000" w:sz="8" w:space="0"/>
              <w:left w:val="single" w:color="000000" w:sz="8" w:space="0"/>
              <w:bottom w:val="single" w:color="000000" w:sz="8" w:space="0"/>
              <w:right w:val="single" w:color="000000" w:sz="8" w:space="0"/>
            </w:tcBorders>
            <w:vAlign w:val="center"/>
          </w:tcPr>
          <w:p w14:paraId="7DDCB888">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名称</w:t>
            </w:r>
          </w:p>
        </w:tc>
        <w:tc>
          <w:tcPr>
            <w:tcW w:w="2693" w:type="dxa"/>
            <w:tcBorders>
              <w:top w:val="single" w:color="000000" w:sz="8" w:space="0"/>
              <w:left w:val="single" w:color="000000" w:sz="8" w:space="0"/>
              <w:bottom w:val="single" w:color="000000" w:sz="8" w:space="0"/>
              <w:right w:val="single" w:color="000000" w:sz="8" w:space="0"/>
            </w:tcBorders>
            <w:vAlign w:val="center"/>
          </w:tcPr>
          <w:p w14:paraId="17A03651">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行政村</w:t>
            </w:r>
          </w:p>
        </w:tc>
        <w:tc>
          <w:tcPr>
            <w:tcW w:w="711" w:type="dxa"/>
            <w:tcBorders>
              <w:top w:val="single" w:color="000000" w:sz="8" w:space="0"/>
              <w:left w:val="single" w:color="000000" w:sz="8" w:space="0"/>
              <w:bottom w:val="single" w:color="000000" w:sz="8" w:space="0"/>
              <w:right w:val="single" w:color="000000" w:sz="8" w:space="0"/>
            </w:tcBorders>
            <w:vAlign w:val="center"/>
          </w:tcPr>
          <w:p w14:paraId="78506D1B">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级别</w:t>
            </w:r>
          </w:p>
        </w:tc>
        <w:tc>
          <w:tcPr>
            <w:tcW w:w="1214" w:type="dxa"/>
            <w:tcBorders>
              <w:top w:val="single" w:color="000000" w:sz="8" w:space="0"/>
              <w:left w:val="single" w:color="000000" w:sz="8" w:space="0"/>
              <w:bottom w:val="single" w:color="000000" w:sz="8" w:space="0"/>
              <w:right w:val="single" w:color="000000" w:sz="8" w:space="0"/>
            </w:tcBorders>
            <w:vAlign w:val="center"/>
          </w:tcPr>
          <w:p w14:paraId="4076A10A">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类别</w:t>
            </w:r>
          </w:p>
        </w:tc>
      </w:tr>
      <w:tr w14:paraId="2902570A">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627E26C4">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w:t>
            </w:r>
          </w:p>
        </w:tc>
        <w:tc>
          <w:tcPr>
            <w:tcW w:w="3125" w:type="dxa"/>
            <w:tcBorders>
              <w:top w:val="single" w:color="000000" w:sz="8" w:space="0"/>
              <w:left w:val="single" w:color="000000" w:sz="8" w:space="0"/>
              <w:bottom w:val="single" w:color="000000" w:sz="8" w:space="0"/>
              <w:right w:val="single" w:color="000000" w:sz="8" w:space="0"/>
            </w:tcBorders>
            <w:vAlign w:val="center"/>
          </w:tcPr>
          <w:p w14:paraId="1CA205B2">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高俭地山城</w:t>
            </w:r>
          </w:p>
        </w:tc>
        <w:tc>
          <w:tcPr>
            <w:tcW w:w="2693" w:type="dxa"/>
            <w:tcBorders>
              <w:top w:val="single" w:color="000000" w:sz="8" w:space="0"/>
              <w:left w:val="single" w:color="000000" w:sz="8" w:space="0"/>
              <w:bottom w:val="single" w:color="000000" w:sz="8" w:space="0"/>
              <w:right w:val="single" w:color="000000" w:sz="8" w:space="0"/>
            </w:tcBorders>
            <w:vAlign w:val="center"/>
          </w:tcPr>
          <w:p w14:paraId="0EC14500">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木盂子管委会高俭地村</w:t>
            </w:r>
          </w:p>
        </w:tc>
        <w:tc>
          <w:tcPr>
            <w:tcW w:w="711" w:type="dxa"/>
            <w:vMerge w:val="restart"/>
            <w:tcBorders>
              <w:top w:val="single" w:color="000000" w:sz="8" w:space="0"/>
              <w:left w:val="single" w:color="000000" w:sz="8" w:space="0"/>
              <w:bottom w:val="single" w:color="000000" w:sz="8" w:space="0"/>
              <w:right w:val="single" w:color="000000" w:sz="8" w:space="0"/>
            </w:tcBorders>
            <w:vAlign w:val="center"/>
          </w:tcPr>
          <w:p w14:paraId="2780C17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国家级</w:t>
            </w: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118B532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1B35D3D">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59D1D9DF">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w:t>
            </w:r>
          </w:p>
        </w:tc>
        <w:tc>
          <w:tcPr>
            <w:tcW w:w="3125" w:type="dxa"/>
            <w:tcBorders>
              <w:top w:val="single" w:color="000000" w:sz="8" w:space="0"/>
              <w:left w:val="single" w:color="000000" w:sz="8" w:space="0"/>
              <w:bottom w:val="single" w:color="000000" w:sz="8" w:space="0"/>
              <w:right w:val="single" w:color="000000" w:sz="8" w:space="0"/>
            </w:tcBorders>
            <w:vAlign w:val="center"/>
          </w:tcPr>
          <w:p w14:paraId="62A0258A">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冯家堡子墓群</w:t>
            </w:r>
          </w:p>
        </w:tc>
        <w:tc>
          <w:tcPr>
            <w:tcW w:w="2693" w:type="dxa"/>
            <w:tcBorders>
              <w:top w:val="single" w:color="000000" w:sz="8" w:space="0"/>
              <w:left w:val="single" w:color="000000" w:sz="8" w:space="0"/>
              <w:bottom w:val="single" w:color="000000" w:sz="8" w:space="0"/>
              <w:right w:val="single" w:color="000000" w:sz="8" w:space="0"/>
            </w:tcBorders>
            <w:vAlign w:val="center"/>
          </w:tcPr>
          <w:p w14:paraId="34CCFDB1">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冯家堡子村、大恩堡子村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72D51FB">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0AEEC7D">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5B94F014">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90CC13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w:t>
            </w:r>
          </w:p>
        </w:tc>
        <w:tc>
          <w:tcPr>
            <w:tcW w:w="3125" w:type="dxa"/>
            <w:tcBorders>
              <w:top w:val="single" w:color="000000" w:sz="8" w:space="0"/>
              <w:left w:val="single" w:color="000000" w:sz="8" w:space="0"/>
              <w:bottom w:val="single" w:color="000000" w:sz="8" w:space="0"/>
              <w:right w:val="single" w:color="000000" w:sz="8" w:space="0"/>
            </w:tcBorders>
            <w:vAlign w:val="center"/>
          </w:tcPr>
          <w:p w14:paraId="095DC6A2">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半截沟古战场</w:t>
            </w:r>
          </w:p>
        </w:tc>
        <w:tc>
          <w:tcPr>
            <w:tcW w:w="2693" w:type="dxa"/>
            <w:tcBorders>
              <w:top w:val="single" w:color="000000" w:sz="8" w:space="0"/>
              <w:left w:val="single" w:color="000000" w:sz="8" w:space="0"/>
              <w:bottom w:val="single" w:color="000000" w:sz="8" w:space="0"/>
              <w:right w:val="single" w:color="000000" w:sz="8" w:space="0"/>
            </w:tcBorders>
            <w:vAlign w:val="center"/>
          </w:tcPr>
          <w:p w14:paraId="6D99F24A">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restart"/>
            <w:tcBorders>
              <w:top w:val="single" w:color="000000" w:sz="8" w:space="0"/>
              <w:left w:val="single" w:color="000000" w:sz="8" w:space="0"/>
              <w:bottom w:val="single" w:color="000000" w:sz="8" w:space="0"/>
              <w:right w:val="single" w:color="000000" w:sz="8" w:space="0"/>
            </w:tcBorders>
            <w:vAlign w:val="center"/>
          </w:tcPr>
          <w:p w14:paraId="45F0FEF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市级</w:t>
            </w: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972FE5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F138DD7">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7BCB153D">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4</w:t>
            </w:r>
          </w:p>
        </w:tc>
        <w:tc>
          <w:tcPr>
            <w:tcW w:w="3125" w:type="dxa"/>
            <w:tcBorders>
              <w:top w:val="single" w:color="000000" w:sz="8" w:space="0"/>
              <w:left w:val="single" w:color="000000" w:sz="8" w:space="0"/>
              <w:bottom w:val="single" w:color="000000" w:sz="8" w:space="0"/>
              <w:right w:val="single" w:color="000000" w:sz="8" w:space="0"/>
            </w:tcBorders>
            <w:vAlign w:val="center"/>
          </w:tcPr>
          <w:p w14:paraId="38FACD88">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 xml:space="preserve">吴荣沟遗址 </w:t>
            </w:r>
          </w:p>
        </w:tc>
        <w:tc>
          <w:tcPr>
            <w:tcW w:w="2693" w:type="dxa"/>
            <w:tcBorders>
              <w:top w:val="single" w:color="000000" w:sz="8" w:space="0"/>
              <w:left w:val="single" w:color="000000" w:sz="8" w:space="0"/>
              <w:bottom w:val="single" w:color="000000" w:sz="8" w:space="0"/>
              <w:right w:val="single" w:color="000000" w:sz="8" w:space="0"/>
            </w:tcBorders>
            <w:vAlign w:val="center"/>
          </w:tcPr>
          <w:p w14:paraId="08ABA45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果松川村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BCD41FA">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C68E485">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268E21E4">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5C3574E7">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5</w:t>
            </w:r>
          </w:p>
        </w:tc>
        <w:tc>
          <w:tcPr>
            <w:tcW w:w="3125" w:type="dxa"/>
            <w:tcBorders>
              <w:top w:val="single" w:color="000000" w:sz="8" w:space="0"/>
              <w:left w:val="single" w:color="000000" w:sz="8" w:space="0"/>
              <w:bottom w:val="single" w:color="000000" w:sz="8" w:space="0"/>
              <w:right w:val="single" w:color="000000" w:sz="8" w:space="0"/>
            </w:tcBorders>
            <w:vAlign w:val="center"/>
          </w:tcPr>
          <w:p w14:paraId="09D2AF3E">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二户来革命烈士陵园</w:t>
            </w:r>
          </w:p>
        </w:tc>
        <w:tc>
          <w:tcPr>
            <w:tcW w:w="2693" w:type="dxa"/>
            <w:tcBorders>
              <w:top w:val="single" w:color="000000" w:sz="8" w:space="0"/>
              <w:left w:val="single" w:color="000000" w:sz="8" w:space="0"/>
              <w:bottom w:val="single" w:color="000000" w:sz="8" w:space="0"/>
              <w:right w:val="single" w:color="000000" w:sz="8" w:space="0"/>
            </w:tcBorders>
            <w:vAlign w:val="center"/>
          </w:tcPr>
          <w:p w14:paraId="72999185">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08709DC5">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3614B2E">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12446601">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35B6FD2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6</w:t>
            </w:r>
          </w:p>
        </w:tc>
        <w:tc>
          <w:tcPr>
            <w:tcW w:w="3125" w:type="dxa"/>
            <w:tcBorders>
              <w:top w:val="single" w:color="000000" w:sz="8" w:space="0"/>
              <w:left w:val="single" w:color="000000" w:sz="8" w:space="0"/>
              <w:bottom w:val="single" w:color="000000" w:sz="8" w:space="0"/>
              <w:right w:val="single" w:color="000000" w:sz="8" w:space="0"/>
            </w:tcBorders>
            <w:vAlign w:val="center"/>
          </w:tcPr>
          <w:p w14:paraId="481B568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二户来歪脖望战斗遗址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5BD449B2">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东堡村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7A1C0FC5">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2195FE2A">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9FFC32F">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6509F88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7</w:t>
            </w:r>
          </w:p>
        </w:tc>
        <w:tc>
          <w:tcPr>
            <w:tcW w:w="3125" w:type="dxa"/>
            <w:tcBorders>
              <w:top w:val="single" w:color="000000" w:sz="8" w:space="0"/>
              <w:left w:val="single" w:color="000000" w:sz="8" w:space="0"/>
              <w:bottom w:val="single" w:color="000000" w:sz="8" w:space="0"/>
              <w:right w:val="single" w:color="000000" w:sz="8" w:space="0"/>
            </w:tcBorders>
            <w:vAlign w:val="center"/>
          </w:tcPr>
          <w:p w14:paraId="4A90F7F0">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釜山遗址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36848D4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62D9805">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E2DB182">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0CD1CF9">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13EFBEC3">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8</w:t>
            </w:r>
          </w:p>
        </w:tc>
        <w:tc>
          <w:tcPr>
            <w:tcW w:w="3125" w:type="dxa"/>
            <w:tcBorders>
              <w:top w:val="single" w:color="000000" w:sz="8" w:space="0"/>
              <w:left w:val="single" w:color="000000" w:sz="8" w:space="0"/>
              <w:bottom w:val="single" w:color="000000" w:sz="8" w:space="0"/>
              <w:right w:val="single" w:color="000000" w:sz="8" w:space="0"/>
            </w:tcBorders>
            <w:vAlign w:val="center"/>
          </w:tcPr>
          <w:p w14:paraId="6F760CC3">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铧尖子革命烈士陵园及纪念碑</w:t>
            </w:r>
          </w:p>
        </w:tc>
        <w:tc>
          <w:tcPr>
            <w:tcW w:w="2693" w:type="dxa"/>
            <w:tcBorders>
              <w:top w:val="single" w:color="000000" w:sz="8" w:space="0"/>
              <w:left w:val="single" w:color="000000" w:sz="8" w:space="0"/>
              <w:bottom w:val="single" w:color="000000" w:sz="8" w:space="0"/>
              <w:right w:val="single" w:color="000000" w:sz="8" w:space="0"/>
            </w:tcBorders>
            <w:vAlign w:val="center"/>
          </w:tcPr>
          <w:p w14:paraId="1ED49173">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5BDC9EF3">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39CAB6A1">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76493206">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7DD582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9</w:t>
            </w:r>
          </w:p>
        </w:tc>
        <w:tc>
          <w:tcPr>
            <w:tcW w:w="3125" w:type="dxa"/>
            <w:tcBorders>
              <w:top w:val="single" w:color="000000" w:sz="8" w:space="0"/>
              <w:left w:val="single" w:color="000000" w:sz="8" w:space="0"/>
              <w:bottom w:val="single" w:color="000000" w:sz="8" w:space="0"/>
              <w:right w:val="single" w:color="000000" w:sz="8" w:space="0"/>
            </w:tcBorders>
            <w:vAlign w:val="center"/>
          </w:tcPr>
          <w:p w14:paraId="118C500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木盂子仙人洞桓兴县委成立大会遗址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4EE7C1D0">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木盂子管理委员会仙人洞村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2C032028">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0EF55EF9">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58A1FF2">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7110F987">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10</w:t>
            </w:r>
          </w:p>
        </w:tc>
        <w:tc>
          <w:tcPr>
            <w:tcW w:w="3125" w:type="dxa"/>
            <w:tcBorders>
              <w:top w:val="single" w:color="000000" w:sz="8" w:space="0"/>
              <w:left w:val="single" w:color="000000" w:sz="8" w:space="0"/>
              <w:bottom w:val="single" w:color="000000" w:sz="8" w:space="0"/>
              <w:right w:val="single" w:color="000000" w:sz="8" w:space="0"/>
            </w:tcBorders>
            <w:vAlign w:val="center"/>
          </w:tcPr>
          <w:p w14:paraId="334198DE">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木盂子仙人洞韩震烈士牺牲地遗址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76925AFB">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木盂子管理委员会仙人洞村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67B94352">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9588F9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5EAF0E15">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7EF883A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11</w:t>
            </w:r>
          </w:p>
        </w:tc>
        <w:tc>
          <w:tcPr>
            <w:tcW w:w="3125" w:type="dxa"/>
            <w:tcBorders>
              <w:top w:val="single" w:color="000000" w:sz="8" w:space="0"/>
              <w:left w:val="single" w:color="000000" w:sz="8" w:space="0"/>
              <w:bottom w:val="single" w:color="000000" w:sz="8" w:space="0"/>
              <w:right w:val="single" w:color="000000" w:sz="8" w:space="0"/>
            </w:tcBorders>
            <w:vAlign w:val="center"/>
          </w:tcPr>
          <w:p w14:paraId="1EE02186">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铧尖子海青伙洛抗联遗址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1772C276">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289AE5DC">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5970FD37">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00A03881">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7CBC1311">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12</w:t>
            </w:r>
          </w:p>
        </w:tc>
        <w:tc>
          <w:tcPr>
            <w:tcW w:w="3125" w:type="dxa"/>
            <w:tcBorders>
              <w:top w:val="single" w:color="000000" w:sz="8" w:space="0"/>
              <w:left w:val="single" w:color="000000" w:sz="8" w:space="0"/>
              <w:bottom w:val="single" w:color="000000" w:sz="8" w:space="0"/>
              <w:right w:val="single" w:color="000000" w:sz="8" w:space="0"/>
            </w:tcBorders>
            <w:vAlign w:val="center"/>
          </w:tcPr>
          <w:p w14:paraId="56347267">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木盂子高俭地山城抗联遗址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3515C3BE">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木盂子管委会高俭地村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F032033">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55F705A4">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15C51091">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1DA44AC3">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13</w:t>
            </w:r>
          </w:p>
        </w:tc>
        <w:tc>
          <w:tcPr>
            <w:tcW w:w="3125" w:type="dxa"/>
            <w:tcBorders>
              <w:top w:val="single" w:color="000000" w:sz="8" w:space="0"/>
              <w:left w:val="single" w:color="000000" w:sz="8" w:space="0"/>
              <w:bottom w:val="single" w:color="000000" w:sz="8" w:space="0"/>
              <w:right w:val="single" w:color="000000" w:sz="8" w:space="0"/>
            </w:tcBorders>
            <w:vAlign w:val="center"/>
          </w:tcPr>
          <w:p w14:paraId="42D4E086">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木孟子中共高俭地村党支部遗址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7BB6572B">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高俭地村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D3B1717">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7EF19A9A">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FDE5D3D">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4193FA6">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14</w:t>
            </w:r>
          </w:p>
        </w:tc>
        <w:tc>
          <w:tcPr>
            <w:tcW w:w="3125" w:type="dxa"/>
            <w:tcBorders>
              <w:top w:val="single" w:color="000000" w:sz="8" w:space="0"/>
              <w:left w:val="single" w:color="000000" w:sz="8" w:space="0"/>
              <w:bottom w:val="single" w:color="000000" w:sz="8" w:space="0"/>
              <w:right w:val="single" w:color="000000" w:sz="8" w:space="0"/>
            </w:tcBorders>
            <w:vAlign w:val="center"/>
          </w:tcPr>
          <w:p w14:paraId="17ABAD42">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木盂子仙人洞正沟抗联被服厂遗址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30226A4F">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木盂子管委会仙人洞村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3552E6B">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5E290EA">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25489E56">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50ABCD25">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15</w:t>
            </w:r>
          </w:p>
        </w:tc>
        <w:tc>
          <w:tcPr>
            <w:tcW w:w="3125" w:type="dxa"/>
            <w:tcBorders>
              <w:top w:val="single" w:color="000000" w:sz="8" w:space="0"/>
              <w:left w:val="single" w:color="000000" w:sz="8" w:space="0"/>
              <w:bottom w:val="single" w:color="000000" w:sz="8" w:space="0"/>
              <w:right w:val="single" w:color="000000" w:sz="8" w:space="0"/>
            </w:tcBorders>
            <w:vAlign w:val="center"/>
          </w:tcPr>
          <w:p w14:paraId="69E9D211">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木盂子仙人洞大冰沟抗联修械所遗址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4A2CB6E8">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木盂子管委会仙人洞村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071CF3A">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1927C1F5">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4F34C2C6">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6DEF03E9">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16</w:t>
            </w:r>
          </w:p>
        </w:tc>
        <w:tc>
          <w:tcPr>
            <w:tcW w:w="3125" w:type="dxa"/>
            <w:tcBorders>
              <w:top w:val="single" w:color="000000" w:sz="8" w:space="0"/>
              <w:left w:val="single" w:color="000000" w:sz="8" w:space="0"/>
              <w:bottom w:val="single" w:color="000000" w:sz="8" w:space="0"/>
              <w:right w:val="single" w:color="000000" w:sz="8" w:space="0"/>
            </w:tcBorders>
            <w:vAlign w:val="center"/>
          </w:tcPr>
          <w:p w14:paraId="0575E41B">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木盂子仙人洞万阳沟北沟医院遗址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16BC8700">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木盂子管委会仙人洞村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5993BE66">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13FC4020">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52B9995A">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3620F3C8">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17</w:t>
            </w:r>
          </w:p>
        </w:tc>
        <w:tc>
          <w:tcPr>
            <w:tcW w:w="3125" w:type="dxa"/>
            <w:tcBorders>
              <w:top w:val="single" w:color="000000" w:sz="8" w:space="0"/>
              <w:left w:val="single" w:color="000000" w:sz="8" w:space="0"/>
              <w:bottom w:val="single" w:color="000000" w:sz="8" w:space="0"/>
              <w:right w:val="single" w:color="000000" w:sz="8" w:space="0"/>
            </w:tcBorders>
            <w:vAlign w:val="center"/>
          </w:tcPr>
          <w:p w14:paraId="29350EEF">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铧尖子洼子沟杏树旺抗联遗址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738AA10A">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瓦尔喀什寨村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28510202">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6C6C67E">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E04B119">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353CF9C6">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18</w:t>
            </w:r>
          </w:p>
        </w:tc>
        <w:tc>
          <w:tcPr>
            <w:tcW w:w="3125" w:type="dxa"/>
            <w:tcBorders>
              <w:top w:val="single" w:color="000000" w:sz="8" w:space="0"/>
              <w:left w:val="single" w:color="000000" w:sz="8" w:space="0"/>
              <w:bottom w:val="single" w:color="000000" w:sz="8" w:space="0"/>
              <w:right w:val="single" w:color="000000" w:sz="8" w:space="0"/>
            </w:tcBorders>
            <w:vAlign w:val="center"/>
          </w:tcPr>
          <w:p w14:paraId="7F46DFDE">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铧尖子注子沟张家街抗联一军一师司令部遗址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5D0737AA">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瓦尔喀什寨村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78EF63E0">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12D77087">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4B876847">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50B05EA">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19</w:t>
            </w:r>
          </w:p>
        </w:tc>
        <w:tc>
          <w:tcPr>
            <w:tcW w:w="3125" w:type="dxa"/>
            <w:tcBorders>
              <w:top w:val="single" w:color="000000" w:sz="8" w:space="0"/>
              <w:left w:val="single" w:color="000000" w:sz="8" w:space="0"/>
              <w:bottom w:val="single" w:color="000000" w:sz="8" w:space="0"/>
              <w:right w:val="single" w:color="000000" w:sz="8" w:space="0"/>
            </w:tcBorders>
            <w:vAlign w:val="center"/>
          </w:tcPr>
          <w:p w14:paraId="52EEC955">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二户来解麟阁牺牲地及烈士墓</w:t>
            </w:r>
          </w:p>
        </w:tc>
        <w:tc>
          <w:tcPr>
            <w:tcW w:w="2693" w:type="dxa"/>
            <w:tcBorders>
              <w:top w:val="single" w:color="000000" w:sz="8" w:space="0"/>
              <w:left w:val="single" w:color="000000" w:sz="8" w:space="0"/>
              <w:bottom w:val="single" w:color="000000" w:sz="8" w:space="0"/>
              <w:right w:val="single" w:color="000000" w:sz="8" w:space="0"/>
            </w:tcBorders>
            <w:vAlign w:val="center"/>
          </w:tcPr>
          <w:p w14:paraId="2DAEAE3A">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小恩堡村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215EB393">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91BD356">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4CFE6F2">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24B8440F">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20</w:t>
            </w:r>
          </w:p>
        </w:tc>
        <w:tc>
          <w:tcPr>
            <w:tcW w:w="3125" w:type="dxa"/>
            <w:tcBorders>
              <w:top w:val="single" w:color="000000" w:sz="8" w:space="0"/>
              <w:left w:val="single" w:color="000000" w:sz="8" w:space="0"/>
              <w:bottom w:val="single" w:color="000000" w:sz="8" w:space="0"/>
              <w:right w:val="single" w:color="000000" w:sz="8" w:space="0"/>
            </w:tcBorders>
            <w:vAlign w:val="center"/>
          </w:tcPr>
          <w:p w14:paraId="4C17CC3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二户来伪警察署突袭战斗旧址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4803235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B709382">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8D7AB34">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4F64DE1A">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26DBB1D3">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21</w:t>
            </w:r>
          </w:p>
        </w:tc>
        <w:tc>
          <w:tcPr>
            <w:tcW w:w="3125" w:type="dxa"/>
            <w:tcBorders>
              <w:top w:val="single" w:color="000000" w:sz="8" w:space="0"/>
              <w:left w:val="single" w:color="000000" w:sz="8" w:space="0"/>
              <w:bottom w:val="single" w:color="000000" w:sz="8" w:space="0"/>
              <w:right w:val="single" w:color="000000" w:sz="8" w:space="0"/>
            </w:tcBorders>
            <w:vAlign w:val="center"/>
          </w:tcPr>
          <w:p w14:paraId="5541B24F">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二户来小恩堡解麟阁故居</w:t>
            </w:r>
          </w:p>
        </w:tc>
        <w:tc>
          <w:tcPr>
            <w:tcW w:w="2693" w:type="dxa"/>
            <w:tcBorders>
              <w:top w:val="single" w:color="000000" w:sz="8" w:space="0"/>
              <w:left w:val="single" w:color="000000" w:sz="8" w:space="0"/>
              <w:bottom w:val="single" w:color="000000" w:sz="8" w:space="0"/>
              <w:right w:val="single" w:color="000000" w:sz="8" w:space="0"/>
            </w:tcBorders>
            <w:vAlign w:val="center"/>
          </w:tcPr>
          <w:p w14:paraId="5462658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小恩堡村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5DDEBECB">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54A5327">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7D73FA5">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6BA96A9A">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22</w:t>
            </w:r>
          </w:p>
        </w:tc>
        <w:tc>
          <w:tcPr>
            <w:tcW w:w="3125" w:type="dxa"/>
            <w:tcBorders>
              <w:top w:val="single" w:color="000000" w:sz="8" w:space="0"/>
              <w:left w:val="single" w:color="000000" w:sz="8" w:space="0"/>
              <w:bottom w:val="single" w:color="000000" w:sz="8" w:space="0"/>
              <w:right w:val="single" w:color="000000" w:sz="8" w:space="0"/>
            </w:tcBorders>
            <w:vAlign w:val="center"/>
          </w:tcPr>
          <w:p w14:paraId="5D6B8A02">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铧尖子东堡李向山旧居</w:t>
            </w:r>
          </w:p>
        </w:tc>
        <w:tc>
          <w:tcPr>
            <w:tcW w:w="2693" w:type="dxa"/>
            <w:tcBorders>
              <w:top w:val="single" w:color="000000" w:sz="8" w:space="0"/>
              <w:left w:val="single" w:color="000000" w:sz="8" w:space="0"/>
              <w:bottom w:val="single" w:color="000000" w:sz="8" w:space="0"/>
              <w:right w:val="single" w:color="000000" w:sz="8" w:space="0"/>
            </w:tcBorders>
            <w:vAlign w:val="center"/>
          </w:tcPr>
          <w:p w14:paraId="019A5682">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8F55C4C">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17E28364">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43790F4C">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7B19AD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23</w:t>
            </w:r>
          </w:p>
        </w:tc>
        <w:tc>
          <w:tcPr>
            <w:tcW w:w="3125" w:type="dxa"/>
            <w:tcBorders>
              <w:top w:val="single" w:color="000000" w:sz="8" w:space="0"/>
              <w:left w:val="single" w:color="000000" w:sz="8" w:space="0"/>
              <w:bottom w:val="single" w:color="000000" w:sz="8" w:space="0"/>
              <w:right w:val="single" w:color="000000" w:sz="8" w:space="0"/>
            </w:tcBorders>
            <w:vAlign w:val="center"/>
          </w:tcPr>
          <w:p w14:paraId="038EBA19">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铧尖子洼子沟李红光烈士墓</w:t>
            </w:r>
          </w:p>
        </w:tc>
        <w:tc>
          <w:tcPr>
            <w:tcW w:w="2693" w:type="dxa"/>
            <w:tcBorders>
              <w:top w:val="single" w:color="000000" w:sz="8" w:space="0"/>
              <w:left w:val="single" w:color="000000" w:sz="8" w:space="0"/>
              <w:bottom w:val="single" w:color="000000" w:sz="8" w:space="0"/>
              <w:right w:val="single" w:color="000000" w:sz="8" w:space="0"/>
            </w:tcBorders>
            <w:vAlign w:val="center"/>
          </w:tcPr>
          <w:p w14:paraId="15861233">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瓦尔喀什寨村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5374DC15">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52BFC40">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5F194C4">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164CAD9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24</w:t>
            </w:r>
          </w:p>
        </w:tc>
        <w:tc>
          <w:tcPr>
            <w:tcW w:w="3125" w:type="dxa"/>
            <w:tcBorders>
              <w:top w:val="single" w:color="000000" w:sz="8" w:space="0"/>
              <w:left w:val="single" w:color="000000" w:sz="8" w:space="0"/>
              <w:bottom w:val="single" w:color="000000" w:sz="8" w:space="0"/>
              <w:right w:val="single" w:color="000000" w:sz="8" w:space="0"/>
            </w:tcBorders>
            <w:vAlign w:val="center"/>
          </w:tcPr>
          <w:p w14:paraId="16ACC25E">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铧尖子海青伙洛隋相生旧居</w:t>
            </w:r>
          </w:p>
        </w:tc>
        <w:tc>
          <w:tcPr>
            <w:tcW w:w="2693" w:type="dxa"/>
            <w:tcBorders>
              <w:top w:val="single" w:color="000000" w:sz="8" w:space="0"/>
              <w:left w:val="single" w:color="000000" w:sz="8" w:space="0"/>
              <w:bottom w:val="single" w:color="000000" w:sz="8" w:space="0"/>
              <w:right w:val="single" w:color="000000" w:sz="8" w:space="0"/>
            </w:tcBorders>
            <w:vAlign w:val="center"/>
          </w:tcPr>
          <w:p w14:paraId="7CA94651">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铧尖子村海清伙洛自然屯</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04FB9E25">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3EEA9B6">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DD374C2">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0FE50164">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25</w:t>
            </w:r>
          </w:p>
        </w:tc>
        <w:tc>
          <w:tcPr>
            <w:tcW w:w="3125" w:type="dxa"/>
            <w:tcBorders>
              <w:top w:val="single" w:color="000000" w:sz="8" w:space="0"/>
              <w:left w:val="single" w:color="000000" w:sz="8" w:space="0"/>
              <w:bottom w:val="single" w:color="000000" w:sz="8" w:space="0"/>
              <w:right w:val="single" w:color="000000" w:sz="8" w:space="0"/>
            </w:tcBorders>
            <w:vAlign w:val="center"/>
          </w:tcPr>
          <w:p w14:paraId="5F73192A">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中共海青伙洛区委、区政府旧址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5D99572B">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5EB1F093">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B671D14">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5F072A95">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64333747">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26</w:t>
            </w:r>
          </w:p>
        </w:tc>
        <w:tc>
          <w:tcPr>
            <w:tcW w:w="3125" w:type="dxa"/>
            <w:tcBorders>
              <w:top w:val="single" w:color="000000" w:sz="8" w:space="0"/>
              <w:left w:val="single" w:color="000000" w:sz="8" w:space="0"/>
              <w:bottom w:val="single" w:color="000000" w:sz="8" w:space="0"/>
              <w:right w:val="single" w:color="000000" w:sz="8" w:space="0"/>
            </w:tcBorders>
            <w:vAlign w:val="center"/>
          </w:tcPr>
          <w:p w14:paraId="1BDC81E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铧尖子海青伙洛李红光烈士牺牲地</w:t>
            </w:r>
          </w:p>
        </w:tc>
        <w:tc>
          <w:tcPr>
            <w:tcW w:w="2693" w:type="dxa"/>
            <w:tcBorders>
              <w:top w:val="single" w:color="000000" w:sz="8" w:space="0"/>
              <w:left w:val="single" w:color="000000" w:sz="8" w:space="0"/>
              <w:bottom w:val="single" w:color="000000" w:sz="8" w:space="0"/>
              <w:right w:val="single" w:color="000000" w:sz="8" w:space="0"/>
            </w:tcBorders>
            <w:vAlign w:val="center"/>
          </w:tcPr>
          <w:p w14:paraId="7571207C">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0FF82884">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3E36FFF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4F7BEDC">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30F96D46">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27</w:t>
            </w:r>
          </w:p>
        </w:tc>
        <w:tc>
          <w:tcPr>
            <w:tcW w:w="3125" w:type="dxa"/>
            <w:tcBorders>
              <w:top w:val="single" w:color="000000" w:sz="8" w:space="0"/>
              <w:left w:val="single" w:color="000000" w:sz="8" w:space="0"/>
              <w:bottom w:val="single" w:color="000000" w:sz="8" w:space="0"/>
              <w:right w:val="single" w:color="000000" w:sz="8" w:space="0"/>
            </w:tcBorders>
            <w:vAlign w:val="center"/>
          </w:tcPr>
          <w:p w14:paraId="6BE1D36B">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铧尖子高台子村反日救国会旧址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5178AA87">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高台子村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D32E439">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46A16C1">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337C7793">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1F61C21C">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28</w:t>
            </w:r>
          </w:p>
        </w:tc>
        <w:tc>
          <w:tcPr>
            <w:tcW w:w="3125" w:type="dxa"/>
            <w:tcBorders>
              <w:top w:val="single" w:color="000000" w:sz="8" w:space="0"/>
              <w:left w:val="single" w:color="000000" w:sz="8" w:space="0"/>
              <w:bottom w:val="single" w:color="000000" w:sz="8" w:space="0"/>
              <w:right w:val="single" w:color="000000" w:sz="8" w:space="0"/>
            </w:tcBorders>
            <w:vAlign w:val="center"/>
          </w:tcPr>
          <w:p w14:paraId="04606AE4">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铧尖子横道河子抗联战斗遗址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01F16195">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高台子村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24393FD0">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351C842">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297DAE44">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90415F2">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29</w:t>
            </w:r>
          </w:p>
        </w:tc>
        <w:tc>
          <w:tcPr>
            <w:tcW w:w="3125" w:type="dxa"/>
            <w:tcBorders>
              <w:top w:val="single" w:color="000000" w:sz="8" w:space="0"/>
              <w:left w:val="single" w:color="000000" w:sz="8" w:space="0"/>
              <w:bottom w:val="single" w:color="000000" w:sz="8" w:space="0"/>
              <w:right w:val="single" w:color="000000" w:sz="8" w:space="0"/>
            </w:tcBorders>
            <w:vAlign w:val="center"/>
          </w:tcPr>
          <w:p w14:paraId="3CCAD30F">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铧尖子中共川里村党支部遗址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4C0FC0BD">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川里村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361E7C8">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2E05A452">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77CFF3A8">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55931D53">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30</w:t>
            </w:r>
          </w:p>
        </w:tc>
        <w:tc>
          <w:tcPr>
            <w:tcW w:w="3125" w:type="dxa"/>
            <w:tcBorders>
              <w:top w:val="single" w:color="000000" w:sz="8" w:space="0"/>
              <w:left w:val="single" w:color="000000" w:sz="8" w:space="0"/>
              <w:bottom w:val="single" w:color="000000" w:sz="8" w:space="0"/>
              <w:right w:val="single" w:color="000000" w:sz="8" w:space="0"/>
            </w:tcBorders>
            <w:vAlign w:val="center"/>
          </w:tcPr>
          <w:p w14:paraId="07D8E2F4">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木孟子高俭地村反日地方委员会旧址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26877067">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木盂子管理委员会高俭地村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4EFD704">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701885BF">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654F24E5">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7FC37D39">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31</w:t>
            </w:r>
          </w:p>
        </w:tc>
        <w:tc>
          <w:tcPr>
            <w:tcW w:w="3125" w:type="dxa"/>
            <w:tcBorders>
              <w:top w:val="single" w:color="000000" w:sz="8" w:space="0"/>
              <w:left w:val="single" w:color="000000" w:sz="8" w:space="0"/>
              <w:bottom w:val="single" w:color="000000" w:sz="8" w:space="0"/>
              <w:right w:val="single" w:color="000000" w:sz="8" w:space="0"/>
            </w:tcBorders>
            <w:vAlign w:val="center"/>
          </w:tcPr>
          <w:p w14:paraId="09A7E407">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桓仁妇女反日救国会旧址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08E39ED0">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木孟子管理委员会仙人洞村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1F5042DE">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522060E">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4DBA9793">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28474EEB">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32</w:t>
            </w:r>
          </w:p>
        </w:tc>
        <w:tc>
          <w:tcPr>
            <w:tcW w:w="3125" w:type="dxa"/>
            <w:tcBorders>
              <w:top w:val="single" w:color="000000" w:sz="8" w:space="0"/>
              <w:left w:val="single" w:color="000000" w:sz="8" w:space="0"/>
              <w:bottom w:val="single" w:color="000000" w:sz="8" w:space="0"/>
              <w:right w:val="single" w:color="000000" w:sz="8" w:space="0"/>
            </w:tcBorders>
            <w:vAlign w:val="center"/>
          </w:tcPr>
          <w:p w14:paraId="52AB4C29">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木盂子仙人洞抗联英雄王玉琳、王传圣墓；抗联烈士王传清墓</w:t>
            </w:r>
          </w:p>
        </w:tc>
        <w:tc>
          <w:tcPr>
            <w:tcW w:w="2693" w:type="dxa"/>
            <w:tcBorders>
              <w:top w:val="single" w:color="000000" w:sz="8" w:space="0"/>
              <w:left w:val="single" w:color="000000" w:sz="8" w:space="0"/>
              <w:bottom w:val="single" w:color="000000" w:sz="8" w:space="0"/>
              <w:right w:val="single" w:color="000000" w:sz="8" w:space="0"/>
            </w:tcBorders>
            <w:vAlign w:val="center"/>
          </w:tcPr>
          <w:p w14:paraId="1095A2FB">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木孟子管理委员会仙人洞村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579A21BE">
            <w:pPr>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4F0D5675">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12961E83">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0A55D0C6">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33</w:t>
            </w:r>
          </w:p>
        </w:tc>
        <w:tc>
          <w:tcPr>
            <w:tcW w:w="3125" w:type="dxa"/>
            <w:tcBorders>
              <w:top w:val="single" w:color="000000" w:sz="8" w:space="0"/>
              <w:left w:val="single" w:color="000000" w:sz="8" w:space="0"/>
              <w:bottom w:val="single" w:color="000000" w:sz="8" w:space="0"/>
              <w:right w:val="single" w:color="000000" w:sz="8" w:space="0"/>
            </w:tcBorders>
            <w:vAlign w:val="center"/>
          </w:tcPr>
          <w:p w14:paraId="193704C3">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窑山遗址</w:t>
            </w:r>
          </w:p>
        </w:tc>
        <w:tc>
          <w:tcPr>
            <w:tcW w:w="2693" w:type="dxa"/>
            <w:tcBorders>
              <w:top w:val="single" w:color="000000" w:sz="8" w:space="0"/>
              <w:left w:val="single" w:color="000000" w:sz="8" w:space="0"/>
              <w:bottom w:val="single" w:color="000000" w:sz="8" w:space="0"/>
              <w:right w:val="single" w:color="000000" w:sz="8" w:space="0"/>
            </w:tcBorders>
            <w:vAlign w:val="center"/>
          </w:tcPr>
          <w:p w14:paraId="6EBE7598">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蔡娥堡村</w:t>
            </w:r>
          </w:p>
        </w:tc>
        <w:tc>
          <w:tcPr>
            <w:tcW w:w="711" w:type="dxa"/>
            <w:vMerge w:val="restart"/>
            <w:tcBorders>
              <w:top w:val="single" w:color="000000" w:sz="8" w:space="0"/>
              <w:left w:val="single" w:color="000000" w:sz="8" w:space="0"/>
              <w:bottom w:val="single" w:color="000000" w:sz="8" w:space="0"/>
              <w:right w:val="single" w:color="000000" w:sz="8" w:space="0"/>
            </w:tcBorders>
            <w:vAlign w:val="center"/>
          </w:tcPr>
          <w:p w14:paraId="1BB2305F">
            <w:pPr>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县级</w:t>
            </w: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1DF67292">
            <w:pPr>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1174A518">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241D4868">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34</w:t>
            </w:r>
          </w:p>
        </w:tc>
        <w:tc>
          <w:tcPr>
            <w:tcW w:w="3125" w:type="dxa"/>
            <w:tcBorders>
              <w:top w:val="single" w:color="000000" w:sz="8" w:space="0"/>
              <w:left w:val="single" w:color="000000" w:sz="8" w:space="0"/>
              <w:bottom w:val="single" w:color="000000" w:sz="8" w:space="0"/>
              <w:right w:val="single" w:color="000000" w:sz="8" w:space="0"/>
            </w:tcBorders>
            <w:vAlign w:val="center"/>
          </w:tcPr>
          <w:p w14:paraId="126F75D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川里古墓群</w:t>
            </w:r>
          </w:p>
        </w:tc>
        <w:tc>
          <w:tcPr>
            <w:tcW w:w="2693" w:type="dxa"/>
            <w:tcBorders>
              <w:top w:val="single" w:color="000000" w:sz="8" w:space="0"/>
              <w:left w:val="single" w:color="000000" w:sz="8" w:space="0"/>
              <w:bottom w:val="single" w:color="000000" w:sz="8" w:space="0"/>
              <w:right w:val="single" w:color="000000" w:sz="8" w:space="0"/>
            </w:tcBorders>
            <w:vAlign w:val="center"/>
          </w:tcPr>
          <w:p w14:paraId="59081AC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26F76F07">
            <w:pPr>
              <w:widowControl/>
              <w:adjustRightInd w:val="0"/>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7D6B1E41">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r w14:paraId="79469A47">
        <w:tblPrEx>
          <w:tblCellMar>
            <w:top w:w="0" w:type="dxa"/>
            <w:left w:w="108" w:type="dxa"/>
            <w:bottom w:w="0" w:type="dxa"/>
            <w:right w:w="108" w:type="dxa"/>
          </w:tblCellMar>
        </w:tblPrEx>
        <w:trPr>
          <w:trHeight w:val="170"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2EE3866">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35</w:t>
            </w:r>
          </w:p>
        </w:tc>
        <w:tc>
          <w:tcPr>
            <w:tcW w:w="3125" w:type="dxa"/>
            <w:tcBorders>
              <w:top w:val="single" w:color="000000" w:sz="8" w:space="0"/>
              <w:left w:val="single" w:color="000000" w:sz="8" w:space="0"/>
              <w:bottom w:val="single" w:color="000000" w:sz="8" w:space="0"/>
              <w:right w:val="single" w:color="000000" w:sz="8" w:space="0"/>
            </w:tcBorders>
            <w:vAlign w:val="center"/>
          </w:tcPr>
          <w:p w14:paraId="47F6811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双头山墓群</w:t>
            </w:r>
          </w:p>
        </w:tc>
        <w:tc>
          <w:tcPr>
            <w:tcW w:w="2693" w:type="dxa"/>
            <w:tcBorders>
              <w:top w:val="single" w:color="000000" w:sz="8" w:space="0"/>
              <w:left w:val="single" w:color="000000" w:sz="8" w:space="0"/>
              <w:bottom w:val="single" w:color="000000" w:sz="8" w:space="0"/>
              <w:right w:val="single" w:color="000000" w:sz="8" w:space="0"/>
            </w:tcBorders>
            <w:vAlign w:val="center"/>
          </w:tcPr>
          <w:p w14:paraId="56C40A2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碑登村</w:t>
            </w:r>
          </w:p>
        </w:tc>
        <w:tc>
          <w:tcPr>
            <w:tcW w:w="711" w:type="dxa"/>
            <w:vMerge w:val="continue"/>
            <w:tcBorders>
              <w:top w:val="single" w:color="000000" w:sz="8" w:space="0"/>
              <w:left w:val="single" w:color="000000" w:sz="8" w:space="0"/>
              <w:bottom w:val="single" w:color="000000" w:sz="8" w:space="0"/>
              <w:right w:val="single" w:color="000000" w:sz="8" w:space="0"/>
            </w:tcBorders>
            <w:vAlign w:val="center"/>
          </w:tcPr>
          <w:p w14:paraId="39C5709A">
            <w:pPr>
              <w:widowControl/>
              <w:adjustRightInd w:val="0"/>
              <w:spacing w:line="240" w:lineRule="auto"/>
              <w:ind w:firstLine="0" w:firstLineChars="0"/>
              <w:contextualSpacing/>
              <w:jc w:val="center"/>
              <w:rPr>
                <w:rFonts w:ascii="Arial" w:hAnsi="Arial" w:cs="Arial"/>
                <w:color w:val="000000"/>
                <w:sz w:val="20"/>
                <w:szCs w:val="20"/>
              </w:rPr>
            </w:pPr>
          </w:p>
        </w:tc>
        <w:tc>
          <w:tcPr>
            <w:tcW w:w="1214" w:type="dxa"/>
            <w:tcBorders>
              <w:top w:val="single" w:color="000000" w:sz="8" w:space="0"/>
              <w:left w:val="single" w:color="000000" w:sz="8" w:space="0"/>
              <w:bottom w:val="single" w:color="000000" w:sz="8" w:space="0"/>
              <w:right w:val="single" w:color="000000" w:sz="8" w:space="0"/>
            </w:tcBorders>
            <w:noWrap/>
            <w:vAlign w:val="center"/>
          </w:tcPr>
          <w:p w14:paraId="667D8AE6">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文保单位</w:t>
            </w:r>
          </w:p>
        </w:tc>
      </w:tr>
    </w:tbl>
    <w:p w14:paraId="2499983F">
      <w:pPr>
        <w:widowControl/>
        <w:adjustRightInd w:val="0"/>
        <w:snapToGrid w:val="0"/>
        <w:ind w:firstLine="640"/>
        <w:rPr>
          <w:rFonts w:cs="Times New Roman"/>
        </w:rPr>
      </w:pPr>
    </w:p>
    <w:bookmarkEnd w:id="73"/>
    <w:p w14:paraId="46ACDDAE">
      <w:pPr>
        <w:pStyle w:val="2"/>
        <w:spacing w:before="312" w:after="312"/>
        <w:rPr>
          <w:rFonts w:ascii="Times New Roman" w:hAnsi="Times New Roman" w:cs="Times New Roman"/>
        </w:rPr>
      </w:pPr>
      <w:bookmarkStart w:id="74" w:name="_Toc12003"/>
      <w:bookmarkStart w:id="75" w:name="_Toc24972"/>
      <w:bookmarkStart w:id="76" w:name="_Toc1757"/>
      <w:bookmarkStart w:id="77" w:name="_Toc185931304"/>
      <w:r>
        <w:rPr>
          <w:rFonts w:ascii="Times New Roman" w:hAnsi="Times New Roman" w:cs="Times New Roman"/>
        </w:rPr>
        <w:t>第五章 镇村统筹发展</w:t>
      </w:r>
      <w:bookmarkEnd w:id="74"/>
      <w:bookmarkEnd w:id="75"/>
      <w:bookmarkEnd w:id="76"/>
      <w:bookmarkEnd w:id="77"/>
    </w:p>
    <w:p w14:paraId="70C1318D">
      <w:pPr>
        <w:pStyle w:val="3"/>
        <w:rPr>
          <w:rFonts w:ascii="Times New Roman" w:hAnsi="Times New Roman" w:cs="Times New Roman"/>
        </w:rPr>
      </w:pPr>
      <w:bookmarkStart w:id="78" w:name="_Toc185931305"/>
      <w:bookmarkStart w:id="79" w:name="_Toc25814"/>
      <w:bookmarkStart w:id="80" w:name="_Toc29398"/>
      <w:bookmarkStart w:id="81" w:name="_Toc30971"/>
      <w:r>
        <w:rPr>
          <w:rFonts w:ascii="Times New Roman" w:hAnsi="Times New Roman" w:cs="Times New Roman"/>
        </w:rPr>
        <w:t>第一节 镇村体系</w:t>
      </w:r>
      <w:bookmarkEnd w:id="78"/>
      <w:bookmarkEnd w:id="79"/>
      <w:bookmarkEnd w:id="80"/>
      <w:bookmarkEnd w:id="81"/>
    </w:p>
    <w:p w14:paraId="3E96EA28">
      <w:pPr>
        <w:pStyle w:val="4"/>
        <w:numPr>
          <w:ilvl w:val="0"/>
          <w:numId w:val="15"/>
        </w:numPr>
        <w:ind w:left="420" w:firstLine="361" w:firstLineChars="113"/>
      </w:pPr>
      <w:r>
        <w:t>镇村人口规模</w:t>
      </w:r>
    </w:p>
    <w:p w14:paraId="3EA1C4CB">
      <w:pPr>
        <w:ind w:firstLine="640"/>
        <w:rPr>
          <w:rFonts w:cs="Times New Roman"/>
        </w:rPr>
      </w:pPr>
      <w:r>
        <w:rPr>
          <w:rFonts w:cs="Times New Roman"/>
        </w:rPr>
        <w:t>正视人口自然收缩规律，顺应城镇化高质量发展和城镇化发展阶段特征，积极应对人口减少与老龄化现象。</w:t>
      </w:r>
      <w:bookmarkStart w:id="82" w:name="_Hlk131409854"/>
      <w:bookmarkStart w:id="83" w:name="_Hlk131410016"/>
      <w:r>
        <w:rPr>
          <w:rFonts w:cs="Times New Roman"/>
        </w:rPr>
        <w:t>规划至</w:t>
      </w:r>
      <w:bookmarkEnd w:id="82"/>
      <w:r>
        <w:rPr>
          <w:rFonts w:cs="Times New Roman"/>
        </w:rPr>
        <w:t>2035年，华来镇域常住人口规模约</w:t>
      </w:r>
      <w:bookmarkStart w:id="84" w:name="OLE_LINK19"/>
      <w:r>
        <w:rPr>
          <w:rFonts w:hint="eastAsia" w:cs="Times New Roman"/>
        </w:rPr>
        <w:t>4.6</w:t>
      </w:r>
      <w:bookmarkEnd w:id="84"/>
      <w:r>
        <w:rPr>
          <w:rFonts w:hint="eastAsia" w:cs="Times New Roman"/>
        </w:rPr>
        <w:t>万</w:t>
      </w:r>
      <w:r>
        <w:rPr>
          <w:rFonts w:cs="Times New Roman"/>
        </w:rPr>
        <w:t>人，</w:t>
      </w:r>
      <w:bookmarkStart w:id="85" w:name="OLE_LINK20"/>
      <w:r>
        <w:rPr>
          <w:rFonts w:cs="Times New Roman"/>
        </w:rPr>
        <w:t>镇区人口约为</w:t>
      </w:r>
      <w:r>
        <w:rPr>
          <w:rFonts w:hint="eastAsia" w:cs="Times New Roman"/>
        </w:rPr>
        <w:t>1.5万</w:t>
      </w:r>
      <w:r>
        <w:rPr>
          <w:rFonts w:cs="Times New Roman"/>
        </w:rPr>
        <w:t>人</w:t>
      </w:r>
      <w:bookmarkEnd w:id="83"/>
      <w:r>
        <w:rPr>
          <w:rFonts w:cs="Times New Roman"/>
        </w:rPr>
        <w:t>。</w:t>
      </w:r>
    </w:p>
    <w:bookmarkEnd w:id="85"/>
    <w:p w14:paraId="5F07656E">
      <w:pPr>
        <w:pStyle w:val="4"/>
        <w:numPr>
          <w:ilvl w:val="0"/>
          <w:numId w:val="1"/>
        </w:numPr>
        <w:ind w:left="860" w:firstLine="361" w:firstLineChars="113"/>
      </w:pPr>
      <w:r>
        <w:t>镇村等级规模职能结构</w:t>
      </w:r>
    </w:p>
    <w:p w14:paraId="39CB03F4">
      <w:pPr>
        <w:ind w:firstLine="640"/>
        <w:jc w:val="left"/>
        <w:rPr>
          <w:rFonts w:cs="Times New Roman"/>
        </w:rPr>
      </w:pPr>
      <w:r>
        <w:rPr>
          <w:rFonts w:cs="Times New Roman"/>
        </w:rPr>
        <w:t>落实上位规划引导，综合考虑人口规模、经济职能、辐射范围等因素，构建“镇区—中心村—一般村”三级等级结构体系。镇区：以</w:t>
      </w:r>
      <w:r>
        <w:rPr>
          <w:rFonts w:hint="eastAsia" w:cs="Times New Roman"/>
        </w:rPr>
        <w:t>镇</w:t>
      </w:r>
      <w:r>
        <w:rPr>
          <w:rFonts w:cs="Times New Roman"/>
        </w:rPr>
        <w:t>政府驻地为核心，既是全域的政治、经济、文化中心和综合服务中心。其主要职能包括面向全域的管理职能、生产职能、服务职能、集散职能和创新职能，优化资源配置走集约型循环经济发展道路。</w:t>
      </w:r>
    </w:p>
    <w:p w14:paraId="3C637D0F">
      <w:pPr>
        <w:ind w:firstLine="640"/>
        <w:rPr>
          <w:rFonts w:cs="Times New Roman"/>
        </w:rPr>
      </w:pPr>
      <w:r>
        <w:rPr>
          <w:rFonts w:cs="Times New Roman"/>
        </w:rPr>
        <w:t>中心村：</w:t>
      </w:r>
      <w:r>
        <w:rPr>
          <w:rFonts w:hint="eastAsia" w:cs="Times New Roman"/>
        </w:rPr>
        <w:t>二户来村、光复村、铧尖子村、木盂子村、冯家堡村、大恩堡村6</w:t>
      </w:r>
      <w:r>
        <w:rPr>
          <w:rFonts w:cs="Times New Roman"/>
        </w:rPr>
        <w:t>个中心村。充分发挥现状基础优势和产业优势，形成村庄组团的中心，为周边村庄提供设施支撑，带动周边村庄发展。规划以优质米等特色农业和生态旅游为主导产业，依托良好的区位交通条件及生态资源禀赋，发展完善配套服务设施。中心村常住人口规模2000-3000人。</w:t>
      </w:r>
    </w:p>
    <w:p w14:paraId="4FC184FC">
      <w:pPr>
        <w:ind w:firstLine="640"/>
        <w:rPr>
          <w:rFonts w:cs="Times New Roman"/>
        </w:rPr>
      </w:pPr>
      <w:r>
        <w:rPr>
          <w:rFonts w:cs="Times New Roman"/>
        </w:rPr>
        <w:t>一般村：</w:t>
      </w:r>
      <w:r>
        <w:rPr>
          <w:rFonts w:hint="eastAsia" w:cs="Times New Roman"/>
        </w:rPr>
        <w:t>高俭地村、仙人洞村、瓦尔喀什寨村、川里村、高台子村、文治沟村、碑登村、拉古甲村、朱家堡村、柳林子村、果松川村、蔡娥堡村、暖河子村13</w:t>
      </w:r>
      <w:r>
        <w:rPr>
          <w:rFonts w:cs="Times New Roman"/>
        </w:rPr>
        <w:t>个一般村，是农村生活、日常公共服务中心和专业化农业生产基地。结合产业基础，重点建设稻米加工</w:t>
      </w:r>
      <w:r>
        <w:rPr>
          <w:rFonts w:hint="eastAsia" w:cs="Times New Roman"/>
        </w:rPr>
        <w:t>、</w:t>
      </w:r>
      <w:r>
        <w:rPr>
          <w:rFonts w:cs="Times New Roman"/>
        </w:rPr>
        <w:t>蔬菜</w:t>
      </w:r>
      <w:r>
        <w:rPr>
          <w:rFonts w:hint="eastAsia" w:cs="Times New Roman"/>
        </w:rPr>
        <w:t>、</w:t>
      </w:r>
      <w:r>
        <w:rPr>
          <w:rFonts w:cs="Times New Roman"/>
        </w:rPr>
        <w:t>中药材等基地建设。同时完善乡村基础设施和服务设施，提升人居环境水平。一般村常住人口规模1000-2000人。</w:t>
      </w:r>
    </w:p>
    <w:p w14:paraId="4E179DE6">
      <w:pPr>
        <w:pStyle w:val="3"/>
        <w:rPr>
          <w:rFonts w:ascii="Times New Roman" w:hAnsi="Times New Roman" w:cs="Times New Roman"/>
        </w:rPr>
      </w:pPr>
      <w:bookmarkStart w:id="86" w:name="_Toc185931306"/>
      <w:bookmarkStart w:id="87" w:name="_Toc31252"/>
      <w:bookmarkStart w:id="88" w:name="_Toc175064675"/>
      <w:bookmarkStart w:id="89" w:name="_Toc21109"/>
      <w:bookmarkStart w:id="90" w:name="_Toc29938"/>
      <w:r>
        <w:rPr>
          <w:rFonts w:ascii="Times New Roman" w:hAnsi="Times New Roman" w:cs="Times New Roman"/>
        </w:rPr>
        <w:t>第二节 村庄布局</w:t>
      </w:r>
      <w:bookmarkEnd w:id="86"/>
      <w:bookmarkEnd w:id="87"/>
      <w:bookmarkEnd w:id="88"/>
      <w:bookmarkEnd w:id="89"/>
      <w:bookmarkEnd w:id="90"/>
    </w:p>
    <w:p w14:paraId="7B115F09">
      <w:pPr>
        <w:pStyle w:val="4"/>
        <w:numPr>
          <w:ilvl w:val="0"/>
          <w:numId w:val="16"/>
        </w:numPr>
        <w:ind w:left="420" w:firstLine="361" w:firstLineChars="113"/>
        <w:rPr>
          <w:rFonts w:eastAsia="楷体"/>
        </w:rPr>
      </w:pPr>
      <w:r>
        <w:t>村庄分类引导</w:t>
      </w:r>
    </w:p>
    <w:p w14:paraId="6477DE58">
      <w:pPr>
        <w:widowControl/>
        <w:adjustRightInd w:val="0"/>
        <w:snapToGrid w:val="0"/>
        <w:ind w:firstLine="640"/>
        <w:rPr>
          <w:rFonts w:cs="Times New Roman"/>
        </w:rPr>
      </w:pPr>
      <w:r>
        <w:rPr>
          <w:rFonts w:cs="Times New Roman"/>
        </w:rPr>
        <w:t>改善乡村人居环境，保护提升乡村风貌格局，根据不同村庄的发展现状、区位条件、资源禀赋等，</w:t>
      </w:r>
      <w:r>
        <w:rPr>
          <w:rFonts w:cs="Times New Roman"/>
          <w:color w:val="000000"/>
          <w:szCs w:val="32"/>
          <w:lang w:bidi="ar"/>
        </w:rPr>
        <w:t>按照集聚建设、整治提升、城郊融合、特色保护的思路，</w:t>
      </w:r>
      <w:r>
        <w:rPr>
          <w:rFonts w:cs="Times New Roman"/>
        </w:rPr>
        <w:t>加强村庄发展的分类引导，分类推进乡村发展。</w:t>
      </w:r>
    </w:p>
    <w:p w14:paraId="6599BC65">
      <w:pPr>
        <w:widowControl/>
        <w:adjustRightInd w:val="0"/>
        <w:snapToGrid w:val="0"/>
        <w:ind w:firstLine="640"/>
        <w:rPr>
          <w:rFonts w:cs="Times New Roman"/>
        </w:rPr>
      </w:pPr>
      <w:r>
        <w:rPr>
          <w:rFonts w:cs="Times New Roman"/>
        </w:rPr>
        <w:t>规划全域内集聚建设类村庄</w:t>
      </w:r>
      <w:r>
        <w:rPr>
          <w:rFonts w:hint="eastAsia" w:cs="Times New Roman"/>
        </w:rPr>
        <w:t>4</w:t>
      </w:r>
      <w:r>
        <w:rPr>
          <w:rFonts w:cs="Times New Roman"/>
        </w:rPr>
        <w:t>个，整治提升类村庄</w:t>
      </w:r>
      <w:r>
        <w:rPr>
          <w:rFonts w:hint="eastAsia" w:cs="Times New Roman"/>
        </w:rPr>
        <w:t>10</w:t>
      </w:r>
      <w:r>
        <w:rPr>
          <w:rFonts w:cs="Times New Roman"/>
        </w:rPr>
        <w:t>个，城郊融合类村庄</w:t>
      </w:r>
      <w:r>
        <w:rPr>
          <w:rFonts w:hint="eastAsia" w:cs="Times New Roman"/>
        </w:rPr>
        <w:t>2</w:t>
      </w:r>
      <w:r>
        <w:rPr>
          <w:rFonts w:cs="Times New Roman"/>
        </w:rPr>
        <w:t>个，</w:t>
      </w:r>
      <w:r>
        <w:rPr>
          <w:rFonts w:hint="eastAsia" w:cs="Times New Roman"/>
        </w:rPr>
        <w:t>特色保护类村庄3个，</w:t>
      </w:r>
      <w:r>
        <w:rPr>
          <w:rFonts w:cs="Times New Roman"/>
        </w:rPr>
        <w:t>无拆迁撤并类，村庄规划编制应按照《辽宁省村庄规划导则（试行）》要求，对村庄进行分类发展引导。</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6F1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 w:hRule="atLeast"/>
        </w:trPr>
        <w:tc>
          <w:tcPr>
            <w:tcW w:w="5000" w:type="pct"/>
            <w:tcBorders>
              <w:top w:val="single" w:color="auto" w:sz="4" w:space="0"/>
              <w:left w:val="single" w:color="auto" w:sz="4" w:space="0"/>
              <w:bottom w:val="single" w:color="auto" w:sz="4" w:space="0"/>
              <w:right w:val="single" w:color="auto" w:sz="4" w:space="0"/>
            </w:tcBorders>
          </w:tcPr>
          <w:p w14:paraId="55DD5425">
            <w:pPr>
              <w:pStyle w:val="15"/>
              <w:widowControl w:val="0"/>
              <w:tabs>
                <w:tab w:val="left" w:pos="0"/>
                <w:tab w:val="left" w:pos="5530"/>
              </w:tabs>
              <w:adjustRightInd/>
              <w:snapToGrid/>
              <w:spacing w:before="0" w:beforeAutospacing="0" w:after="0" w:afterAutospacing="0" w:line="500" w:lineRule="exact"/>
              <w:ind w:firstLine="560"/>
              <w:jc w:val="center"/>
              <w:rPr>
                <w:rFonts w:ascii="Times New Roman" w:hAnsi="Times New Roman" w:eastAsia="仿宋" w:cs="Times New Roman"/>
                <w:kern w:val="2"/>
                <w:sz w:val="32"/>
                <w:szCs w:val="32"/>
              </w:rPr>
            </w:pPr>
            <w:r>
              <w:rPr>
                <w:rFonts w:ascii="Times New Roman" w:hAnsi="Times New Roman" w:eastAsia="黑体" w:cs="Times New Roman"/>
                <w:kern w:val="2"/>
                <w:sz w:val="28"/>
                <w:szCs w:val="28"/>
                <w:lang w:bidi="ar"/>
              </w:rPr>
              <w:t>专栏1 村庄分类与建设指引</w:t>
            </w:r>
          </w:p>
        </w:tc>
      </w:tr>
      <w:tr w14:paraId="6D95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14:paraId="293904B6">
            <w:pPr>
              <w:pStyle w:val="15"/>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集聚建设类村庄：规划确定</w:t>
            </w:r>
            <w:r>
              <w:rPr>
                <w:rFonts w:hint="eastAsia" w:ascii="Times New Roman" w:hAnsi="Times New Roman" w:eastAsia="仿宋_GB2312" w:cs="Times New Roman"/>
                <w:kern w:val="2"/>
                <w:sz w:val="28"/>
                <w:szCs w:val="20"/>
                <w:lang w:bidi="ar"/>
              </w:rPr>
              <w:t>铧尖子村、木盂子村、冯家堡村、大恩堡村</w:t>
            </w:r>
            <w:r>
              <w:rPr>
                <w:rFonts w:ascii="Times New Roman" w:hAnsi="Times New Roman" w:eastAsia="仿宋_GB2312" w:cs="Times New Roman"/>
                <w:kern w:val="2"/>
                <w:sz w:val="28"/>
                <w:szCs w:val="20"/>
                <w:lang w:bidi="ar"/>
              </w:rPr>
              <w:t>为集聚建设类村庄。坚持保护优先、节约优先，配建补齐各类基础设施，加快人居环境整治，建设美丽宜居村庄。通过打造专业村庄，强化对周边村庄的辐射带动和示范作用，引导周边零散居民点向该类型村庄集聚。鼓励发挥自身比较优势，强化主导产业支撑。强化村庄空间与区域环境协调性。</w:t>
            </w:r>
          </w:p>
          <w:p w14:paraId="0B7675B0">
            <w:pPr>
              <w:pStyle w:val="15"/>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整治提升类村庄：规划确定</w:t>
            </w:r>
            <w:r>
              <w:rPr>
                <w:rFonts w:hint="eastAsia" w:ascii="Times New Roman" w:hAnsi="Times New Roman" w:eastAsia="仿宋_GB2312" w:cs="Times New Roman"/>
                <w:kern w:val="2"/>
                <w:sz w:val="28"/>
                <w:szCs w:val="20"/>
                <w:lang w:bidi="ar"/>
              </w:rPr>
              <w:t>川里村、高台子村、文治沟村、碑登村、拉古甲村、朱家堡村、柳林子村、果松川村、蔡娥堡村、暖河子村</w:t>
            </w:r>
            <w:r>
              <w:rPr>
                <w:rFonts w:ascii="Times New Roman" w:hAnsi="Times New Roman" w:eastAsia="仿宋_GB2312" w:cs="Times New Roman"/>
                <w:kern w:val="2"/>
                <w:sz w:val="28"/>
                <w:szCs w:val="20"/>
                <w:lang w:bidi="ar"/>
              </w:rPr>
              <w:t>为整治提升类村庄。以改善村民生活居住环境为目的，重点补齐村庄设施短板、强化村庄人居环境整治、保障村民合理建房需求、塑造乡村特色风貌，提高村民的生活居住质量，积极盘活存量用地。</w:t>
            </w:r>
          </w:p>
          <w:p w14:paraId="5A8DA3EC">
            <w:pPr>
              <w:pStyle w:val="15"/>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城郊融合类村庄：规划确定</w:t>
            </w:r>
            <w:r>
              <w:rPr>
                <w:rFonts w:hint="eastAsia" w:ascii="Times New Roman" w:hAnsi="Times New Roman" w:eastAsia="仿宋_GB2312" w:cs="Times New Roman"/>
                <w:kern w:val="2"/>
                <w:sz w:val="28"/>
                <w:szCs w:val="20"/>
                <w:lang w:bidi="ar"/>
              </w:rPr>
              <w:t>二户来村、光复村</w:t>
            </w:r>
            <w:r>
              <w:rPr>
                <w:rFonts w:ascii="Times New Roman" w:hAnsi="Times New Roman" w:eastAsia="仿宋_GB2312" w:cs="Times New Roman"/>
                <w:kern w:val="2"/>
                <w:sz w:val="28"/>
                <w:szCs w:val="20"/>
                <w:lang w:bidi="ar"/>
              </w:rPr>
              <w:t>城郊融合类村庄。推动城乡产业融合发展、基础设施互联互通、公共服务设施共建共享，打造宜居、宜业、宜游的现代化村庄。鼓励工业企业与农业形成优势互补，共同打造从田间到餐桌的完整产业链。完善公共服务设施，满足村民的基本需求。</w:t>
            </w:r>
          </w:p>
          <w:p w14:paraId="06D67D6A">
            <w:pPr>
              <w:pStyle w:val="15"/>
              <w:spacing w:before="0" w:beforeAutospacing="0" w:after="0" w:afterAutospacing="0" w:line="500" w:lineRule="exact"/>
              <w:ind w:firstLine="560" w:firstLineChars="200"/>
              <w:jc w:val="both"/>
              <w:rPr>
                <w:rFonts w:ascii="Times New Roman" w:hAnsi="Times New Roman" w:cs="Times New Roman"/>
              </w:rPr>
            </w:pPr>
            <w:r>
              <w:rPr>
                <w:rFonts w:hint="eastAsia" w:ascii="Times New Roman" w:hAnsi="Times New Roman" w:eastAsia="仿宋_GB2312" w:cs="Times New Roman"/>
                <w:kern w:val="2"/>
                <w:sz w:val="28"/>
                <w:szCs w:val="20"/>
                <w:lang w:bidi="ar"/>
              </w:rPr>
              <w:t>特色保护类村庄：规划确定高俭地村、仙人洞村、瓦尔喀什寨村重点挖掘村庄历史文化与特色要素，统筹好保护、利用与发展的关系，充分衔接落实各类历史保护线，合理利用村庄特色资源，适度安排新增建设用地指标，用于发展乡村旅游和特色产业。</w:t>
            </w:r>
          </w:p>
        </w:tc>
      </w:tr>
    </w:tbl>
    <w:p w14:paraId="2CF6CBA5">
      <w:pPr>
        <w:ind w:left="1756" w:firstLine="0" w:firstLineChars="0"/>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3"/>
        <w:gridCol w:w="730"/>
        <w:gridCol w:w="2736"/>
        <w:gridCol w:w="2109"/>
      </w:tblGrid>
      <w:tr w14:paraId="7EE7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Align w:val="center"/>
          </w:tcPr>
          <w:p w14:paraId="12EF44B2">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行政村类型</w:t>
            </w:r>
          </w:p>
        </w:tc>
        <w:tc>
          <w:tcPr>
            <w:tcW w:w="428" w:type="pct"/>
            <w:vAlign w:val="center"/>
          </w:tcPr>
          <w:p w14:paraId="002B2CA5">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数量</w:t>
            </w:r>
          </w:p>
        </w:tc>
        <w:tc>
          <w:tcPr>
            <w:tcW w:w="1604" w:type="pct"/>
            <w:vAlign w:val="center"/>
          </w:tcPr>
          <w:p w14:paraId="135C7077">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行政村名称</w:t>
            </w:r>
          </w:p>
        </w:tc>
        <w:tc>
          <w:tcPr>
            <w:tcW w:w="1236" w:type="pct"/>
            <w:vAlign w:val="center"/>
          </w:tcPr>
          <w:p w14:paraId="5C533363">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备注</w:t>
            </w:r>
          </w:p>
        </w:tc>
      </w:tr>
      <w:tr w14:paraId="1CDB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restart"/>
            <w:vAlign w:val="center"/>
          </w:tcPr>
          <w:p w14:paraId="08B484F9">
            <w:pPr>
              <w:spacing w:line="240" w:lineRule="auto"/>
              <w:ind w:firstLine="0" w:firstLineChars="0"/>
              <w:jc w:val="center"/>
              <w:rPr>
                <w:rFonts w:cs="Times New Roman"/>
                <w:kern w:val="0"/>
                <w:sz w:val="21"/>
                <w:szCs w:val="21"/>
              </w:rPr>
            </w:pPr>
            <w:r>
              <w:rPr>
                <w:rFonts w:cs="Times New Roman"/>
                <w:kern w:val="0"/>
                <w:sz w:val="21"/>
                <w:szCs w:val="21"/>
              </w:rPr>
              <w:t>集聚建设类</w:t>
            </w:r>
          </w:p>
        </w:tc>
        <w:tc>
          <w:tcPr>
            <w:tcW w:w="428" w:type="pct"/>
            <w:vMerge w:val="restart"/>
            <w:vAlign w:val="center"/>
          </w:tcPr>
          <w:p w14:paraId="105E0952">
            <w:pPr>
              <w:spacing w:line="240" w:lineRule="auto"/>
              <w:ind w:firstLine="0" w:firstLineChars="0"/>
              <w:jc w:val="center"/>
              <w:rPr>
                <w:rFonts w:cs="Times New Roman"/>
                <w:kern w:val="0"/>
                <w:sz w:val="21"/>
                <w:szCs w:val="21"/>
              </w:rPr>
            </w:pPr>
            <w:r>
              <w:rPr>
                <w:rFonts w:hint="eastAsia" w:cs="Times New Roman"/>
                <w:kern w:val="0"/>
                <w:sz w:val="21"/>
                <w:szCs w:val="21"/>
              </w:rPr>
              <w:t>4</w:t>
            </w:r>
          </w:p>
        </w:tc>
        <w:tc>
          <w:tcPr>
            <w:tcW w:w="1604" w:type="pct"/>
            <w:vAlign w:val="center"/>
          </w:tcPr>
          <w:p w14:paraId="02983F7F">
            <w:pPr>
              <w:spacing w:line="240" w:lineRule="auto"/>
              <w:ind w:firstLine="0" w:firstLineChars="0"/>
              <w:jc w:val="center"/>
              <w:rPr>
                <w:rFonts w:cs="Times New Roman"/>
                <w:kern w:val="0"/>
                <w:sz w:val="21"/>
                <w:szCs w:val="21"/>
              </w:rPr>
            </w:pPr>
            <w:r>
              <w:rPr>
                <w:rFonts w:hint="eastAsia" w:cs="Times New Roman"/>
                <w:kern w:val="0"/>
                <w:sz w:val="21"/>
                <w:szCs w:val="21"/>
              </w:rPr>
              <w:t>铧尖子村</w:t>
            </w:r>
          </w:p>
        </w:tc>
        <w:tc>
          <w:tcPr>
            <w:tcW w:w="1236" w:type="pct"/>
          </w:tcPr>
          <w:p w14:paraId="25C8A129">
            <w:pPr>
              <w:widowControl/>
              <w:spacing w:line="240" w:lineRule="auto"/>
              <w:ind w:firstLine="0" w:firstLineChars="0"/>
              <w:jc w:val="center"/>
              <w:rPr>
                <w:rFonts w:eastAsia="黑体" w:cs="Times New Roman"/>
                <w:color w:val="000000"/>
                <w:kern w:val="0"/>
                <w:sz w:val="21"/>
                <w:szCs w:val="21"/>
                <w:lang w:bidi="ar"/>
              </w:rPr>
            </w:pPr>
          </w:p>
        </w:tc>
      </w:tr>
      <w:tr w14:paraId="2C7E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2AF0266E">
            <w:pPr>
              <w:spacing w:line="240" w:lineRule="auto"/>
              <w:ind w:firstLine="0" w:firstLineChars="0"/>
              <w:jc w:val="center"/>
              <w:rPr>
                <w:rFonts w:cs="Times New Roman"/>
                <w:kern w:val="0"/>
                <w:sz w:val="21"/>
                <w:szCs w:val="21"/>
              </w:rPr>
            </w:pPr>
          </w:p>
        </w:tc>
        <w:tc>
          <w:tcPr>
            <w:tcW w:w="428" w:type="pct"/>
            <w:vMerge w:val="continue"/>
            <w:vAlign w:val="center"/>
          </w:tcPr>
          <w:p w14:paraId="59FF1BDB">
            <w:pPr>
              <w:spacing w:line="240" w:lineRule="auto"/>
              <w:ind w:firstLine="0" w:firstLineChars="0"/>
              <w:jc w:val="center"/>
              <w:rPr>
                <w:rFonts w:cs="Times New Roman"/>
                <w:kern w:val="0"/>
                <w:sz w:val="21"/>
                <w:szCs w:val="21"/>
              </w:rPr>
            </w:pPr>
          </w:p>
        </w:tc>
        <w:tc>
          <w:tcPr>
            <w:tcW w:w="1604" w:type="pct"/>
            <w:vAlign w:val="center"/>
          </w:tcPr>
          <w:p w14:paraId="2ADC8EDB">
            <w:pPr>
              <w:spacing w:line="240" w:lineRule="auto"/>
              <w:ind w:firstLine="0" w:firstLineChars="0"/>
              <w:jc w:val="center"/>
              <w:rPr>
                <w:rFonts w:cs="Times New Roman"/>
                <w:kern w:val="0"/>
                <w:sz w:val="21"/>
                <w:szCs w:val="21"/>
              </w:rPr>
            </w:pPr>
            <w:r>
              <w:rPr>
                <w:rFonts w:hint="eastAsia" w:cs="Times New Roman"/>
                <w:kern w:val="0"/>
                <w:sz w:val="21"/>
                <w:szCs w:val="21"/>
              </w:rPr>
              <w:t>木盂子村</w:t>
            </w:r>
          </w:p>
        </w:tc>
        <w:tc>
          <w:tcPr>
            <w:tcW w:w="1236" w:type="pct"/>
          </w:tcPr>
          <w:p w14:paraId="6A61296B">
            <w:pPr>
              <w:widowControl/>
              <w:spacing w:line="240" w:lineRule="auto"/>
              <w:ind w:firstLine="0" w:firstLineChars="0"/>
              <w:jc w:val="center"/>
              <w:rPr>
                <w:rFonts w:eastAsia="黑体" w:cs="Times New Roman"/>
                <w:color w:val="000000"/>
                <w:kern w:val="0"/>
                <w:sz w:val="21"/>
                <w:szCs w:val="21"/>
                <w:lang w:bidi="ar"/>
              </w:rPr>
            </w:pPr>
          </w:p>
        </w:tc>
      </w:tr>
      <w:tr w14:paraId="7C85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1A8ED6F3">
            <w:pPr>
              <w:spacing w:line="240" w:lineRule="auto"/>
              <w:ind w:firstLine="0" w:firstLineChars="0"/>
              <w:jc w:val="center"/>
              <w:rPr>
                <w:rFonts w:cs="Times New Roman"/>
                <w:kern w:val="0"/>
                <w:sz w:val="21"/>
                <w:szCs w:val="21"/>
              </w:rPr>
            </w:pPr>
          </w:p>
        </w:tc>
        <w:tc>
          <w:tcPr>
            <w:tcW w:w="428" w:type="pct"/>
            <w:vMerge w:val="continue"/>
            <w:vAlign w:val="center"/>
          </w:tcPr>
          <w:p w14:paraId="74D8F1B4">
            <w:pPr>
              <w:spacing w:line="240" w:lineRule="auto"/>
              <w:ind w:firstLine="0" w:firstLineChars="0"/>
              <w:jc w:val="center"/>
              <w:rPr>
                <w:rFonts w:cs="Times New Roman"/>
                <w:kern w:val="0"/>
                <w:sz w:val="21"/>
                <w:szCs w:val="21"/>
              </w:rPr>
            </w:pPr>
          </w:p>
        </w:tc>
        <w:tc>
          <w:tcPr>
            <w:tcW w:w="1604" w:type="pct"/>
            <w:vAlign w:val="center"/>
          </w:tcPr>
          <w:p w14:paraId="41BD86E5">
            <w:pPr>
              <w:spacing w:line="240" w:lineRule="auto"/>
              <w:ind w:firstLine="0" w:firstLineChars="0"/>
              <w:jc w:val="center"/>
              <w:rPr>
                <w:rFonts w:cs="Times New Roman"/>
                <w:kern w:val="0"/>
                <w:sz w:val="21"/>
                <w:szCs w:val="21"/>
              </w:rPr>
            </w:pPr>
            <w:r>
              <w:rPr>
                <w:rFonts w:hint="eastAsia" w:cs="Times New Roman"/>
                <w:kern w:val="0"/>
                <w:sz w:val="21"/>
                <w:szCs w:val="21"/>
              </w:rPr>
              <w:t>冯家堡村</w:t>
            </w:r>
          </w:p>
        </w:tc>
        <w:tc>
          <w:tcPr>
            <w:tcW w:w="1236" w:type="pct"/>
          </w:tcPr>
          <w:p w14:paraId="1EECC673">
            <w:pPr>
              <w:widowControl/>
              <w:spacing w:line="240" w:lineRule="auto"/>
              <w:ind w:firstLine="0" w:firstLineChars="0"/>
              <w:jc w:val="center"/>
              <w:rPr>
                <w:rFonts w:eastAsia="黑体" w:cs="Times New Roman"/>
                <w:color w:val="000000"/>
                <w:kern w:val="0"/>
                <w:sz w:val="21"/>
                <w:szCs w:val="21"/>
                <w:lang w:bidi="ar"/>
              </w:rPr>
            </w:pPr>
          </w:p>
        </w:tc>
      </w:tr>
      <w:tr w14:paraId="09A4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3AC74745">
            <w:pPr>
              <w:spacing w:line="240" w:lineRule="auto"/>
              <w:ind w:firstLine="0" w:firstLineChars="0"/>
              <w:jc w:val="center"/>
              <w:rPr>
                <w:rFonts w:cs="Times New Roman"/>
                <w:kern w:val="0"/>
                <w:sz w:val="21"/>
                <w:szCs w:val="21"/>
              </w:rPr>
            </w:pPr>
          </w:p>
        </w:tc>
        <w:tc>
          <w:tcPr>
            <w:tcW w:w="428" w:type="pct"/>
            <w:vMerge w:val="continue"/>
            <w:vAlign w:val="center"/>
          </w:tcPr>
          <w:p w14:paraId="0A06068D">
            <w:pPr>
              <w:spacing w:line="240" w:lineRule="auto"/>
              <w:ind w:firstLine="0" w:firstLineChars="0"/>
              <w:jc w:val="center"/>
              <w:rPr>
                <w:rFonts w:cs="Times New Roman"/>
                <w:kern w:val="0"/>
                <w:sz w:val="21"/>
                <w:szCs w:val="21"/>
              </w:rPr>
            </w:pPr>
          </w:p>
        </w:tc>
        <w:tc>
          <w:tcPr>
            <w:tcW w:w="1604" w:type="pct"/>
            <w:vAlign w:val="center"/>
          </w:tcPr>
          <w:p w14:paraId="2435F297">
            <w:pPr>
              <w:spacing w:line="240" w:lineRule="auto"/>
              <w:ind w:firstLine="0" w:firstLineChars="0"/>
              <w:jc w:val="center"/>
              <w:rPr>
                <w:rFonts w:cs="Times New Roman"/>
                <w:kern w:val="0"/>
                <w:sz w:val="21"/>
                <w:szCs w:val="21"/>
              </w:rPr>
            </w:pPr>
            <w:r>
              <w:rPr>
                <w:rFonts w:hint="eastAsia" w:cs="Times New Roman"/>
                <w:kern w:val="0"/>
                <w:sz w:val="21"/>
                <w:szCs w:val="21"/>
              </w:rPr>
              <w:t>大恩堡村</w:t>
            </w:r>
          </w:p>
        </w:tc>
        <w:tc>
          <w:tcPr>
            <w:tcW w:w="1236" w:type="pct"/>
          </w:tcPr>
          <w:p w14:paraId="44A85A81">
            <w:pPr>
              <w:widowControl/>
              <w:spacing w:line="240" w:lineRule="auto"/>
              <w:ind w:firstLine="0" w:firstLineChars="0"/>
              <w:jc w:val="center"/>
              <w:rPr>
                <w:rFonts w:eastAsia="黑体" w:cs="Times New Roman"/>
                <w:color w:val="000000"/>
                <w:kern w:val="0"/>
                <w:sz w:val="21"/>
                <w:szCs w:val="21"/>
                <w:lang w:bidi="ar"/>
              </w:rPr>
            </w:pPr>
          </w:p>
        </w:tc>
      </w:tr>
      <w:tr w14:paraId="4F70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restart"/>
            <w:vAlign w:val="center"/>
          </w:tcPr>
          <w:p w14:paraId="15C8C581">
            <w:pPr>
              <w:spacing w:line="240" w:lineRule="auto"/>
              <w:ind w:firstLine="0" w:firstLineChars="0"/>
              <w:jc w:val="center"/>
              <w:rPr>
                <w:rFonts w:cs="Times New Roman"/>
                <w:kern w:val="0"/>
                <w:sz w:val="21"/>
                <w:szCs w:val="21"/>
              </w:rPr>
            </w:pPr>
          </w:p>
          <w:p w14:paraId="524DA780">
            <w:pPr>
              <w:spacing w:line="240" w:lineRule="auto"/>
              <w:ind w:firstLine="0" w:firstLineChars="0"/>
              <w:jc w:val="center"/>
              <w:rPr>
                <w:rFonts w:cs="Times New Roman"/>
                <w:kern w:val="0"/>
                <w:sz w:val="21"/>
                <w:szCs w:val="21"/>
              </w:rPr>
            </w:pPr>
            <w:r>
              <w:rPr>
                <w:rFonts w:cs="Times New Roman"/>
                <w:kern w:val="0"/>
                <w:sz w:val="21"/>
                <w:szCs w:val="21"/>
              </w:rPr>
              <w:t>整治提升类</w:t>
            </w:r>
          </w:p>
          <w:p w14:paraId="081FB7D7">
            <w:pPr>
              <w:spacing w:line="240" w:lineRule="auto"/>
              <w:ind w:firstLine="840" w:firstLineChars="400"/>
              <w:rPr>
                <w:rFonts w:cs="Times New Roman"/>
                <w:kern w:val="0"/>
                <w:sz w:val="21"/>
                <w:szCs w:val="21"/>
              </w:rPr>
            </w:pPr>
          </w:p>
        </w:tc>
        <w:tc>
          <w:tcPr>
            <w:tcW w:w="428" w:type="pct"/>
            <w:vMerge w:val="restart"/>
            <w:vAlign w:val="center"/>
          </w:tcPr>
          <w:p w14:paraId="43DC5A85">
            <w:pPr>
              <w:spacing w:line="240" w:lineRule="auto"/>
              <w:ind w:firstLine="199" w:firstLineChars="95"/>
              <w:rPr>
                <w:rFonts w:cs="Times New Roman"/>
                <w:kern w:val="0"/>
                <w:sz w:val="21"/>
                <w:szCs w:val="21"/>
              </w:rPr>
            </w:pPr>
            <w:r>
              <w:rPr>
                <w:rFonts w:hint="eastAsia" w:cs="Times New Roman"/>
                <w:kern w:val="0"/>
                <w:sz w:val="21"/>
                <w:szCs w:val="21"/>
              </w:rPr>
              <w:t>10</w:t>
            </w:r>
          </w:p>
        </w:tc>
        <w:tc>
          <w:tcPr>
            <w:tcW w:w="1604" w:type="pct"/>
            <w:vAlign w:val="center"/>
          </w:tcPr>
          <w:p w14:paraId="7789689F">
            <w:pPr>
              <w:spacing w:line="240" w:lineRule="auto"/>
              <w:ind w:firstLine="0" w:firstLineChars="0"/>
              <w:jc w:val="center"/>
              <w:rPr>
                <w:rFonts w:cs="Times New Roman"/>
                <w:kern w:val="0"/>
                <w:sz w:val="21"/>
                <w:szCs w:val="21"/>
              </w:rPr>
            </w:pPr>
            <w:r>
              <w:rPr>
                <w:rFonts w:hint="eastAsia" w:cs="Times New Roman"/>
                <w:kern w:val="0"/>
                <w:sz w:val="21"/>
                <w:szCs w:val="21"/>
              </w:rPr>
              <w:t>川里村</w:t>
            </w:r>
          </w:p>
        </w:tc>
        <w:tc>
          <w:tcPr>
            <w:tcW w:w="1236" w:type="pct"/>
          </w:tcPr>
          <w:p w14:paraId="6D7F8077">
            <w:pPr>
              <w:widowControl/>
              <w:spacing w:line="240" w:lineRule="auto"/>
              <w:ind w:firstLine="0" w:firstLineChars="0"/>
              <w:jc w:val="center"/>
              <w:rPr>
                <w:rFonts w:eastAsia="黑体" w:cs="Times New Roman"/>
                <w:color w:val="000000"/>
                <w:kern w:val="0"/>
                <w:sz w:val="21"/>
                <w:szCs w:val="21"/>
                <w:lang w:bidi="ar"/>
              </w:rPr>
            </w:pPr>
          </w:p>
        </w:tc>
      </w:tr>
      <w:tr w14:paraId="7B36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1E828F03">
            <w:pPr>
              <w:spacing w:line="240" w:lineRule="auto"/>
              <w:ind w:firstLine="840" w:firstLineChars="400"/>
              <w:rPr>
                <w:rFonts w:cs="Times New Roman"/>
                <w:kern w:val="0"/>
                <w:sz w:val="21"/>
                <w:szCs w:val="21"/>
              </w:rPr>
            </w:pPr>
          </w:p>
        </w:tc>
        <w:tc>
          <w:tcPr>
            <w:tcW w:w="428" w:type="pct"/>
            <w:vMerge w:val="continue"/>
            <w:vAlign w:val="center"/>
          </w:tcPr>
          <w:p w14:paraId="11B524E2">
            <w:pPr>
              <w:spacing w:line="240" w:lineRule="auto"/>
              <w:ind w:firstLine="0" w:firstLineChars="0"/>
              <w:jc w:val="center"/>
              <w:rPr>
                <w:rFonts w:cs="Times New Roman"/>
                <w:kern w:val="0"/>
                <w:sz w:val="21"/>
                <w:szCs w:val="21"/>
              </w:rPr>
            </w:pPr>
          </w:p>
        </w:tc>
        <w:tc>
          <w:tcPr>
            <w:tcW w:w="1604" w:type="pct"/>
            <w:vAlign w:val="center"/>
          </w:tcPr>
          <w:p w14:paraId="6D54ADD1">
            <w:pPr>
              <w:spacing w:line="240" w:lineRule="auto"/>
              <w:ind w:firstLine="0" w:firstLineChars="0"/>
              <w:jc w:val="center"/>
              <w:rPr>
                <w:rFonts w:cs="Times New Roman"/>
                <w:kern w:val="0"/>
                <w:sz w:val="21"/>
                <w:szCs w:val="21"/>
              </w:rPr>
            </w:pPr>
            <w:r>
              <w:rPr>
                <w:rFonts w:hint="eastAsia" w:cs="Times New Roman"/>
                <w:kern w:val="0"/>
                <w:sz w:val="21"/>
                <w:szCs w:val="21"/>
              </w:rPr>
              <w:t>高台子村</w:t>
            </w:r>
          </w:p>
        </w:tc>
        <w:tc>
          <w:tcPr>
            <w:tcW w:w="1236" w:type="pct"/>
          </w:tcPr>
          <w:p w14:paraId="649D2236">
            <w:pPr>
              <w:widowControl/>
              <w:spacing w:line="240" w:lineRule="auto"/>
              <w:ind w:firstLine="0" w:firstLineChars="0"/>
              <w:jc w:val="center"/>
              <w:rPr>
                <w:rFonts w:eastAsia="黑体" w:cs="Times New Roman"/>
                <w:color w:val="000000"/>
                <w:kern w:val="0"/>
                <w:sz w:val="21"/>
                <w:szCs w:val="21"/>
                <w:lang w:bidi="ar"/>
              </w:rPr>
            </w:pPr>
          </w:p>
        </w:tc>
      </w:tr>
      <w:tr w14:paraId="2495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6DF68DCB">
            <w:pPr>
              <w:spacing w:line="240" w:lineRule="auto"/>
              <w:ind w:firstLine="0" w:firstLineChars="0"/>
              <w:jc w:val="center"/>
              <w:rPr>
                <w:rFonts w:cs="Times New Roman"/>
                <w:kern w:val="0"/>
                <w:sz w:val="21"/>
                <w:szCs w:val="21"/>
              </w:rPr>
            </w:pPr>
          </w:p>
        </w:tc>
        <w:tc>
          <w:tcPr>
            <w:tcW w:w="428" w:type="pct"/>
            <w:vMerge w:val="continue"/>
            <w:vAlign w:val="center"/>
          </w:tcPr>
          <w:p w14:paraId="26AA9344">
            <w:pPr>
              <w:spacing w:line="240" w:lineRule="auto"/>
              <w:ind w:firstLine="0" w:firstLineChars="0"/>
              <w:jc w:val="center"/>
              <w:rPr>
                <w:rFonts w:cs="Times New Roman"/>
                <w:kern w:val="0"/>
                <w:sz w:val="21"/>
                <w:szCs w:val="21"/>
              </w:rPr>
            </w:pPr>
          </w:p>
        </w:tc>
        <w:tc>
          <w:tcPr>
            <w:tcW w:w="1604" w:type="pct"/>
            <w:vAlign w:val="center"/>
          </w:tcPr>
          <w:p w14:paraId="78E06E8B">
            <w:pPr>
              <w:spacing w:line="240" w:lineRule="auto"/>
              <w:ind w:firstLine="0" w:firstLineChars="0"/>
              <w:jc w:val="center"/>
              <w:rPr>
                <w:rFonts w:cs="Times New Roman"/>
                <w:kern w:val="0"/>
                <w:sz w:val="21"/>
                <w:szCs w:val="21"/>
              </w:rPr>
            </w:pPr>
            <w:r>
              <w:rPr>
                <w:rFonts w:hint="eastAsia" w:cs="Times New Roman"/>
                <w:kern w:val="0"/>
                <w:sz w:val="21"/>
                <w:szCs w:val="21"/>
              </w:rPr>
              <w:t>文治沟村</w:t>
            </w:r>
          </w:p>
        </w:tc>
        <w:tc>
          <w:tcPr>
            <w:tcW w:w="1236" w:type="pct"/>
          </w:tcPr>
          <w:p w14:paraId="54FDB857">
            <w:pPr>
              <w:widowControl/>
              <w:spacing w:line="240" w:lineRule="auto"/>
              <w:ind w:firstLine="0" w:firstLineChars="0"/>
              <w:jc w:val="center"/>
              <w:rPr>
                <w:rFonts w:eastAsia="黑体" w:cs="Times New Roman"/>
                <w:color w:val="000000"/>
                <w:kern w:val="0"/>
                <w:sz w:val="21"/>
                <w:szCs w:val="21"/>
                <w:lang w:bidi="ar"/>
              </w:rPr>
            </w:pPr>
          </w:p>
        </w:tc>
      </w:tr>
      <w:tr w14:paraId="663C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20EE42F3">
            <w:pPr>
              <w:spacing w:line="240" w:lineRule="auto"/>
              <w:ind w:firstLine="0" w:firstLineChars="0"/>
              <w:jc w:val="center"/>
              <w:rPr>
                <w:rFonts w:cs="Times New Roman"/>
                <w:kern w:val="0"/>
                <w:sz w:val="21"/>
                <w:szCs w:val="21"/>
              </w:rPr>
            </w:pPr>
          </w:p>
        </w:tc>
        <w:tc>
          <w:tcPr>
            <w:tcW w:w="428" w:type="pct"/>
            <w:vMerge w:val="continue"/>
            <w:vAlign w:val="center"/>
          </w:tcPr>
          <w:p w14:paraId="6F8B1B32">
            <w:pPr>
              <w:spacing w:line="240" w:lineRule="auto"/>
              <w:ind w:firstLine="0" w:firstLineChars="0"/>
              <w:jc w:val="center"/>
              <w:rPr>
                <w:rFonts w:cs="Times New Roman"/>
                <w:kern w:val="0"/>
                <w:sz w:val="21"/>
                <w:szCs w:val="21"/>
              </w:rPr>
            </w:pPr>
          </w:p>
        </w:tc>
        <w:tc>
          <w:tcPr>
            <w:tcW w:w="1604" w:type="pct"/>
            <w:vAlign w:val="center"/>
          </w:tcPr>
          <w:p w14:paraId="469F52D6">
            <w:pPr>
              <w:spacing w:line="240" w:lineRule="auto"/>
              <w:ind w:firstLine="0" w:firstLineChars="0"/>
              <w:jc w:val="center"/>
              <w:rPr>
                <w:rFonts w:cs="Times New Roman"/>
                <w:kern w:val="0"/>
                <w:sz w:val="21"/>
                <w:szCs w:val="21"/>
              </w:rPr>
            </w:pPr>
            <w:r>
              <w:rPr>
                <w:rFonts w:hint="eastAsia" w:cs="Times New Roman"/>
                <w:kern w:val="0"/>
                <w:sz w:val="21"/>
                <w:szCs w:val="21"/>
              </w:rPr>
              <w:t>碑登村</w:t>
            </w:r>
          </w:p>
        </w:tc>
        <w:tc>
          <w:tcPr>
            <w:tcW w:w="1236" w:type="pct"/>
          </w:tcPr>
          <w:p w14:paraId="6939B761">
            <w:pPr>
              <w:widowControl/>
              <w:spacing w:line="240" w:lineRule="auto"/>
              <w:ind w:firstLine="0" w:firstLineChars="0"/>
              <w:jc w:val="center"/>
              <w:rPr>
                <w:rFonts w:eastAsia="黑体" w:cs="Times New Roman"/>
                <w:color w:val="000000"/>
                <w:kern w:val="0"/>
                <w:sz w:val="21"/>
                <w:szCs w:val="21"/>
                <w:lang w:bidi="ar"/>
              </w:rPr>
            </w:pPr>
          </w:p>
        </w:tc>
      </w:tr>
      <w:tr w14:paraId="725C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48F80D3D">
            <w:pPr>
              <w:spacing w:line="240" w:lineRule="auto"/>
              <w:ind w:firstLine="0" w:firstLineChars="0"/>
              <w:jc w:val="center"/>
              <w:rPr>
                <w:rFonts w:cs="Times New Roman"/>
                <w:kern w:val="0"/>
                <w:sz w:val="21"/>
                <w:szCs w:val="21"/>
              </w:rPr>
            </w:pPr>
          </w:p>
        </w:tc>
        <w:tc>
          <w:tcPr>
            <w:tcW w:w="428" w:type="pct"/>
            <w:vMerge w:val="continue"/>
            <w:vAlign w:val="center"/>
          </w:tcPr>
          <w:p w14:paraId="6F20B460">
            <w:pPr>
              <w:spacing w:line="240" w:lineRule="auto"/>
              <w:ind w:firstLine="0" w:firstLineChars="0"/>
              <w:jc w:val="center"/>
              <w:rPr>
                <w:rFonts w:cs="Times New Roman"/>
                <w:kern w:val="0"/>
                <w:sz w:val="21"/>
                <w:szCs w:val="21"/>
              </w:rPr>
            </w:pPr>
          </w:p>
        </w:tc>
        <w:tc>
          <w:tcPr>
            <w:tcW w:w="1604" w:type="pct"/>
            <w:vAlign w:val="center"/>
          </w:tcPr>
          <w:p w14:paraId="54B4B133">
            <w:pPr>
              <w:spacing w:line="240" w:lineRule="auto"/>
              <w:ind w:firstLine="0" w:firstLineChars="0"/>
              <w:jc w:val="center"/>
              <w:rPr>
                <w:rFonts w:cs="Times New Roman"/>
                <w:kern w:val="0"/>
                <w:sz w:val="21"/>
                <w:szCs w:val="21"/>
              </w:rPr>
            </w:pPr>
            <w:r>
              <w:rPr>
                <w:rFonts w:hint="eastAsia" w:cs="Times New Roman"/>
                <w:kern w:val="0"/>
                <w:sz w:val="21"/>
                <w:szCs w:val="21"/>
              </w:rPr>
              <w:t>拉古甲村</w:t>
            </w:r>
          </w:p>
        </w:tc>
        <w:tc>
          <w:tcPr>
            <w:tcW w:w="1236" w:type="pct"/>
          </w:tcPr>
          <w:p w14:paraId="32FEC1C7">
            <w:pPr>
              <w:widowControl/>
              <w:spacing w:line="240" w:lineRule="auto"/>
              <w:ind w:firstLine="0" w:firstLineChars="0"/>
              <w:jc w:val="center"/>
              <w:rPr>
                <w:rFonts w:eastAsia="黑体" w:cs="Times New Roman"/>
                <w:color w:val="000000"/>
                <w:kern w:val="0"/>
                <w:sz w:val="21"/>
                <w:szCs w:val="21"/>
                <w:lang w:bidi="ar"/>
              </w:rPr>
            </w:pPr>
          </w:p>
        </w:tc>
      </w:tr>
      <w:tr w14:paraId="34B3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69F3ADAC">
            <w:pPr>
              <w:spacing w:line="240" w:lineRule="auto"/>
              <w:ind w:firstLine="0" w:firstLineChars="0"/>
              <w:jc w:val="center"/>
              <w:rPr>
                <w:rFonts w:cs="Times New Roman"/>
                <w:kern w:val="0"/>
                <w:sz w:val="21"/>
                <w:szCs w:val="21"/>
              </w:rPr>
            </w:pPr>
          </w:p>
        </w:tc>
        <w:tc>
          <w:tcPr>
            <w:tcW w:w="428" w:type="pct"/>
            <w:vMerge w:val="continue"/>
            <w:vAlign w:val="center"/>
          </w:tcPr>
          <w:p w14:paraId="445A8A8F">
            <w:pPr>
              <w:spacing w:line="240" w:lineRule="auto"/>
              <w:ind w:firstLine="0" w:firstLineChars="0"/>
              <w:jc w:val="center"/>
              <w:rPr>
                <w:rFonts w:cs="Times New Roman"/>
                <w:kern w:val="0"/>
                <w:sz w:val="21"/>
                <w:szCs w:val="21"/>
              </w:rPr>
            </w:pPr>
          </w:p>
        </w:tc>
        <w:tc>
          <w:tcPr>
            <w:tcW w:w="1604" w:type="pct"/>
            <w:vAlign w:val="center"/>
          </w:tcPr>
          <w:p w14:paraId="60825914">
            <w:pPr>
              <w:spacing w:line="240" w:lineRule="auto"/>
              <w:ind w:firstLine="0" w:firstLineChars="0"/>
              <w:jc w:val="center"/>
              <w:rPr>
                <w:rFonts w:cs="Times New Roman"/>
                <w:kern w:val="0"/>
                <w:sz w:val="21"/>
                <w:szCs w:val="21"/>
              </w:rPr>
            </w:pPr>
            <w:r>
              <w:rPr>
                <w:rFonts w:hint="eastAsia" w:cs="Times New Roman"/>
                <w:kern w:val="0"/>
                <w:sz w:val="21"/>
                <w:szCs w:val="21"/>
              </w:rPr>
              <w:t>朱家堡村</w:t>
            </w:r>
          </w:p>
        </w:tc>
        <w:tc>
          <w:tcPr>
            <w:tcW w:w="1236" w:type="pct"/>
          </w:tcPr>
          <w:p w14:paraId="03A038E6">
            <w:pPr>
              <w:widowControl/>
              <w:spacing w:line="240" w:lineRule="auto"/>
              <w:ind w:firstLine="0" w:firstLineChars="0"/>
              <w:jc w:val="center"/>
              <w:rPr>
                <w:rFonts w:eastAsia="黑体" w:cs="Times New Roman"/>
                <w:color w:val="000000"/>
                <w:kern w:val="0"/>
                <w:sz w:val="21"/>
                <w:szCs w:val="21"/>
                <w:lang w:bidi="ar"/>
              </w:rPr>
            </w:pPr>
          </w:p>
        </w:tc>
      </w:tr>
      <w:tr w14:paraId="5FA0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65633F54">
            <w:pPr>
              <w:spacing w:line="240" w:lineRule="auto"/>
              <w:ind w:firstLine="0" w:firstLineChars="0"/>
              <w:jc w:val="center"/>
              <w:rPr>
                <w:rFonts w:cs="Times New Roman"/>
                <w:kern w:val="0"/>
                <w:sz w:val="21"/>
                <w:szCs w:val="21"/>
              </w:rPr>
            </w:pPr>
          </w:p>
        </w:tc>
        <w:tc>
          <w:tcPr>
            <w:tcW w:w="428" w:type="pct"/>
            <w:vMerge w:val="continue"/>
            <w:vAlign w:val="center"/>
          </w:tcPr>
          <w:p w14:paraId="2B815754">
            <w:pPr>
              <w:spacing w:line="240" w:lineRule="auto"/>
              <w:ind w:firstLine="0" w:firstLineChars="0"/>
              <w:jc w:val="center"/>
              <w:rPr>
                <w:rFonts w:cs="Times New Roman"/>
                <w:kern w:val="0"/>
                <w:sz w:val="21"/>
                <w:szCs w:val="21"/>
              </w:rPr>
            </w:pPr>
          </w:p>
        </w:tc>
        <w:tc>
          <w:tcPr>
            <w:tcW w:w="1604" w:type="pct"/>
            <w:vAlign w:val="center"/>
          </w:tcPr>
          <w:p w14:paraId="1BFFF4E1">
            <w:pPr>
              <w:spacing w:line="240" w:lineRule="auto"/>
              <w:ind w:firstLine="0" w:firstLineChars="0"/>
              <w:jc w:val="center"/>
              <w:rPr>
                <w:rFonts w:cs="Times New Roman"/>
                <w:kern w:val="0"/>
                <w:sz w:val="21"/>
                <w:szCs w:val="21"/>
              </w:rPr>
            </w:pPr>
            <w:r>
              <w:rPr>
                <w:rFonts w:hint="eastAsia" w:cs="Times New Roman"/>
                <w:kern w:val="0"/>
                <w:sz w:val="21"/>
                <w:szCs w:val="21"/>
              </w:rPr>
              <w:t>柳林子村</w:t>
            </w:r>
          </w:p>
        </w:tc>
        <w:tc>
          <w:tcPr>
            <w:tcW w:w="1236" w:type="pct"/>
          </w:tcPr>
          <w:p w14:paraId="45621A87">
            <w:pPr>
              <w:widowControl/>
              <w:spacing w:line="240" w:lineRule="auto"/>
              <w:ind w:firstLine="0" w:firstLineChars="0"/>
              <w:jc w:val="center"/>
              <w:rPr>
                <w:rFonts w:eastAsia="黑体" w:cs="Times New Roman"/>
                <w:color w:val="000000"/>
                <w:kern w:val="0"/>
                <w:sz w:val="21"/>
                <w:szCs w:val="21"/>
                <w:lang w:bidi="ar"/>
              </w:rPr>
            </w:pPr>
          </w:p>
        </w:tc>
      </w:tr>
      <w:tr w14:paraId="7393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2D9F8F8D">
            <w:pPr>
              <w:spacing w:line="240" w:lineRule="auto"/>
              <w:ind w:firstLine="0" w:firstLineChars="0"/>
              <w:jc w:val="center"/>
              <w:rPr>
                <w:rFonts w:cs="Times New Roman"/>
                <w:kern w:val="0"/>
                <w:sz w:val="21"/>
                <w:szCs w:val="21"/>
              </w:rPr>
            </w:pPr>
          </w:p>
        </w:tc>
        <w:tc>
          <w:tcPr>
            <w:tcW w:w="428" w:type="pct"/>
            <w:vMerge w:val="continue"/>
            <w:vAlign w:val="center"/>
          </w:tcPr>
          <w:p w14:paraId="5D52CE4A">
            <w:pPr>
              <w:spacing w:line="240" w:lineRule="auto"/>
              <w:ind w:firstLine="0" w:firstLineChars="0"/>
              <w:jc w:val="center"/>
              <w:rPr>
                <w:rFonts w:cs="Times New Roman"/>
                <w:kern w:val="0"/>
                <w:sz w:val="21"/>
                <w:szCs w:val="21"/>
              </w:rPr>
            </w:pPr>
          </w:p>
        </w:tc>
        <w:tc>
          <w:tcPr>
            <w:tcW w:w="1604" w:type="pct"/>
            <w:vAlign w:val="center"/>
          </w:tcPr>
          <w:p w14:paraId="4CC0E451">
            <w:pPr>
              <w:spacing w:line="240" w:lineRule="auto"/>
              <w:ind w:firstLine="0" w:firstLineChars="0"/>
              <w:jc w:val="center"/>
              <w:rPr>
                <w:rFonts w:cs="Times New Roman"/>
                <w:kern w:val="0"/>
                <w:sz w:val="21"/>
                <w:szCs w:val="21"/>
              </w:rPr>
            </w:pPr>
            <w:r>
              <w:rPr>
                <w:rFonts w:hint="eastAsia" w:cs="Times New Roman"/>
                <w:kern w:val="0"/>
                <w:sz w:val="21"/>
                <w:szCs w:val="21"/>
              </w:rPr>
              <w:t>果松川村</w:t>
            </w:r>
          </w:p>
        </w:tc>
        <w:tc>
          <w:tcPr>
            <w:tcW w:w="1236" w:type="pct"/>
          </w:tcPr>
          <w:p w14:paraId="1F03E5CC">
            <w:pPr>
              <w:widowControl/>
              <w:spacing w:line="240" w:lineRule="auto"/>
              <w:ind w:firstLine="0" w:firstLineChars="0"/>
              <w:jc w:val="center"/>
              <w:rPr>
                <w:rFonts w:eastAsia="黑体" w:cs="Times New Roman"/>
                <w:color w:val="000000"/>
                <w:kern w:val="0"/>
                <w:sz w:val="21"/>
                <w:szCs w:val="21"/>
                <w:lang w:bidi="ar"/>
              </w:rPr>
            </w:pPr>
          </w:p>
        </w:tc>
      </w:tr>
      <w:tr w14:paraId="6356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7E6C654D">
            <w:pPr>
              <w:spacing w:line="240" w:lineRule="auto"/>
              <w:ind w:firstLine="0" w:firstLineChars="0"/>
              <w:jc w:val="center"/>
              <w:rPr>
                <w:rFonts w:cs="Times New Roman"/>
                <w:kern w:val="0"/>
                <w:sz w:val="21"/>
                <w:szCs w:val="21"/>
              </w:rPr>
            </w:pPr>
          </w:p>
        </w:tc>
        <w:tc>
          <w:tcPr>
            <w:tcW w:w="428" w:type="pct"/>
            <w:vMerge w:val="continue"/>
            <w:vAlign w:val="center"/>
          </w:tcPr>
          <w:p w14:paraId="1F774990">
            <w:pPr>
              <w:spacing w:line="240" w:lineRule="auto"/>
              <w:ind w:firstLine="0" w:firstLineChars="0"/>
              <w:jc w:val="center"/>
              <w:rPr>
                <w:rFonts w:cs="Times New Roman"/>
                <w:kern w:val="0"/>
                <w:sz w:val="21"/>
                <w:szCs w:val="21"/>
              </w:rPr>
            </w:pPr>
          </w:p>
        </w:tc>
        <w:tc>
          <w:tcPr>
            <w:tcW w:w="1604" w:type="pct"/>
            <w:vAlign w:val="center"/>
          </w:tcPr>
          <w:p w14:paraId="3E4DE644">
            <w:pPr>
              <w:spacing w:line="240" w:lineRule="auto"/>
              <w:ind w:firstLine="0" w:firstLineChars="0"/>
              <w:jc w:val="center"/>
              <w:rPr>
                <w:rFonts w:cs="Times New Roman"/>
                <w:kern w:val="0"/>
                <w:sz w:val="21"/>
                <w:szCs w:val="21"/>
              </w:rPr>
            </w:pPr>
            <w:r>
              <w:rPr>
                <w:rFonts w:hint="eastAsia" w:cs="Times New Roman"/>
                <w:kern w:val="0"/>
                <w:sz w:val="21"/>
                <w:szCs w:val="21"/>
              </w:rPr>
              <w:t>蔡娥堡村</w:t>
            </w:r>
          </w:p>
        </w:tc>
        <w:tc>
          <w:tcPr>
            <w:tcW w:w="1236" w:type="pct"/>
          </w:tcPr>
          <w:p w14:paraId="4D878715">
            <w:pPr>
              <w:widowControl/>
              <w:spacing w:line="240" w:lineRule="auto"/>
              <w:ind w:firstLine="0" w:firstLineChars="0"/>
              <w:jc w:val="center"/>
              <w:rPr>
                <w:rFonts w:eastAsia="黑体" w:cs="Times New Roman"/>
                <w:color w:val="000000"/>
                <w:kern w:val="0"/>
                <w:sz w:val="21"/>
                <w:szCs w:val="21"/>
                <w:lang w:bidi="ar"/>
              </w:rPr>
            </w:pPr>
          </w:p>
        </w:tc>
      </w:tr>
      <w:tr w14:paraId="569C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7988907C">
            <w:pPr>
              <w:spacing w:line="240" w:lineRule="auto"/>
              <w:ind w:firstLine="0" w:firstLineChars="0"/>
              <w:jc w:val="center"/>
              <w:rPr>
                <w:rFonts w:cs="Times New Roman"/>
                <w:kern w:val="0"/>
                <w:sz w:val="21"/>
                <w:szCs w:val="21"/>
              </w:rPr>
            </w:pPr>
          </w:p>
        </w:tc>
        <w:tc>
          <w:tcPr>
            <w:tcW w:w="428" w:type="pct"/>
            <w:vMerge w:val="continue"/>
            <w:vAlign w:val="center"/>
          </w:tcPr>
          <w:p w14:paraId="071BCF13">
            <w:pPr>
              <w:spacing w:line="240" w:lineRule="auto"/>
              <w:ind w:firstLine="0" w:firstLineChars="0"/>
              <w:jc w:val="center"/>
              <w:rPr>
                <w:rFonts w:cs="Times New Roman"/>
                <w:kern w:val="0"/>
                <w:sz w:val="21"/>
                <w:szCs w:val="21"/>
              </w:rPr>
            </w:pPr>
          </w:p>
        </w:tc>
        <w:tc>
          <w:tcPr>
            <w:tcW w:w="1604" w:type="pct"/>
            <w:vAlign w:val="center"/>
          </w:tcPr>
          <w:p w14:paraId="50E3C047">
            <w:pPr>
              <w:spacing w:line="240" w:lineRule="auto"/>
              <w:ind w:firstLine="0" w:firstLineChars="0"/>
              <w:jc w:val="center"/>
              <w:rPr>
                <w:rFonts w:cs="Times New Roman"/>
                <w:color w:val="000000"/>
                <w:sz w:val="20"/>
                <w:szCs w:val="20"/>
              </w:rPr>
            </w:pPr>
            <w:r>
              <w:rPr>
                <w:rFonts w:hint="eastAsia" w:cs="Times New Roman"/>
                <w:color w:val="000000"/>
                <w:sz w:val="20"/>
                <w:szCs w:val="20"/>
              </w:rPr>
              <w:t>暖河子村</w:t>
            </w:r>
          </w:p>
        </w:tc>
        <w:tc>
          <w:tcPr>
            <w:tcW w:w="1236" w:type="pct"/>
          </w:tcPr>
          <w:p w14:paraId="4C543C5C">
            <w:pPr>
              <w:widowControl/>
              <w:spacing w:line="240" w:lineRule="auto"/>
              <w:ind w:firstLine="0" w:firstLineChars="0"/>
              <w:jc w:val="center"/>
              <w:rPr>
                <w:rFonts w:eastAsia="黑体" w:cs="Times New Roman"/>
                <w:color w:val="000000"/>
                <w:kern w:val="0"/>
                <w:sz w:val="21"/>
                <w:szCs w:val="21"/>
                <w:lang w:bidi="ar"/>
              </w:rPr>
            </w:pPr>
          </w:p>
        </w:tc>
      </w:tr>
      <w:tr w14:paraId="02E9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restart"/>
            <w:vAlign w:val="center"/>
          </w:tcPr>
          <w:p w14:paraId="48AA82ED">
            <w:pPr>
              <w:spacing w:line="240" w:lineRule="auto"/>
              <w:ind w:firstLine="0" w:firstLineChars="0"/>
              <w:jc w:val="center"/>
              <w:rPr>
                <w:rFonts w:cs="Times New Roman"/>
                <w:kern w:val="0"/>
                <w:sz w:val="21"/>
                <w:szCs w:val="21"/>
              </w:rPr>
            </w:pPr>
            <w:r>
              <w:rPr>
                <w:rFonts w:hint="eastAsia" w:cs="Times New Roman"/>
                <w:kern w:val="0"/>
                <w:sz w:val="21"/>
                <w:szCs w:val="21"/>
              </w:rPr>
              <w:t>特色保护类</w:t>
            </w:r>
          </w:p>
        </w:tc>
        <w:tc>
          <w:tcPr>
            <w:tcW w:w="428" w:type="pct"/>
            <w:vMerge w:val="restart"/>
            <w:vAlign w:val="center"/>
          </w:tcPr>
          <w:p w14:paraId="506DAC51">
            <w:pPr>
              <w:spacing w:line="240" w:lineRule="auto"/>
              <w:ind w:firstLine="0" w:firstLineChars="0"/>
              <w:jc w:val="center"/>
              <w:rPr>
                <w:rFonts w:cs="Times New Roman"/>
                <w:kern w:val="0"/>
                <w:sz w:val="21"/>
                <w:szCs w:val="21"/>
              </w:rPr>
            </w:pPr>
            <w:r>
              <w:rPr>
                <w:rFonts w:hint="eastAsia" w:cs="Times New Roman"/>
                <w:kern w:val="0"/>
                <w:sz w:val="21"/>
                <w:szCs w:val="21"/>
              </w:rPr>
              <w:t>3</w:t>
            </w:r>
          </w:p>
        </w:tc>
        <w:tc>
          <w:tcPr>
            <w:tcW w:w="1604" w:type="pct"/>
          </w:tcPr>
          <w:p w14:paraId="1A7880AF">
            <w:pPr>
              <w:spacing w:line="240" w:lineRule="auto"/>
              <w:ind w:firstLine="0" w:firstLineChars="0"/>
              <w:jc w:val="center"/>
              <w:rPr>
                <w:rFonts w:cs="Times New Roman"/>
                <w:color w:val="000000"/>
                <w:sz w:val="20"/>
                <w:szCs w:val="20"/>
              </w:rPr>
            </w:pPr>
            <w:r>
              <w:rPr>
                <w:rFonts w:hint="eastAsia" w:cs="Times New Roman"/>
                <w:color w:val="000000"/>
                <w:sz w:val="20"/>
                <w:szCs w:val="20"/>
              </w:rPr>
              <w:t>高俭地村</w:t>
            </w:r>
          </w:p>
        </w:tc>
        <w:tc>
          <w:tcPr>
            <w:tcW w:w="1236" w:type="pct"/>
          </w:tcPr>
          <w:p w14:paraId="1BED8A93">
            <w:pPr>
              <w:widowControl/>
              <w:spacing w:line="240" w:lineRule="auto"/>
              <w:ind w:firstLine="0" w:firstLineChars="0"/>
              <w:jc w:val="center"/>
              <w:rPr>
                <w:rFonts w:eastAsia="黑体" w:cs="Times New Roman"/>
                <w:color w:val="000000"/>
                <w:kern w:val="0"/>
                <w:sz w:val="21"/>
                <w:szCs w:val="21"/>
                <w:lang w:bidi="ar"/>
              </w:rPr>
            </w:pPr>
          </w:p>
        </w:tc>
      </w:tr>
      <w:tr w14:paraId="7EBE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62D3BE00">
            <w:pPr>
              <w:spacing w:line="240" w:lineRule="auto"/>
              <w:ind w:firstLine="0" w:firstLineChars="0"/>
              <w:jc w:val="center"/>
              <w:rPr>
                <w:rFonts w:cs="Times New Roman"/>
                <w:kern w:val="0"/>
                <w:sz w:val="21"/>
                <w:szCs w:val="21"/>
              </w:rPr>
            </w:pPr>
          </w:p>
        </w:tc>
        <w:tc>
          <w:tcPr>
            <w:tcW w:w="428" w:type="pct"/>
            <w:vMerge w:val="continue"/>
            <w:vAlign w:val="center"/>
          </w:tcPr>
          <w:p w14:paraId="702CF4BE">
            <w:pPr>
              <w:spacing w:line="240" w:lineRule="auto"/>
              <w:ind w:firstLine="0" w:firstLineChars="0"/>
              <w:jc w:val="center"/>
              <w:rPr>
                <w:rFonts w:cs="Times New Roman"/>
                <w:kern w:val="0"/>
                <w:sz w:val="21"/>
                <w:szCs w:val="21"/>
              </w:rPr>
            </w:pPr>
          </w:p>
        </w:tc>
        <w:tc>
          <w:tcPr>
            <w:tcW w:w="1604" w:type="pct"/>
          </w:tcPr>
          <w:p w14:paraId="07B61FB4">
            <w:pPr>
              <w:spacing w:line="240" w:lineRule="auto"/>
              <w:ind w:firstLine="0" w:firstLineChars="0"/>
              <w:jc w:val="center"/>
              <w:rPr>
                <w:rFonts w:cs="Times New Roman"/>
                <w:color w:val="000000"/>
                <w:sz w:val="20"/>
                <w:szCs w:val="20"/>
              </w:rPr>
            </w:pPr>
            <w:r>
              <w:rPr>
                <w:rFonts w:hint="eastAsia" w:cs="Times New Roman"/>
                <w:color w:val="000000"/>
                <w:sz w:val="20"/>
                <w:szCs w:val="20"/>
              </w:rPr>
              <w:t>仙人洞村</w:t>
            </w:r>
          </w:p>
        </w:tc>
        <w:tc>
          <w:tcPr>
            <w:tcW w:w="1236" w:type="pct"/>
          </w:tcPr>
          <w:p w14:paraId="70EAE779">
            <w:pPr>
              <w:widowControl/>
              <w:spacing w:line="240" w:lineRule="auto"/>
              <w:ind w:firstLine="0" w:firstLineChars="0"/>
              <w:jc w:val="center"/>
              <w:rPr>
                <w:rFonts w:eastAsia="黑体" w:cs="Times New Roman"/>
                <w:color w:val="000000"/>
                <w:kern w:val="0"/>
                <w:sz w:val="21"/>
                <w:szCs w:val="21"/>
                <w:lang w:bidi="ar"/>
              </w:rPr>
            </w:pPr>
          </w:p>
        </w:tc>
      </w:tr>
      <w:tr w14:paraId="41BF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7F357492">
            <w:pPr>
              <w:spacing w:line="240" w:lineRule="auto"/>
              <w:ind w:firstLine="0" w:firstLineChars="0"/>
              <w:jc w:val="center"/>
              <w:rPr>
                <w:rFonts w:cs="Times New Roman"/>
                <w:kern w:val="0"/>
                <w:sz w:val="21"/>
                <w:szCs w:val="21"/>
              </w:rPr>
            </w:pPr>
          </w:p>
        </w:tc>
        <w:tc>
          <w:tcPr>
            <w:tcW w:w="428" w:type="pct"/>
            <w:vMerge w:val="continue"/>
            <w:vAlign w:val="center"/>
          </w:tcPr>
          <w:p w14:paraId="40C6040B">
            <w:pPr>
              <w:spacing w:line="240" w:lineRule="auto"/>
              <w:ind w:firstLine="0" w:firstLineChars="0"/>
              <w:jc w:val="center"/>
              <w:rPr>
                <w:rFonts w:cs="Times New Roman"/>
                <w:kern w:val="0"/>
                <w:sz w:val="21"/>
                <w:szCs w:val="21"/>
              </w:rPr>
            </w:pPr>
          </w:p>
        </w:tc>
        <w:tc>
          <w:tcPr>
            <w:tcW w:w="1604" w:type="pct"/>
          </w:tcPr>
          <w:p w14:paraId="0795EF58">
            <w:pPr>
              <w:spacing w:line="240" w:lineRule="auto"/>
              <w:ind w:firstLine="0" w:firstLineChars="0"/>
              <w:jc w:val="center"/>
              <w:rPr>
                <w:rFonts w:cs="Times New Roman"/>
                <w:color w:val="000000"/>
                <w:sz w:val="20"/>
                <w:szCs w:val="20"/>
              </w:rPr>
            </w:pPr>
            <w:r>
              <w:rPr>
                <w:rFonts w:hint="eastAsia" w:cs="Times New Roman"/>
                <w:color w:val="000000"/>
                <w:sz w:val="20"/>
                <w:szCs w:val="20"/>
              </w:rPr>
              <w:t>瓦尔喀什寨村</w:t>
            </w:r>
          </w:p>
        </w:tc>
        <w:tc>
          <w:tcPr>
            <w:tcW w:w="1236" w:type="pct"/>
          </w:tcPr>
          <w:p w14:paraId="1E0BB22D">
            <w:pPr>
              <w:widowControl/>
              <w:spacing w:line="240" w:lineRule="auto"/>
              <w:ind w:firstLine="0" w:firstLineChars="0"/>
              <w:jc w:val="center"/>
              <w:rPr>
                <w:rFonts w:eastAsia="黑体" w:cs="Times New Roman"/>
                <w:color w:val="000000"/>
                <w:kern w:val="0"/>
                <w:sz w:val="21"/>
                <w:szCs w:val="21"/>
                <w:lang w:bidi="ar"/>
              </w:rPr>
            </w:pPr>
          </w:p>
        </w:tc>
      </w:tr>
      <w:tr w14:paraId="58CF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restart"/>
            <w:vAlign w:val="center"/>
          </w:tcPr>
          <w:p w14:paraId="5E19629D">
            <w:pPr>
              <w:spacing w:line="240" w:lineRule="auto"/>
              <w:ind w:firstLine="0" w:firstLineChars="0"/>
              <w:jc w:val="center"/>
              <w:rPr>
                <w:rFonts w:cs="Times New Roman"/>
                <w:kern w:val="0"/>
                <w:sz w:val="21"/>
                <w:szCs w:val="21"/>
              </w:rPr>
            </w:pPr>
            <w:r>
              <w:rPr>
                <w:rFonts w:cs="Times New Roman"/>
                <w:kern w:val="0"/>
                <w:sz w:val="21"/>
                <w:szCs w:val="21"/>
              </w:rPr>
              <w:t>城郊融合类</w:t>
            </w:r>
          </w:p>
        </w:tc>
        <w:tc>
          <w:tcPr>
            <w:tcW w:w="428" w:type="pct"/>
            <w:vMerge w:val="restart"/>
            <w:vAlign w:val="center"/>
          </w:tcPr>
          <w:p w14:paraId="0EE90046">
            <w:pPr>
              <w:spacing w:line="240" w:lineRule="auto"/>
              <w:ind w:firstLine="0" w:firstLineChars="0"/>
              <w:jc w:val="center"/>
              <w:rPr>
                <w:rFonts w:cs="Times New Roman"/>
                <w:kern w:val="0"/>
                <w:sz w:val="21"/>
                <w:szCs w:val="21"/>
              </w:rPr>
            </w:pPr>
            <w:r>
              <w:rPr>
                <w:rFonts w:hint="eastAsia" w:cs="Times New Roman"/>
                <w:kern w:val="0"/>
                <w:sz w:val="21"/>
                <w:szCs w:val="21"/>
              </w:rPr>
              <w:t>2</w:t>
            </w:r>
          </w:p>
        </w:tc>
        <w:tc>
          <w:tcPr>
            <w:tcW w:w="1604" w:type="pct"/>
            <w:vAlign w:val="center"/>
          </w:tcPr>
          <w:p w14:paraId="1BBC2BBD">
            <w:pPr>
              <w:spacing w:line="240" w:lineRule="auto"/>
              <w:ind w:firstLine="0" w:firstLineChars="0"/>
              <w:jc w:val="center"/>
              <w:rPr>
                <w:rFonts w:cs="Times New Roman"/>
                <w:color w:val="000000"/>
                <w:sz w:val="20"/>
                <w:szCs w:val="20"/>
              </w:rPr>
            </w:pPr>
            <w:r>
              <w:rPr>
                <w:rFonts w:hint="eastAsia" w:cs="Times New Roman"/>
                <w:color w:val="000000"/>
                <w:sz w:val="20"/>
                <w:szCs w:val="20"/>
              </w:rPr>
              <w:t>二户来村</w:t>
            </w:r>
          </w:p>
        </w:tc>
        <w:tc>
          <w:tcPr>
            <w:tcW w:w="1236" w:type="pct"/>
          </w:tcPr>
          <w:p w14:paraId="1CE6AEE1">
            <w:pPr>
              <w:widowControl/>
              <w:spacing w:line="240" w:lineRule="auto"/>
              <w:ind w:firstLine="0" w:firstLineChars="0"/>
              <w:jc w:val="center"/>
              <w:rPr>
                <w:rFonts w:eastAsia="黑体" w:cs="Times New Roman"/>
                <w:color w:val="000000"/>
                <w:kern w:val="0"/>
                <w:sz w:val="21"/>
                <w:szCs w:val="21"/>
                <w:lang w:bidi="ar"/>
              </w:rPr>
            </w:pPr>
          </w:p>
        </w:tc>
      </w:tr>
      <w:tr w14:paraId="143E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31" w:type="pct"/>
            <w:vMerge w:val="continue"/>
            <w:vAlign w:val="center"/>
          </w:tcPr>
          <w:p w14:paraId="32B5D224">
            <w:pPr>
              <w:spacing w:line="240" w:lineRule="auto"/>
              <w:ind w:firstLine="0" w:firstLineChars="0"/>
              <w:jc w:val="center"/>
              <w:rPr>
                <w:rFonts w:cs="Times New Roman"/>
                <w:kern w:val="0"/>
                <w:sz w:val="21"/>
                <w:szCs w:val="21"/>
              </w:rPr>
            </w:pPr>
          </w:p>
        </w:tc>
        <w:tc>
          <w:tcPr>
            <w:tcW w:w="428" w:type="pct"/>
            <w:vMerge w:val="continue"/>
            <w:vAlign w:val="center"/>
          </w:tcPr>
          <w:p w14:paraId="044B87A6">
            <w:pPr>
              <w:spacing w:line="240" w:lineRule="auto"/>
              <w:ind w:firstLine="0" w:firstLineChars="0"/>
              <w:jc w:val="center"/>
              <w:rPr>
                <w:rFonts w:cs="Times New Roman"/>
                <w:kern w:val="0"/>
                <w:sz w:val="21"/>
                <w:szCs w:val="21"/>
              </w:rPr>
            </w:pPr>
          </w:p>
        </w:tc>
        <w:tc>
          <w:tcPr>
            <w:tcW w:w="1604" w:type="pct"/>
            <w:vAlign w:val="center"/>
          </w:tcPr>
          <w:p w14:paraId="609F933D">
            <w:pPr>
              <w:spacing w:line="240" w:lineRule="auto"/>
              <w:ind w:firstLine="0" w:firstLineChars="0"/>
              <w:jc w:val="center"/>
              <w:rPr>
                <w:rFonts w:cs="Times New Roman"/>
                <w:color w:val="000000"/>
                <w:sz w:val="20"/>
                <w:szCs w:val="20"/>
              </w:rPr>
            </w:pPr>
            <w:r>
              <w:rPr>
                <w:rFonts w:hint="eastAsia" w:cs="Times New Roman"/>
                <w:color w:val="000000"/>
                <w:sz w:val="20"/>
                <w:szCs w:val="20"/>
              </w:rPr>
              <w:t>光复村</w:t>
            </w:r>
          </w:p>
        </w:tc>
        <w:tc>
          <w:tcPr>
            <w:tcW w:w="1236" w:type="pct"/>
          </w:tcPr>
          <w:p w14:paraId="64E0843E">
            <w:pPr>
              <w:widowControl/>
              <w:spacing w:line="240" w:lineRule="auto"/>
              <w:ind w:firstLine="0" w:firstLineChars="0"/>
              <w:jc w:val="center"/>
              <w:rPr>
                <w:rFonts w:eastAsia="黑体" w:cs="Times New Roman"/>
                <w:color w:val="000000"/>
                <w:kern w:val="0"/>
                <w:sz w:val="21"/>
                <w:szCs w:val="21"/>
                <w:lang w:bidi="ar"/>
              </w:rPr>
            </w:pPr>
          </w:p>
        </w:tc>
      </w:tr>
    </w:tbl>
    <w:p w14:paraId="30475648">
      <w:pPr>
        <w:ind w:left="1756" w:firstLine="0" w:firstLineChars="0"/>
      </w:pPr>
    </w:p>
    <w:p w14:paraId="3BC5D928">
      <w:pPr>
        <w:pStyle w:val="4"/>
        <w:numPr>
          <w:ilvl w:val="0"/>
          <w:numId w:val="1"/>
        </w:numPr>
        <w:ind w:left="860" w:firstLine="361" w:firstLineChars="113"/>
        <w:rPr>
          <w:rFonts w:eastAsia="楷体"/>
        </w:rPr>
      </w:pPr>
      <w:r>
        <w:t>村庄分型引导</w:t>
      </w:r>
    </w:p>
    <w:p w14:paraId="30289492">
      <w:pPr>
        <w:widowControl/>
        <w:adjustRightInd w:val="0"/>
        <w:snapToGrid w:val="0"/>
        <w:ind w:firstLine="640"/>
        <w:rPr>
          <w:rFonts w:cs="Times New Roman"/>
        </w:rPr>
      </w:pPr>
      <w:r>
        <w:rPr>
          <w:rFonts w:cs="Times New Roman"/>
        </w:rPr>
        <w:t>在尊重村民意愿的基础上，结合村庄建设用地规模、人口规模、产业发展、空心化程度等因素，将各行政村内的居民点分为“增量型、等量型、减量型”三种类型，作为村庄规划用地管控及指标投放的依据（见附表6）。</w:t>
      </w:r>
    </w:p>
    <w:p w14:paraId="1FD871FE">
      <w:pPr>
        <w:pStyle w:val="3"/>
        <w:rPr>
          <w:rFonts w:ascii="Times New Roman" w:hAnsi="Times New Roman" w:cs="Times New Roman"/>
        </w:rPr>
      </w:pPr>
      <w:bookmarkStart w:id="91" w:name="_Toc3594"/>
      <w:bookmarkStart w:id="92" w:name="_Toc11164"/>
      <w:bookmarkStart w:id="93" w:name="_Toc185931307"/>
      <w:bookmarkStart w:id="94" w:name="_Toc13625"/>
      <w:r>
        <w:rPr>
          <w:rFonts w:hint="eastAsia" w:ascii="Times New Roman" w:hAnsi="Times New Roman" w:cs="Times New Roman"/>
        </w:rPr>
        <w:t>第三节“通则式”村庄规划管控</w:t>
      </w:r>
      <w:bookmarkEnd w:id="91"/>
      <w:bookmarkEnd w:id="92"/>
      <w:bookmarkEnd w:id="93"/>
      <w:bookmarkEnd w:id="94"/>
    </w:p>
    <w:p w14:paraId="4D99E5A7">
      <w:pPr>
        <w:pStyle w:val="4"/>
        <w:numPr>
          <w:ilvl w:val="0"/>
          <w:numId w:val="17"/>
        </w:numPr>
        <w:ind w:left="420" w:firstLine="361" w:firstLineChars="113"/>
      </w:pPr>
      <w:r>
        <w:rPr>
          <w:rFonts w:hint="eastAsia"/>
        </w:rPr>
        <w:t>编制“通则式”村庄规划</w:t>
      </w:r>
    </w:p>
    <w:p w14:paraId="240C2358">
      <w:pPr>
        <w:widowControl/>
        <w:adjustRightInd w:val="0"/>
        <w:snapToGrid w:val="0"/>
        <w:ind w:firstLine="640"/>
        <w:rPr>
          <w:rFonts w:cs="Times New Roman"/>
        </w:rPr>
      </w:pPr>
      <w:r>
        <w:rPr>
          <w:rFonts w:hint="eastAsia" w:cs="Times New Roman"/>
        </w:rPr>
        <w:t>依据镇域范围内乡村发展实际需求，</w:t>
      </w:r>
      <w:bookmarkStart w:id="95" w:name="OLE_LINK9"/>
      <w:r>
        <w:rPr>
          <w:rFonts w:hint="eastAsia" w:cs="Times New Roman"/>
        </w:rPr>
        <w:t>华来镇涉及“通则式”村庄规划村庄共16个，为二户来村、光复村、铧尖子村、木盂子村、冯家堡村、大恩堡村、仙人洞村、瓦尔喀什寨村、川里村、高台子村、文治沟村、碑登村、拉古甲村、朱家堡村、果松川村、柳林子村。</w:t>
      </w:r>
    </w:p>
    <w:bookmarkEnd w:id="95"/>
    <w:p w14:paraId="00B49B1F">
      <w:pPr>
        <w:widowControl/>
        <w:adjustRightInd w:val="0"/>
        <w:snapToGrid w:val="0"/>
        <w:ind w:firstLine="640"/>
        <w:rPr>
          <w:rFonts w:cs="Times New Roman"/>
        </w:rPr>
      </w:pPr>
      <w:r>
        <w:rPr>
          <w:rFonts w:hint="eastAsia" w:cs="Times New Roman"/>
        </w:rPr>
        <w:t>“通则式”村庄规划通过“两表、三图、一则”的形式明确村庄国土空间用途管制规则和建设管控要求，作为实施国土空间用途管制、核发乡村建设项目规划许可的依据。</w:t>
      </w:r>
    </w:p>
    <w:p w14:paraId="2BAFB7EC">
      <w:pPr>
        <w:widowControl/>
        <w:adjustRightInd w:val="0"/>
        <w:snapToGrid w:val="0"/>
        <w:ind w:firstLine="640"/>
        <w:rPr>
          <w:rFonts w:cs="Times New Roman"/>
        </w:rPr>
      </w:pPr>
      <w:r>
        <w:rPr>
          <w:rFonts w:hint="eastAsia" w:cs="Times New Roman"/>
        </w:rPr>
        <w:t>“两表”为规划指标表和国土空间结构调整表。</w:t>
      </w:r>
    </w:p>
    <w:p w14:paraId="0F2FB367">
      <w:pPr>
        <w:widowControl/>
        <w:adjustRightInd w:val="0"/>
        <w:snapToGrid w:val="0"/>
        <w:ind w:firstLine="640"/>
        <w:rPr>
          <w:rFonts w:cs="Times New Roman"/>
        </w:rPr>
      </w:pPr>
      <w:r>
        <w:rPr>
          <w:rFonts w:hint="eastAsia" w:cs="Times New Roman"/>
        </w:rPr>
        <w:t>“三图”为村域国土空间现状图、村域国土空间控制线规划图和村域国土空间规划图。村域国土空间现状和规划图原则上应按照一级地类确定用地布局，村域国土空间控制线规划图应表现耕地和永久基本农田、生态保护红线、城镇开发边界及村庄建设边界等重要控制线。</w:t>
      </w:r>
    </w:p>
    <w:p w14:paraId="34022D27">
      <w:pPr>
        <w:widowControl/>
        <w:adjustRightInd w:val="0"/>
        <w:snapToGrid w:val="0"/>
        <w:ind w:firstLine="640"/>
        <w:rPr>
          <w:rFonts w:cs="Times New Roman"/>
        </w:rPr>
      </w:pPr>
      <w:r>
        <w:rPr>
          <w:rFonts w:hint="eastAsia" w:cs="Times New Roman"/>
        </w:rPr>
        <w:t>“一则”为村庄规划管制规则，包括耕地和永久基本农田保护、生态保护、建设管控、防灾减灾等管控要求。</w:t>
      </w:r>
    </w:p>
    <w:p w14:paraId="528B123D">
      <w:pPr>
        <w:pStyle w:val="4"/>
        <w:numPr>
          <w:ilvl w:val="0"/>
          <w:numId w:val="1"/>
        </w:numPr>
        <w:ind w:left="860" w:firstLine="361" w:firstLineChars="113"/>
      </w:pPr>
      <w:r>
        <w:rPr>
          <w:rFonts w:hint="eastAsia"/>
        </w:rPr>
        <w:t>管制规则样式</w:t>
      </w:r>
    </w:p>
    <w:p w14:paraId="3C4780EB">
      <w:pPr>
        <w:widowControl/>
        <w:adjustRightInd w:val="0"/>
        <w:snapToGrid w:val="0"/>
        <w:ind w:firstLine="640"/>
        <w:rPr>
          <w:rFonts w:cs="Times New Roman"/>
        </w:rPr>
      </w:pPr>
      <w:r>
        <w:rPr>
          <w:rFonts w:hint="eastAsia" w:cs="Times New Roman"/>
        </w:rPr>
        <w:t xml:space="preserve">——耕地和永久基本农田保护 </w:t>
      </w:r>
    </w:p>
    <w:p w14:paraId="1E2995EF">
      <w:pPr>
        <w:widowControl/>
        <w:adjustRightInd w:val="0"/>
        <w:snapToGrid w:val="0"/>
        <w:ind w:firstLine="640"/>
        <w:rPr>
          <w:rFonts w:cs="Times New Roman"/>
        </w:rPr>
      </w:pPr>
      <w:r>
        <w:rPr>
          <w:rFonts w:hint="eastAsia" w:cs="Times New Roman"/>
        </w:rPr>
        <w:t xml:space="preserve">明确村庄耕地的面积、管控要求。 </w:t>
      </w:r>
    </w:p>
    <w:p w14:paraId="3C69AE24">
      <w:pPr>
        <w:widowControl/>
        <w:adjustRightInd w:val="0"/>
        <w:snapToGrid w:val="0"/>
        <w:ind w:firstLine="640"/>
        <w:rPr>
          <w:rFonts w:cs="Times New Roman"/>
        </w:rPr>
      </w:pPr>
      <w:r>
        <w:rPr>
          <w:rFonts w:hint="eastAsia" w:cs="Times New Roman"/>
        </w:rPr>
        <w:t xml:space="preserve">明确村庄永久基本农田的面积、管控要求。 </w:t>
      </w:r>
    </w:p>
    <w:p w14:paraId="3D4A7D62">
      <w:pPr>
        <w:widowControl/>
        <w:adjustRightInd w:val="0"/>
        <w:snapToGrid w:val="0"/>
        <w:ind w:firstLine="640"/>
        <w:rPr>
          <w:rFonts w:cs="Times New Roman"/>
        </w:rPr>
      </w:pPr>
      <w:r>
        <w:rPr>
          <w:rFonts w:hint="eastAsia" w:cs="Times New Roman"/>
        </w:rPr>
        <w:t xml:space="preserve">明确村庄可用于农业设施建设用地的面积、用途管制规定。 </w:t>
      </w:r>
    </w:p>
    <w:p w14:paraId="6DB8FE6D">
      <w:pPr>
        <w:widowControl/>
        <w:adjustRightInd w:val="0"/>
        <w:snapToGrid w:val="0"/>
        <w:ind w:firstLine="640"/>
        <w:rPr>
          <w:rFonts w:cs="Times New Roman"/>
        </w:rPr>
      </w:pPr>
      <w:r>
        <w:rPr>
          <w:rFonts w:hint="eastAsia" w:cs="Times New Roman"/>
        </w:rPr>
        <w:t xml:space="preserve">——生态保护 </w:t>
      </w:r>
    </w:p>
    <w:p w14:paraId="6D059607">
      <w:pPr>
        <w:widowControl/>
        <w:adjustRightInd w:val="0"/>
        <w:snapToGrid w:val="0"/>
        <w:ind w:firstLine="640"/>
        <w:rPr>
          <w:rFonts w:cs="Times New Roman"/>
        </w:rPr>
      </w:pPr>
      <w:r>
        <w:rPr>
          <w:rFonts w:hint="eastAsia" w:cs="Times New Roman"/>
        </w:rPr>
        <w:t xml:space="preserve">明确村庄生态保护红线具体名称、面积、管控要求。 </w:t>
      </w:r>
    </w:p>
    <w:p w14:paraId="0A598342">
      <w:pPr>
        <w:widowControl/>
        <w:adjustRightInd w:val="0"/>
        <w:snapToGrid w:val="0"/>
        <w:ind w:firstLine="640"/>
        <w:rPr>
          <w:rFonts w:cs="Times New Roman"/>
        </w:rPr>
      </w:pPr>
      <w:r>
        <w:rPr>
          <w:rFonts w:hint="eastAsia" w:cs="Times New Roman"/>
        </w:rPr>
        <w:t>提出未划入生态保护红线的生态空间管控要求，严格控制开发性、生产性建设活动。交通、水利等重大基础设施确需占用的，按程序办理相关用地手续。</w:t>
      </w:r>
    </w:p>
    <w:p w14:paraId="270D2011">
      <w:pPr>
        <w:widowControl/>
        <w:adjustRightInd w:val="0"/>
        <w:snapToGrid w:val="0"/>
        <w:ind w:firstLine="640"/>
        <w:rPr>
          <w:rFonts w:cs="Times New Roman"/>
        </w:rPr>
      </w:pPr>
      <w:r>
        <w:rPr>
          <w:rFonts w:hint="eastAsia" w:cs="Times New Roman"/>
        </w:rPr>
        <w:t>落实上位规划明确的生态修复项目等内容，提出相应措施。</w:t>
      </w:r>
    </w:p>
    <w:p w14:paraId="3D9402A5">
      <w:pPr>
        <w:widowControl/>
        <w:adjustRightInd w:val="0"/>
        <w:snapToGrid w:val="0"/>
        <w:ind w:firstLine="640"/>
        <w:rPr>
          <w:rFonts w:cs="Times New Roman"/>
        </w:rPr>
      </w:pPr>
      <w:r>
        <w:rPr>
          <w:rFonts w:hint="eastAsia" w:cs="Times New Roman"/>
        </w:rPr>
        <w:t xml:space="preserve">——建设管控 </w:t>
      </w:r>
    </w:p>
    <w:p w14:paraId="72363EF1">
      <w:pPr>
        <w:widowControl/>
        <w:adjustRightInd w:val="0"/>
        <w:snapToGrid w:val="0"/>
        <w:ind w:firstLine="640"/>
        <w:rPr>
          <w:rFonts w:cs="Times New Roman"/>
        </w:rPr>
      </w:pPr>
      <w:r>
        <w:rPr>
          <w:rFonts w:hint="eastAsia" w:cs="Times New Roman"/>
        </w:rPr>
        <w:t>总体要求：明确村庄建设边界，各类乡村建设行为原则上应在村庄建设边界内开展，优先使用存量建设用地。村庄建设边界外原则上不安排乡村建设用地。涉及农转用的应先办理农转用手续。各项目涉及在现状保留区范围内的，允许在原址用地范围内进行改扩建等建设行为，优先使用存量建设用地。涉及新增规划项目用地的，应在村庄建设边界内的规划新增区进行。</w:t>
      </w:r>
    </w:p>
    <w:p w14:paraId="26199CF0">
      <w:pPr>
        <w:widowControl/>
        <w:adjustRightInd w:val="0"/>
        <w:snapToGrid w:val="0"/>
        <w:ind w:firstLine="640"/>
        <w:rPr>
          <w:rFonts w:cs="Times New Roman"/>
        </w:rPr>
      </w:pPr>
      <w:r>
        <w:rPr>
          <w:rFonts w:hint="eastAsia" w:cs="Times New Roman"/>
        </w:rPr>
        <w:t>用地选址：需提出体现节约用地原则，鼓励村民结合旧村改造、土地整理，充分利用原有宅基地，村内空闲地和未利用地建设，少占或不占耕地的相关要求；提出不得在地质灾害易发区、洪涝灾害危险地段和文物保护区等地点或地段进行选址；需提出在高铁、国道、省道等交通干线两侧新建农村建筑的退线要求；需在自然保护区、风景名胜区、文物保护单位、历史文化名村、传统村落的建设项目，应符合相关保护规划等要求。提出村民宅基地自建房、各类公共服务设施建设、各类市政公用设施、产业用地选址需满足的具体条件。</w:t>
      </w:r>
    </w:p>
    <w:p w14:paraId="3FA6608E">
      <w:pPr>
        <w:widowControl/>
        <w:adjustRightInd w:val="0"/>
        <w:snapToGrid w:val="0"/>
        <w:ind w:firstLine="640"/>
        <w:rPr>
          <w:rFonts w:cs="Times New Roman"/>
        </w:rPr>
      </w:pPr>
      <w:r>
        <w:rPr>
          <w:rFonts w:hint="eastAsia" w:cs="Times New Roman"/>
        </w:rPr>
        <w:t>建设标准：村民宅基地自建房，需根据地方要求，明确宅基地建设标准，包括提出翻建或改扩建的户均标准，新增农村住房建筑面积上限等；公共设施建设，需依据公共服务设施等级，提出各类公共服务设施建设规模等；村镇企业建筑建设，需提出产业项目准入类型、建设标准等。</w:t>
      </w:r>
    </w:p>
    <w:p w14:paraId="6CD2F85B">
      <w:pPr>
        <w:widowControl/>
        <w:adjustRightInd w:val="0"/>
        <w:snapToGrid w:val="0"/>
        <w:ind w:firstLine="640"/>
        <w:rPr>
          <w:rFonts w:cs="Times New Roman"/>
        </w:rPr>
      </w:pPr>
      <w:r>
        <w:rPr>
          <w:rFonts w:hint="eastAsia" w:cs="Times New Roman"/>
        </w:rPr>
        <w:t>建筑控制：明确村民宅基地自建房、村镇企业建筑、公共服务设施等各类建筑间距控制、高度控制、风貌控制要求；提出各类市政公用设施邻避、建设技术标准等要求。</w:t>
      </w:r>
    </w:p>
    <w:p w14:paraId="748EB3EA">
      <w:pPr>
        <w:widowControl/>
        <w:adjustRightInd w:val="0"/>
        <w:snapToGrid w:val="0"/>
        <w:ind w:firstLine="640"/>
        <w:rPr>
          <w:rFonts w:cs="Times New Roman"/>
        </w:rPr>
      </w:pPr>
      <w:r>
        <w:rPr>
          <w:rFonts w:hint="eastAsia" w:cs="Times New Roman"/>
        </w:rPr>
        <w:t>历史文化保护：明确文物保护单位、历史建筑、古井、古桥、古树等保护内容和管控要求，历史文化保护线范围内禁止开展影响历史风貌的各类建设行为。</w:t>
      </w:r>
    </w:p>
    <w:p w14:paraId="219917C3">
      <w:pPr>
        <w:widowControl/>
        <w:adjustRightInd w:val="0"/>
        <w:snapToGrid w:val="0"/>
        <w:ind w:firstLine="640"/>
        <w:rPr>
          <w:rFonts w:cs="Times New Roman"/>
        </w:rPr>
      </w:pPr>
      <w:r>
        <w:rPr>
          <w:rFonts w:hint="eastAsia" w:cs="Times New Roman"/>
        </w:rPr>
        <w:t>防灾与减灾：明确地质灾害高易发区、蓄滞洪区等危险区域范围，提出防灾减灾要求和措施。对于确需在危险区域范围内开展建设行为的，应提供相关部门的支持性意见。</w:t>
      </w:r>
    </w:p>
    <w:p w14:paraId="09316225">
      <w:pPr>
        <w:widowControl/>
        <w:adjustRightInd w:val="0"/>
        <w:snapToGrid w:val="0"/>
        <w:ind w:firstLine="640"/>
        <w:rPr>
          <w:rFonts w:cs="Times New Roman"/>
        </w:rPr>
      </w:pPr>
      <w:r>
        <w:rPr>
          <w:rFonts w:hint="eastAsia" w:cs="Times New Roman"/>
        </w:rPr>
        <w:t>其他管制规则：根据各村实际情况制定。</w:t>
      </w:r>
    </w:p>
    <w:p w14:paraId="468ED1CD">
      <w:pPr>
        <w:widowControl/>
        <w:adjustRightInd w:val="0"/>
        <w:snapToGrid w:val="0"/>
        <w:ind w:firstLine="640"/>
        <w:rPr>
          <w:rFonts w:cs="Times New Roman"/>
        </w:rPr>
      </w:pP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7001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0136D54">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序号</w:t>
            </w:r>
          </w:p>
        </w:tc>
        <w:tc>
          <w:tcPr>
            <w:tcW w:w="973" w:type="pct"/>
            <w:vAlign w:val="center"/>
          </w:tcPr>
          <w:p w14:paraId="345610C6">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村庄名称</w:t>
            </w:r>
          </w:p>
        </w:tc>
        <w:tc>
          <w:tcPr>
            <w:tcW w:w="973" w:type="pct"/>
            <w:vAlign w:val="center"/>
          </w:tcPr>
          <w:p w14:paraId="64CE4D13">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自然村名称</w:t>
            </w:r>
          </w:p>
        </w:tc>
        <w:tc>
          <w:tcPr>
            <w:tcW w:w="973" w:type="pct"/>
            <w:vAlign w:val="center"/>
          </w:tcPr>
          <w:p w14:paraId="596FC73D">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分型</w:t>
            </w:r>
          </w:p>
        </w:tc>
        <w:tc>
          <w:tcPr>
            <w:tcW w:w="973" w:type="pct"/>
            <w:vAlign w:val="center"/>
          </w:tcPr>
          <w:p w14:paraId="303B5A3C">
            <w:pPr>
              <w:widowControl/>
              <w:adjustRightInd w:val="0"/>
              <w:spacing w:line="240" w:lineRule="auto"/>
              <w:ind w:firstLine="0" w:firstLineChars="0"/>
              <w:contextualSpacing/>
              <w:jc w:val="center"/>
              <w:rPr>
                <w:rFonts w:cs="Times New Roman"/>
                <w:sz w:val="21"/>
                <w:szCs w:val="21"/>
              </w:rPr>
            </w:pPr>
            <w:r>
              <w:rPr>
                <w:rFonts w:cs="Times New Roman"/>
                <w:b/>
                <w:bCs/>
                <w:color w:val="000000"/>
                <w:kern w:val="0"/>
                <w:sz w:val="20"/>
                <w:szCs w:val="20"/>
              </w:rPr>
              <w:t>备注</w:t>
            </w:r>
          </w:p>
        </w:tc>
      </w:tr>
      <w:tr w14:paraId="440E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38900BB">
            <w:pPr>
              <w:widowControl/>
              <w:adjustRightInd w:val="0"/>
              <w:spacing w:line="240" w:lineRule="auto"/>
              <w:ind w:firstLine="0" w:firstLineChars="0"/>
              <w:contextualSpacing/>
              <w:jc w:val="center"/>
              <w:rPr>
                <w:rFonts w:cs="Times New Roman"/>
                <w:sz w:val="21"/>
                <w:szCs w:val="21"/>
              </w:rPr>
            </w:pPr>
            <w:r>
              <w:rPr>
                <w:rFonts w:hint="eastAsia"/>
                <w:color w:val="000000"/>
                <w:sz w:val="22"/>
              </w:rPr>
              <w:t>1</w:t>
            </w:r>
          </w:p>
        </w:tc>
        <w:tc>
          <w:tcPr>
            <w:tcW w:w="973" w:type="pct"/>
            <w:vMerge w:val="restart"/>
            <w:vAlign w:val="center"/>
          </w:tcPr>
          <w:p w14:paraId="39EDB750">
            <w:pPr>
              <w:widowControl/>
              <w:spacing w:line="240" w:lineRule="auto"/>
              <w:ind w:firstLine="0" w:firstLineChars="0"/>
              <w:jc w:val="center"/>
              <w:rPr>
                <w:rFonts w:ascii="Arial" w:hAnsi="Arial" w:eastAsia="宋体" w:cs="Arial"/>
                <w:color w:val="000000"/>
                <w:kern w:val="0"/>
                <w:sz w:val="20"/>
                <w:szCs w:val="20"/>
              </w:rPr>
            </w:pPr>
            <w:r>
              <w:rPr>
                <w:rFonts w:hint="eastAsia" w:ascii="Arial" w:hAnsi="Arial" w:cs="Arial"/>
                <w:color w:val="000000"/>
                <w:sz w:val="20"/>
                <w:szCs w:val="20"/>
              </w:rPr>
              <w:t>果松川</w:t>
            </w:r>
            <w:r>
              <w:rPr>
                <w:rFonts w:ascii="Arial" w:hAnsi="Arial" w:cs="Arial"/>
                <w:color w:val="000000"/>
                <w:sz w:val="20"/>
                <w:szCs w:val="20"/>
              </w:rPr>
              <w:t>村</w:t>
            </w:r>
          </w:p>
          <w:p w14:paraId="6F9E466F">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26011061">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冰湖沟</w:t>
            </w:r>
          </w:p>
        </w:tc>
        <w:tc>
          <w:tcPr>
            <w:tcW w:w="973" w:type="pct"/>
            <w:vAlign w:val="center"/>
          </w:tcPr>
          <w:p w14:paraId="11DE1D0D">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973" w:type="pct"/>
            <w:vAlign w:val="center"/>
          </w:tcPr>
          <w:p w14:paraId="110D3DF6">
            <w:pPr>
              <w:widowControl/>
              <w:adjustRightInd w:val="0"/>
              <w:spacing w:line="240" w:lineRule="auto"/>
              <w:ind w:firstLine="0" w:firstLineChars="0"/>
              <w:contextualSpacing/>
              <w:jc w:val="center"/>
              <w:rPr>
                <w:rFonts w:cs="Times New Roman"/>
                <w:sz w:val="21"/>
                <w:szCs w:val="21"/>
              </w:rPr>
            </w:pPr>
          </w:p>
        </w:tc>
      </w:tr>
      <w:tr w14:paraId="5925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743BF62">
            <w:pPr>
              <w:widowControl/>
              <w:adjustRightInd w:val="0"/>
              <w:spacing w:line="240" w:lineRule="auto"/>
              <w:ind w:firstLine="0" w:firstLineChars="0"/>
              <w:contextualSpacing/>
              <w:jc w:val="center"/>
              <w:rPr>
                <w:rFonts w:cs="Times New Roman"/>
                <w:sz w:val="21"/>
                <w:szCs w:val="21"/>
              </w:rPr>
            </w:pPr>
            <w:r>
              <w:rPr>
                <w:rFonts w:hint="eastAsia"/>
                <w:color w:val="000000"/>
                <w:sz w:val="22"/>
              </w:rPr>
              <w:t>2</w:t>
            </w:r>
          </w:p>
        </w:tc>
        <w:tc>
          <w:tcPr>
            <w:tcW w:w="973" w:type="pct"/>
            <w:vMerge w:val="continue"/>
            <w:vAlign w:val="center"/>
          </w:tcPr>
          <w:p w14:paraId="4D11B78A">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3BBB1807">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小南岔</w:t>
            </w:r>
          </w:p>
        </w:tc>
        <w:tc>
          <w:tcPr>
            <w:tcW w:w="973" w:type="pct"/>
            <w:vAlign w:val="center"/>
          </w:tcPr>
          <w:p w14:paraId="139597C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973" w:type="pct"/>
            <w:vAlign w:val="center"/>
          </w:tcPr>
          <w:p w14:paraId="6CECF2A7">
            <w:pPr>
              <w:widowControl/>
              <w:adjustRightInd w:val="0"/>
              <w:spacing w:line="240" w:lineRule="auto"/>
              <w:ind w:firstLine="0" w:firstLineChars="0"/>
              <w:contextualSpacing/>
              <w:jc w:val="center"/>
              <w:rPr>
                <w:rFonts w:cs="Times New Roman"/>
                <w:sz w:val="21"/>
                <w:szCs w:val="21"/>
              </w:rPr>
            </w:pPr>
          </w:p>
        </w:tc>
      </w:tr>
      <w:tr w14:paraId="5355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C6051C0">
            <w:pPr>
              <w:widowControl/>
              <w:adjustRightInd w:val="0"/>
              <w:spacing w:line="240" w:lineRule="auto"/>
              <w:ind w:firstLine="0" w:firstLineChars="0"/>
              <w:contextualSpacing/>
              <w:jc w:val="center"/>
              <w:rPr>
                <w:rFonts w:cs="Times New Roman"/>
                <w:sz w:val="21"/>
                <w:szCs w:val="21"/>
              </w:rPr>
            </w:pPr>
            <w:r>
              <w:rPr>
                <w:rFonts w:hint="eastAsia"/>
                <w:color w:val="000000"/>
                <w:sz w:val="22"/>
              </w:rPr>
              <w:t>3</w:t>
            </w:r>
          </w:p>
        </w:tc>
        <w:tc>
          <w:tcPr>
            <w:tcW w:w="973" w:type="pct"/>
            <w:vMerge w:val="continue"/>
            <w:vAlign w:val="center"/>
          </w:tcPr>
          <w:p w14:paraId="362CE21B">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72EAF7DA">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大南岔</w:t>
            </w:r>
          </w:p>
        </w:tc>
        <w:tc>
          <w:tcPr>
            <w:tcW w:w="973" w:type="pct"/>
            <w:vAlign w:val="center"/>
          </w:tcPr>
          <w:p w14:paraId="3B33626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973" w:type="pct"/>
            <w:vAlign w:val="center"/>
          </w:tcPr>
          <w:p w14:paraId="3D53CFBB">
            <w:pPr>
              <w:widowControl/>
              <w:adjustRightInd w:val="0"/>
              <w:spacing w:line="240" w:lineRule="auto"/>
              <w:ind w:firstLine="0" w:firstLineChars="0"/>
              <w:contextualSpacing/>
              <w:jc w:val="center"/>
              <w:rPr>
                <w:rFonts w:cs="Times New Roman"/>
                <w:sz w:val="21"/>
                <w:szCs w:val="21"/>
              </w:rPr>
            </w:pPr>
          </w:p>
        </w:tc>
      </w:tr>
      <w:tr w14:paraId="4491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20024A2">
            <w:pPr>
              <w:widowControl/>
              <w:adjustRightInd w:val="0"/>
              <w:spacing w:line="240" w:lineRule="auto"/>
              <w:ind w:firstLine="0" w:firstLineChars="0"/>
              <w:contextualSpacing/>
              <w:jc w:val="center"/>
              <w:rPr>
                <w:rFonts w:cs="Times New Roman"/>
                <w:sz w:val="21"/>
                <w:szCs w:val="21"/>
              </w:rPr>
            </w:pPr>
            <w:r>
              <w:rPr>
                <w:rFonts w:hint="eastAsia"/>
                <w:color w:val="000000"/>
                <w:sz w:val="22"/>
              </w:rPr>
              <w:t>4</w:t>
            </w:r>
          </w:p>
        </w:tc>
        <w:tc>
          <w:tcPr>
            <w:tcW w:w="973" w:type="pct"/>
            <w:vMerge w:val="continue"/>
            <w:vAlign w:val="center"/>
          </w:tcPr>
          <w:p w14:paraId="5A89FBD2">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7A8E7E21">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阳沟子</w:t>
            </w:r>
          </w:p>
        </w:tc>
        <w:tc>
          <w:tcPr>
            <w:tcW w:w="973" w:type="pct"/>
            <w:vAlign w:val="center"/>
          </w:tcPr>
          <w:p w14:paraId="4789BCD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A1E3988">
            <w:pPr>
              <w:widowControl/>
              <w:adjustRightInd w:val="0"/>
              <w:spacing w:line="240" w:lineRule="auto"/>
              <w:ind w:firstLine="0" w:firstLineChars="0"/>
              <w:contextualSpacing/>
              <w:jc w:val="center"/>
              <w:rPr>
                <w:rFonts w:cs="Times New Roman"/>
                <w:sz w:val="21"/>
                <w:szCs w:val="21"/>
              </w:rPr>
            </w:pPr>
          </w:p>
        </w:tc>
      </w:tr>
      <w:tr w14:paraId="48A9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AE8F305">
            <w:pPr>
              <w:widowControl/>
              <w:adjustRightInd w:val="0"/>
              <w:spacing w:line="240" w:lineRule="auto"/>
              <w:ind w:firstLine="0" w:firstLineChars="0"/>
              <w:contextualSpacing/>
              <w:jc w:val="center"/>
              <w:rPr>
                <w:rFonts w:cs="Times New Roman"/>
                <w:sz w:val="21"/>
                <w:szCs w:val="21"/>
              </w:rPr>
            </w:pPr>
            <w:r>
              <w:rPr>
                <w:rFonts w:hint="eastAsia"/>
                <w:color w:val="000000"/>
                <w:sz w:val="22"/>
              </w:rPr>
              <w:t>5</w:t>
            </w:r>
          </w:p>
        </w:tc>
        <w:tc>
          <w:tcPr>
            <w:tcW w:w="973" w:type="pct"/>
            <w:vMerge w:val="continue"/>
            <w:vAlign w:val="center"/>
          </w:tcPr>
          <w:p w14:paraId="45BFDEC8">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6CD281EF">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大西岔</w:t>
            </w:r>
          </w:p>
        </w:tc>
        <w:tc>
          <w:tcPr>
            <w:tcW w:w="973" w:type="pct"/>
            <w:vAlign w:val="center"/>
          </w:tcPr>
          <w:p w14:paraId="62CFA18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27409D0">
            <w:pPr>
              <w:widowControl/>
              <w:adjustRightInd w:val="0"/>
              <w:spacing w:line="240" w:lineRule="auto"/>
              <w:ind w:firstLine="0" w:firstLineChars="0"/>
              <w:contextualSpacing/>
              <w:jc w:val="center"/>
              <w:rPr>
                <w:rFonts w:cs="Times New Roman"/>
                <w:sz w:val="21"/>
                <w:szCs w:val="21"/>
              </w:rPr>
            </w:pPr>
          </w:p>
        </w:tc>
      </w:tr>
      <w:tr w14:paraId="3098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12DC7E1">
            <w:pPr>
              <w:widowControl/>
              <w:adjustRightInd w:val="0"/>
              <w:spacing w:line="240" w:lineRule="auto"/>
              <w:ind w:firstLine="0" w:firstLineChars="0"/>
              <w:contextualSpacing/>
              <w:jc w:val="center"/>
              <w:rPr>
                <w:rFonts w:cs="Times New Roman"/>
                <w:sz w:val="21"/>
                <w:szCs w:val="21"/>
              </w:rPr>
            </w:pPr>
            <w:r>
              <w:rPr>
                <w:rFonts w:hint="eastAsia"/>
                <w:color w:val="000000"/>
                <w:sz w:val="22"/>
              </w:rPr>
              <w:t>6</w:t>
            </w:r>
          </w:p>
        </w:tc>
        <w:tc>
          <w:tcPr>
            <w:tcW w:w="973" w:type="pct"/>
            <w:vMerge w:val="continue"/>
            <w:vAlign w:val="center"/>
          </w:tcPr>
          <w:p w14:paraId="7459B4CA">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3079901C">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果松川村</w:t>
            </w:r>
          </w:p>
        </w:tc>
        <w:tc>
          <w:tcPr>
            <w:tcW w:w="973" w:type="pct"/>
            <w:vAlign w:val="center"/>
          </w:tcPr>
          <w:p w14:paraId="429A5D3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6F6AEB1">
            <w:pPr>
              <w:widowControl/>
              <w:adjustRightInd w:val="0"/>
              <w:spacing w:line="240" w:lineRule="auto"/>
              <w:ind w:firstLine="0" w:firstLineChars="0"/>
              <w:contextualSpacing/>
              <w:jc w:val="center"/>
              <w:rPr>
                <w:rFonts w:cs="Times New Roman"/>
                <w:sz w:val="21"/>
                <w:szCs w:val="21"/>
              </w:rPr>
            </w:pPr>
          </w:p>
        </w:tc>
      </w:tr>
      <w:tr w14:paraId="6E9A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A5162E7">
            <w:pPr>
              <w:widowControl/>
              <w:adjustRightInd w:val="0"/>
              <w:spacing w:line="240" w:lineRule="auto"/>
              <w:ind w:firstLine="0" w:firstLineChars="0"/>
              <w:contextualSpacing/>
              <w:jc w:val="center"/>
              <w:rPr>
                <w:rFonts w:cs="Times New Roman"/>
                <w:sz w:val="21"/>
                <w:szCs w:val="21"/>
              </w:rPr>
            </w:pPr>
            <w:r>
              <w:rPr>
                <w:rFonts w:hint="eastAsia"/>
                <w:color w:val="000000"/>
                <w:sz w:val="22"/>
              </w:rPr>
              <w:t>7</w:t>
            </w:r>
          </w:p>
        </w:tc>
        <w:tc>
          <w:tcPr>
            <w:tcW w:w="973" w:type="pct"/>
            <w:vMerge w:val="continue"/>
            <w:vAlign w:val="center"/>
          </w:tcPr>
          <w:p w14:paraId="4F4C180D">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3543864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小西岔</w:t>
            </w:r>
          </w:p>
        </w:tc>
        <w:tc>
          <w:tcPr>
            <w:tcW w:w="973" w:type="pct"/>
            <w:vAlign w:val="center"/>
          </w:tcPr>
          <w:p w14:paraId="7A83770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079756D">
            <w:pPr>
              <w:widowControl/>
              <w:adjustRightInd w:val="0"/>
              <w:spacing w:line="240" w:lineRule="auto"/>
              <w:ind w:firstLine="0" w:firstLineChars="0"/>
              <w:contextualSpacing/>
              <w:jc w:val="center"/>
              <w:rPr>
                <w:rFonts w:cs="Times New Roman"/>
                <w:sz w:val="21"/>
                <w:szCs w:val="21"/>
              </w:rPr>
            </w:pPr>
          </w:p>
        </w:tc>
      </w:tr>
      <w:tr w14:paraId="1789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93CD1BF">
            <w:pPr>
              <w:widowControl/>
              <w:adjustRightInd w:val="0"/>
              <w:spacing w:line="240" w:lineRule="auto"/>
              <w:ind w:firstLine="0" w:firstLineChars="0"/>
              <w:contextualSpacing/>
              <w:jc w:val="center"/>
              <w:rPr>
                <w:rFonts w:cs="Times New Roman"/>
                <w:sz w:val="21"/>
                <w:szCs w:val="21"/>
              </w:rPr>
            </w:pPr>
            <w:r>
              <w:rPr>
                <w:rFonts w:hint="eastAsia"/>
                <w:color w:val="000000"/>
                <w:sz w:val="22"/>
              </w:rPr>
              <w:t>8</w:t>
            </w:r>
          </w:p>
        </w:tc>
        <w:tc>
          <w:tcPr>
            <w:tcW w:w="973" w:type="pct"/>
            <w:vMerge w:val="continue"/>
            <w:vAlign w:val="center"/>
          </w:tcPr>
          <w:p w14:paraId="6D477150">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68D2FD9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松仁沟</w:t>
            </w:r>
          </w:p>
        </w:tc>
        <w:tc>
          <w:tcPr>
            <w:tcW w:w="973" w:type="pct"/>
            <w:vAlign w:val="center"/>
          </w:tcPr>
          <w:p w14:paraId="0157DA6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261A87C">
            <w:pPr>
              <w:widowControl/>
              <w:adjustRightInd w:val="0"/>
              <w:spacing w:line="240" w:lineRule="auto"/>
              <w:ind w:firstLine="0" w:firstLineChars="0"/>
              <w:contextualSpacing/>
              <w:jc w:val="center"/>
              <w:rPr>
                <w:rFonts w:cs="Times New Roman"/>
                <w:sz w:val="21"/>
                <w:szCs w:val="21"/>
              </w:rPr>
            </w:pPr>
          </w:p>
        </w:tc>
      </w:tr>
      <w:tr w14:paraId="29FC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EAB8AC3">
            <w:pPr>
              <w:widowControl/>
              <w:adjustRightInd w:val="0"/>
              <w:spacing w:line="240" w:lineRule="auto"/>
              <w:ind w:firstLine="0" w:firstLineChars="0"/>
              <w:contextualSpacing/>
              <w:jc w:val="center"/>
              <w:rPr>
                <w:rFonts w:cs="Times New Roman"/>
                <w:sz w:val="21"/>
                <w:szCs w:val="21"/>
              </w:rPr>
            </w:pPr>
            <w:r>
              <w:rPr>
                <w:rFonts w:hint="eastAsia"/>
                <w:color w:val="000000"/>
                <w:sz w:val="22"/>
              </w:rPr>
              <w:t>9</w:t>
            </w:r>
          </w:p>
        </w:tc>
        <w:tc>
          <w:tcPr>
            <w:tcW w:w="973" w:type="pct"/>
            <w:vMerge w:val="continue"/>
            <w:vAlign w:val="center"/>
          </w:tcPr>
          <w:p w14:paraId="65F725A7">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556C72D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果松川上围子</w:t>
            </w:r>
          </w:p>
        </w:tc>
        <w:tc>
          <w:tcPr>
            <w:tcW w:w="973" w:type="pct"/>
            <w:vAlign w:val="center"/>
          </w:tcPr>
          <w:p w14:paraId="3C7D706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34CF269">
            <w:pPr>
              <w:widowControl/>
              <w:adjustRightInd w:val="0"/>
              <w:spacing w:line="240" w:lineRule="auto"/>
              <w:ind w:firstLine="0" w:firstLineChars="0"/>
              <w:contextualSpacing/>
              <w:jc w:val="center"/>
              <w:rPr>
                <w:rFonts w:cs="Times New Roman"/>
                <w:sz w:val="21"/>
                <w:szCs w:val="21"/>
              </w:rPr>
            </w:pPr>
          </w:p>
        </w:tc>
      </w:tr>
      <w:tr w14:paraId="3F73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46DF33F">
            <w:pPr>
              <w:widowControl/>
              <w:adjustRightInd w:val="0"/>
              <w:spacing w:line="240" w:lineRule="auto"/>
              <w:ind w:firstLine="0" w:firstLineChars="0"/>
              <w:contextualSpacing/>
              <w:jc w:val="center"/>
              <w:rPr>
                <w:rFonts w:cs="Times New Roman"/>
                <w:sz w:val="21"/>
                <w:szCs w:val="21"/>
              </w:rPr>
            </w:pPr>
            <w:r>
              <w:rPr>
                <w:rFonts w:hint="eastAsia"/>
                <w:color w:val="000000"/>
                <w:sz w:val="22"/>
              </w:rPr>
              <w:t>10</w:t>
            </w:r>
          </w:p>
        </w:tc>
        <w:tc>
          <w:tcPr>
            <w:tcW w:w="973" w:type="pct"/>
            <w:vMerge w:val="continue"/>
            <w:vAlign w:val="center"/>
          </w:tcPr>
          <w:p w14:paraId="1919A296">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077F212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砬子沟</w:t>
            </w:r>
          </w:p>
        </w:tc>
        <w:tc>
          <w:tcPr>
            <w:tcW w:w="973" w:type="pct"/>
            <w:vAlign w:val="center"/>
          </w:tcPr>
          <w:p w14:paraId="33275B5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7E6E1DC">
            <w:pPr>
              <w:widowControl/>
              <w:adjustRightInd w:val="0"/>
              <w:spacing w:line="240" w:lineRule="auto"/>
              <w:ind w:firstLine="0" w:firstLineChars="0"/>
              <w:contextualSpacing/>
              <w:jc w:val="center"/>
              <w:rPr>
                <w:rFonts w:cs="Times New Roman"/>
                <w:sz w:val="21"/>
                <w:szCs w:val="21"/>
              </w:rPr>
            </w:pPr>
          </w:p>
        </w:tc>
      </w:tr>
      <w:tr w14:paraId="5FBF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9594426">
            <w:pPr>
              <w:widowControl/>
              <w:adjustRightInd w:val="0"/>
              <w:spacing w:line="240" w:lineRule="auto"/>
              <w:ind w:firstLine="0" w:firstLineChars="0"/>
              <w:contextualSpacing/>
              <w:jc w:val="center"/>
              <w:rPr>
                <w:rFonts w:cs="Times New Roman"/>
                <w:sz w:val="21"/>
                <w:szCs w:val="21"/>
              </w:rPr>
            </w:pPr>
            <w:r>
              <w:rPr>
                <w:rFonts w:hint="eastAsia"/>
                <w:color w:val="000000"/>
                <w:sz w:val="22"/>
              </w:rPr>
              <w:t>11</w:t>
            </w:r>
          </w:p>
        </w:tc>
        <w:tc>
          <w:tcPr>
            <w:tcW w:w="973" w:type="pct"/>
            <w:vMerge w:val="continue"/>
            <w:vAlign w:val="center"/>
          </w:tcPr>
          <w:p w14:paraId="0098462B">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6CC8835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大浦石河</w:t>
            </w:r>
          </w:p>
        </w:tc>
        <w:tc>
          <w:tcPr>
            <w:tcW w:w="973" w:type="pct"/>
            <w:vAlign w:val="center"/>
          </w:tcPr>
          <w:p w14:paraId="636452E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973" w:type="pct"/>
            <w:vAlign w:val="center"/>
          </w:tcPr>
          <w:p w14:paraId="1ACDAF01">
            <w:pPr>
              <w:widowControl/>
              <w:adjustRightInd w:val="0"/>
              <w:spacing w:line="240" w:lineRule="auto"/>
              <w:ind w:firstLine="0" w:firstLineChars="0"/>
              <w:contextualSpacing/>
              <w:jc w:val="center"/>
              <w:rPr>
                <w:rFonts w:cs="Times New Roman"/>
                <w:sz w:val="21"/>
                <w:szCs w:val="21"/>
              </w:rPr>
            </w:pPr>
          </w:p>
        </w:tc>
      </w:tr>
      <w:tr w14:paraId="5658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14E7CC8">
            <w:pPr>
              <w:widowControl/>
              <w:adjustRightInd w:val="0"/>
              <w:spacing w:line="240" w:lineRule="auto"/>
              <w:ind w:firstLine="0" w:firstLineChars="0"/>
              <w:contextualSpacing/>
              <w:jc w:val="center"/>
              <w:rPr>
                <w:rFonts w:cs="Times New Roman"/>
                <w:sz w:val="21"/>
                <w:szCs w:val="21"/>
              </w:rPr>
            </w:pPr>
            <w:r>
              <w:rPr>
                <w:rFonts w:hint="eastAsia"/>
                <w:color w:val="000000"/>
                <w:sz w:val="22"/>
              </w:rPr>
              <w:t>12</w:t>
            </w:r>
          </w:p>
        </w:tc>
        <w:tc>
          <w:tcPr>
            <w:tcW w:w="973" w:type="pct"/>
            <w:vMerge w:val="continue"/>
            <w:vAlign w:val="center"/>
          </w:tcPr>
          <w:p w14:paraId="4B15DC06">
            <w:pPr>
              <w:widowControl/>
              <w:adjustRightInd w:val="0"/>
              <w:spacing w:line="240" w:lineRule="auto"/>
              <w:ind w:firstLine="0" w:firstLineChars="0"/>
              <w:contextualSpacing/>
              <w:jc w:val="center"/>
              <w:rPr>
                <w:rFonts w:cs="Times New Roman"/>
                <w:kern w:val="0"/>
                <w:sz w:val="21"/>
                <w:szCs w:val="21"/>
              </w:rPr>
            </w:pPr>
          </w:p>
        </w:tc>
        <w:tc>
          <w:tcPr>
            <w:tcW w:w="973" w:type="pct"/>
            <w:vAlign w:val="bottom"/>
          </w:tcPr>
          <w:p w14:paraId="20A6A41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大浦石河沟</w:t>
            </w:r>
          </w:p>
        </w:tc>
        <w:tc>
          <w:tcPr>
            <w:tcW w:w="973" w:type="pct"/>
            <w:vAlign w:val="center"/>
          </w:tcPr>
          <w:p w14:paraId="33F15B3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D447564">
            <w:pPr>
              <w:widowControl/>
              <w:adjustRightInd w:val="0"/>
              <w:spacing w:line="240" w:lineRule="auto"/>
              <w:ind w:firstLine="0" w:firstLineChars="0"/>
              <w:contextualSpacing/>
              <w:jc w:val="center"/>
              <w:rPr>
                <w:rFonts w:cs="Times New Roman"/>
                <w:sz w:val="21"/>
                <w:szCs w:val="21"/>
              </w:rPr>
            </w:pPr>
          </w:p>
        </w:tc>
      </w:tr>
      <w:tr w14:paraId="4197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42394AB">
            <w:pPr>
              <w:widowControl/>
              <w:adjustRightInd w:val="0"/>
              <w:spacing w:line="240" w:lineRule="auto"/>
              <w:ind w:firstLine="0" w:firstLineChars="0"/>
              <w:contextualSpacing/>
              <w:jc w:val="center"/>
              <w:rPr>
                <w:rFonts w:cs="Times New Roman"/>
                <w:sz w:val="21"/>
                <w:szCs w:val="21"/>
              </w:rPr>
            </w:pPr>
            <w:r>
              <w:rPr>
                <w:rFonts w:hint="eastAsia"/>
                <w:color w:val="000000"/>
                <w:sz w:val="22"/>
              </w:rPr>
              <w:t>13</w:t>
            </w:r>
          </w:p>
        </w:tc>
        <w:tc>
          <w:tcPr>
            <w:tcW w:w="973" w:type="pct"/>
            <w:vMerge w:val="restart"/>
            <w:vAlign w:val="center"/>
          </w:tcPr>
          <w:p w14:paraId="340B2D8D">
            <w:pPr>
              <w:widowControl/>
              <w:adjustRightInd w:val="0"/>
              <w:spacing w:line="240" w:lineRule="auto"/>
              <w:ind w:firstLine="0" w:firstLineChars="0"/>
              <w:contextualSpacing/>
              <w:jc w:val="center"/>
              <w:rPr>
                <w:rFonts w:cs="Times New Roman"/>
                <w:sz w:val="21"/>
                <w:szCs w:val="21"/>
              </w:rPr>
            </w:pPr>
            <w:r>
              <w:rPr>
                <w:rFonts w:hint="eastAsia" w:ascii="Arial" w:hAnsi="Arial" w:cs="Arial"/>
                <w:color w:val="000000"/>
                <w:sz w:val="20"/>
                <w:szCs w:val="20"/>
              </w:rPr>
              <w:t>大恩堡村</w:t>
            </w:r>
          </w:p>
        </w:tc>
        <w:tc>
          <w:tcPr>
            <w:tcW w:w="973" w:type="pct"/>
            <w:vAlign w:val="bottom"/>
          </w:tcPr>
          <w:p w14:paraId="2BDF545D">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肖家场</w:t>
            </w:r>
          </w:p>
        </w:tc>
        <w:tc>
          <w:tcPr>
            <w:tcW w:w="973" w:type="pct"/>
            <w:vAlign w:val="center"/>
          </w:tcPr>
          <w:p w14:paraId="31B43AF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A4704FF">
            <w:pPr>
              <w:widowControl/>
              <w:adjustRightInd w:val="0"/>
              <w:spacing w:line="240" w:lineRule="auto"/>
              <w:ind w:firstLine="0" w:firstLineChars="0"/>
              <w:contextualSpacing/>
              <w:jc w:val="center"/>
              <w:rPr>
                <w:rFonts w:cs="Times New Roman"/>
                <w:sz w:val="21"/>
                <w:szCs w:val="21"/>
              </w:rPr>
            </w:pPr>
          </w:p>
        </w:tc>
      </w:tr>
      <w:tr w14:paraId="02CB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0FDBD3C">
            <w:pPr>
              <w:widowControl/>
              <w:adjustRightInd w:val="0"/>
              <w:spacing w:line="240" w:lineRule="auto"/>
              <w:ind w:firstLine="0" w:firstLineChars="0"/>
              <w:contextualSpacing/>
              <w:jc w:val="center"/>
              <w:rPr>
                <w:rFonts w:cs="Times New Roman"/>
                <w:sz w:val="21"/>
                <w:szCs w:val="21"/>
              </w:rPr>
            </w:pPr>
            <w:r>
              <w:rPr>
                <w:rFonts w:hint="eastAsia"/>
                <w:color w:val="000000"/>
                <w:sz w:val="22"/>
              </w:rPr>
              <w:t>14</w:t>
            </w:r>
          </w:p>
        </w:tc>
        <w:tc>
          <w:tcPr>
            <w:tcW w:w="973" w:type="pct"/>
            <w:vMerge w:val="continue"/>
            <w:vAlign w:val="center"/>
          </w:tcPr>
          <w:p w14:paraId="51519371">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41923E93">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大西岔</w:t>
            </w:r>
          </w:p>
        </w:tc>
        <w:tc>
          <w:tcPr>
            <w:tcW w:w="973" w:type="pct"/>
            <w:vAlign w:val="center"/>
          </w:tcPr>
          <w:p w14:paraId="2277762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BFC8D75">
            <w:pPr>
              <w:widowControl/>
              <w:adjustRightInd w:val="0"/>
              <w:spacing w:line="240" w:lineRule="auto"/>
              <w:ind w:firstLine="0" w:firstLineChars="0"/>
              <w:contextualSpacing/>
              <w:jc w:val="center"/>
              <w:rPr>
                <w:rFonts w:cs="Times New Roman"/>
                <w:sz w:val="21"/>
                <w:szCs w:val="21"/>
              </w:rPr>
            </w:pPr>
          </w:p>
        </w:tc>
      </w:tr>
      <w:tr w14:paraId="2587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B970829">
            <w:pPr>
              <w:widowControl/>
              <w:adjustRightInd w:val="0"/>
              <w:spacing w:line="240" w:lineRule="auto"/>
              <w:ind w:firstLine="0" w:firstLineChars="0"/>
              <w:contextualSpacing/>
              <w:jc w:val="center"/>
              <w:rPr>
                <w:rFonts w:cs="Times New Roman"/>
                <w:sz w:val="21"/>
                <w:szCs w:val="21"/>
              </w:rPr>
            </w:pPr>
            <w:r>
              <w:rPr>
                <w:rFonts w:hint="eastAsia"/>
                <w:color w:val="000000"/>
                <w:sz w:val="22"/>
              </w:rPr>
              <w:t>15</w:t>
            </w:r>
          </w:p>
        </w:tc>
        <w:tc>
          <w:tcPr>
            <w:tcW w:w="973" w:type="pct"/>
            <w:vMerge w:val="continue"/>
            <w:vAlign w:val="center"/>
          </w:tcPr>
          <w:p w14:paraId="4C20F4BF">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275A2ACA">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虎沟</w:t>
            </w:r>
          </w:p>
        </w:tc>
        <w:tc>
          <w:tcPr>
            <w:tcW w:w="973" w:type="pct"/>
            <w:vAlign w:val="center"/>
          </w:tcPr>
          <w:p w14:paraId="4928545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B382FA0">
            <w:pPr>
              <w:widowControl/>
              <w:adjustRightInd w:val="0"/>
              <w:spacing w:line="240" w:lineRule="auto"/>
              <w:ind w:firstLine="0" w:firstLineChars="0"/>
              <w:contextualSpacing/>
              <w:jc w:val="center"/>
              <w:rPr>
                <w:rFonts w:cs="Times New Roman"/>
                <w:sz w:val="21"/>
                <w:szCs w:val="21"/>
              </w:rPr>
            </w:pPr>
          </w:p>
        </w:tc>
      </w:tr>
      <w:tr w14:paraId="57DE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6A0C6D6">
            <w:pPr>
              <w:widowControl/>
              <w:adjustRightInd w:val="0"/>
              <w:spacing w:line="240" w:lineRule="auto"/>
              <w:ind w:firstLine="0" w:firstLineChars="0"/>
              <w:contextualSpacing/>
              <w:jc w:val="center"/>
              <w:rPr>
                <w:rFonts w:cs="Times New Roman"/>
                <w:sz w:val="21"/>
                <w:szCs w:val="21"/>
              </w:rPr>
            </w:pPr>
            <w:r>
              <w:rPr>
                <w:rFonts w:hint="eastAsia"/>
                <w:color w:val="000000"/>
                <w:sz w:val="22"/>
              </w:rPr>
              <w:t>16</w:t>
            </w:r>
          </w:p>
        </w:tc>
        <w:tc>
          <w:tcPr>
            <w:tcW w:w="973" w:type="pct"/>
            <w:vMerge w:val="continue"/>
            <w:vAlign w:val="center"/>
          </w:tcPr>
          <w:p w14:paraId="40F8E9C4">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282CDEDE">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小通天沟</w:t>
            </w:r>
          </w:p>
        </w:tc>
        <w:tc>
          <w:tcPr>
            <w:tcW w:w="973" w:type="pct"/>
            <w:vAlign w:val="center"/>
          </w:tcPr>
          <w:p w14:paraId="5C6EBC3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F388F4F">
            <w:pPr>
              <w:widowControl/>
              <w:adjustRightInd w:val="0"/>
              <w:spacing w:line="240" w:lineRule="auto"/>
              <w:ind w:firstLine="0" w:firstLineChars="0"/>
              <w:contextualSpacing/>
              <w:jc w:val="center"/>
              <w:rPr>
                <w:rFonts w:cs="Times New Roman"/>
                <w:sz w:val="21"/>
                <w:szCs w:val="21"/>
              </w:rPr>
            </w:pPr>
          </w:p>
        </w:tc>
      </w:tr>
      <w:tr w14:paraId="000A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21543BE">
            <w:pPr>
              <w:widowControl/>
              <w:adjustRightInd w:val="0"/>
              <w:spacing w:line="240" w:lineRule="auto"/>
              <w:ind w:firstLine="0" w:firstLineChars="0"/>
              <w:contextualSpacing/>
              <w:jc w:val="center"/>
              <w:rPr>
                <w:rFonts w:cs="Times New Roman"/>
                <w:sz w:val="21"/>
                <w:szCs w:val="21"/>
              </w:rPr>
            </w:pPr>
            <w:r>
              <w:rPr>
                <w:rFonts w:hint="eastAsia"/>
                <w:color w:val="000000"/>
                <w:sz w:val="22"/>
              </w:rPr>
              <w:t>17</w:t>
            </w:r>
          </w:p>
        </w:tc>
        <w:tc>
          <w:tcPr>
            <w:tcW w:w="973" w:type="pct"/>
            <w:vMerge w:val="continue"/>
            <w:vAlign w:val="center"/>
          </w:tcPr>
          <w:p w14:paraId="54D47928">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7638E904">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崔化沟</w:t>
            </w:r>
          </w:p>
        </w:tc>
        <w:tc>
          <w:tcPr>
            <w:tcW w:w="973" w:type="pct"/>
            <w:vAlign w:val="center"/>
          </w:tcPr>
          <w:p w14:paraId="0050377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06C9132">
            <w:pPr>
              <w:widowControl/>
              <w:adjustRightInd w:val="0"/>
              <w:spacing w:line="240" w:lineRule="auto"/>
              <w:ind w:firstLine="0" w:firstLineChars="0"/>
              <w:contextualSpacing/>
              <w:jc w:val="center"/>
              <w:rPr>
                <w:rFonts w:cs="Times New Roman"/>
                <w:sz w:val="21"/>
                <w:szCs w:val="21"/>
              </w:rPr>
            </w:pPr>
          </w:p>
        </w:tc>
      </w:tr>
      <w:tr w14:paraId="42F4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ED219B1">
            <w:pPr>
              <w:widowControl/>
              <w:adjustRightInd w:val="0"/>
              <w:spacing w:line="240" w:lineRule="auto"/>
              <w:ind w:firstLine="0" w:firstLineChars="0"/>
              <w:contextualSpacing/>
              <w:jc w:val="center"/>
              <w:rPr>
                <w:rFonts w:cs="Times New Roman"/>
                <w:sz w:val="21"/>
                <w:szCs w:val="21"/>
              </w:rPr>
            </w:pPr>
            <w:r>
              <w:rPr>
                <w:rFonts w:hint="eastAsia"/>
                <w:color w:val="000000"/>
                <w:sz w:val="22"/>
              </w:rPr>
              <w:t>18</w:t>
            </w:r>
          </w:p>
        </w:tc>
        <w:tc>
          <w:tcPr>
            <w:tcW w:w="973" w:type="pct"/>
            <w:vMerge w:val="continue"/>
            <w:vAlign w:val="center"/>
          </w:tcPr>
          <w:p w14:paraId="1D3081CE">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68F08F87">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大通天沟</w:t>
            </w:r>
          </w:p>
        </w:tc>
        <w:tc>
          <w:tcPr>
            <w:tcW w:w="973" w:type="pct"/>
            <w:vAlign w:val="center"/>
          </w:tcPr>
          <w:p w14:paraId="6FBF2A1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3BFDFAD">
            <w:pPr>
              <w:widowControl/>
              <w:adjustRightInd w:val="0"/>
              <w:spacing w:line="240" w:lineRule="auto"/>
              <w:ind w:firstLine="0" w:firstLineChars="0"/>
              <w:contextualSpacing/>
              <w:jc w:val="center"/>
              <w:rPr>
                <w:rFonts w:cs="Times New Roman"/>
                <w:sz w:val="21"/>
                <w:szCs w:val="21"/>
              </w:rPr>
            </w:pPr>
          </w:p>
        </w:tc>
      </w:tr>
      <w:tr w14:paraId="785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D94FF8D">
            <w:pPr>
              <w:widowControl/>
              <w:adjustRightInd w:val="0"/>
              <w:spacing w:line="240" w:lineRule="auto"/>
              <w:ind w:firstLine="0" w:firstLineChars="0"/>
              <w:contextualSpacing/>
              <w:jc w:val="center"/>
              <w:rPr>
                <w:rFonts w:cs="Times New Roman"/>
                <w:sz w:val="21"/>
                <w:szCs w:val="21"/>
              </w:rPr>
            </w:pPr>
            <w:r>
              <w:rPr>
                <w:rFonts w:hint="eastAsia"/>
                <w:color w:val="000000"/>
                <w:sz w:val="22"/>
              </w:rPr>
              <w:t>19</w:t>
            </w:r>
          </w:p>
        </w:tc>
        <w:tc>
          <w:tcPr>
            <w:tcW w:w="973" w:type="pct"/>
            <w:vMerge w:val="continue"/>
            <w:vAlign w:val="center"/>
          </w:tcPr>
          <w:p w14:paraId="181C8DBB">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1A75F9A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通天沟门</w:t>
            </w:r>
          </w:p>
        </w:tc>
        <w:tc>
          <w:tcPr>
            <w:tcW w:w="973" w:type="pct"/>
            <w:vAlign w:val="center"/>
          </w:tcPr>
          <w:p w14:paraId="3AF84B4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增量型</w:t>
            </w:r>
          </w:p>
        </w:tc>
        <w:tc>
          <w:tcPr>
            <w:tcW w:w="973" w:type="pct"/>
            <w:vAlign w:val="center"/>
          </w:tcPr>
          <w:p w14:paraId="626C85B5">
            <w:pPr>
              <w:widowControl/>
              <w:adjustRightInd w:val="0"/>
              <w:spacing w:line="240" w:lineRule="auto"/>
              <w:ind w:firstLine="0" w:firstLineChars="0"/>
              <w:contextualSpacing/>
              <w:jc w:val="center"/>
              <w:rPr>
                <w:rFonts w:cs="Times New Roman"/>
                <w:sz w:val="21"/>
                <w:szCs w:val="21"/>
              </w:rPr>
            </w:pPr>
          </w:p>
        </w:tc>
      </w:tr>
      <w:tr w14:paraId="522F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BB91037">
            <w:pPr>
              <w:widowControl/>
              <w:adjustRightInd w:val="0"/>
              <w:spacing w:line="240" w:lineRule="auto"/>
              <w:ind w:firstLine="0" w:firstLineChars="0"/>
              <w:contextualSpacing/>
              <w:jc w:val="center"/>
              <w:rPr>
                <w:rFonts w:cs="Times New Roman"/>
                <w:sz w:val="21"/>
                <w:szCs w:val="21"/>
              </w:rPr>
            </w:pPr>
            <w:r>
              <w:rPr>
                <w:rFonts w:hint="eastAsia"/>
                <w:color w:val="000000"/>
                <w:sz w:val="22"/>
              </w:rPr>
              <w:t>20</w:t>
            </w:r>
          </w:p>
        </w:tc>
        <w:tc>
          <w:tcPr>
            <w:tcW w:w="973" w:type="pct"/>
            <w:vMerge w:val="continue"/>
            <w:vAlign w:val="center"/>
          </w:tcPr>
          <w:p w14:paraId="55AFD623">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55B6D37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邯郸坡</w:t>
            </w:r>
          </w:p>
        </w:tc>
        <w:tc>
          <w:tcPr>
            <w:tcW w:w="973" w:type="pct"/>
            <w:vAlign w:val="center"/>
          </w:tcPr>
          <w:p w14:paraId="61DBFC8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F74E2D9">
            <w:pPr>
              <w:widowControl/>
              <w:adjustRightInd w:val="0"/>
              <w:spacing w:line="240" w:lineRule="auto"/>
              <w:ind w:firstLine="0" w:firstLineChars="0"/>
              <w:contextualSpacing/>
              <w:jc w:val="center"/>
              <w:rPr>
                <w:rFonts w:cs="Times New Roman"/>
                <w:sz w:val="21"/>
                <w:szCs w:val="21"/>
              </w:rPr>
            </w:pPr>
          </w:p>
        </w:tc>
      </w:tr>
      <w:tr w14:paraId="1A2F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3EA1C81">
            <w:pPr>
              <w:widowControl/>
              <w:adjustRightInd w:val="0"/>
              <w:spacing w:line="240" w:lineRule="auto"/>
              <w:ind w:firstLine="0" w:firstLineChars="0"/>
              <w:contextualSpacing/>
              <w:jc w:val="center"/>
              <w:rPr>
                <w:rFonts w:cs="Times New Roman"/>
                <w:sz w:val="21"/>
                <w:szCs w:val="21"/>
              </w:rPr>
            </w:pPr>
            <w:r>
              <w:rPr>
                <w:rFonts w:hint="eastAsia"/>
                <w:color w:val="000000"/>
                <w:sz w:val="22"/>
              </w:rPr>
              <w:t>21</w:t>
            </w:r>
          </w:p>
        </w:tc>
        <w:tc>
          <w:tcPr>
            <w:tcW w:w="973" w:type="pct"/>
            <w:vMerge w:val="continue"/>
            <w:vAlign w:val="center"/>
          </w:tcPr>
          <w:p w14:paraId="4754274D">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027495C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小八宝沟</w:t>
            </w:r>
          </w:p>
        </w:tc>
        <w:tc>
          <w:tcPr>
            <w:tcW w:w="973" w:type="pct"/>
            <w:vAlign w:val="center"/>
          </w:tcPr>
          <w:p w14:paraId="4DA2E73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D8CB604">
            <w:pPr>
              <w:widowControl/>
              <w:adjustRightInd w:val="0"/>
              <w:spacing w:line="240" w:lineRule="auto"/>
              <w:ind w:firstLine="0" w:firstLineChars="0"/>
              <w:contextualSpacing/>
              <w:jc w:val="center"/>
              <w:rPr>
                <w:rFonts w:cs="Times New Roman"/>
                <w:sz w:val="21"/>
                <w:szCs w:val="21"/>
              </w:rPr>
            </w:pPr>
          </w:p>
        </w:tc>
      </w:tr>
      <w:tr w14:paraId="457F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4D34C20">
            <w:pPr>
              <w:widowControl/>
              <w:adjustRightInd w:val="0"/>
              <w:spacing w:line="240" w:lineRule="auto"/>
              <w:ind w:firstLine="0" w:firstLineChars="0"/>
              <w:contextualSpacing/>
              <w:jc w:val="center"/>
              <w:rPr>
                <w:rFonts w:cs="Times New Roman"/>
                <w:sz w:val="21"/>
                <w:szCs w:val="21"/>
              </w:rPr>
            </w:pPr>
            <w:r>
              <w:rPr>
                <w:rFonts w:hint="eastAsia"/>
                <w:color w:val="000000"/>
                <w:sz w:val="22"/>
              </w:rPr>
              <w:t>22</w:t>
            </w:r>
          </w:p>
        </w:tc>
        <w:tc>
          <w:tcPr>
            <w:tcW w:w="973" w:type="pct"/>
            <w:vMerge w:val="continue"/>
            <w:vAlign w:val="center"/>
          </w:tcPr>
          <w:p w14:paraId="291C364D">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3A5BF72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大八宝沟</w:t>
            </w:r>
          </w:p>
        </w:tc>
        <w:tc>
          <w:tcPr>
            <w:tcW w:w="973" w:type="pct"/>
            <w:vAlign w:val="center"/>
          </w:tcPr>
          <w:p w14:paraId="75262C9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489CCB6">
            <w:pPr>
              <w:widowControl/>
              <w:adjustRightInd w:val="0"/>
              <w:spacing w:line="240" w:lineRule="auto"/>
              <w:ind w:firstLine="0" w:firstLineChars="0"/>
              <w:contextualSpacing/>
              <w:jc w:val="center"/>
              <w:rPr>
                <w:rFonts w:cs="Times New Roman"/>
                <w:sz w:val="21"/>
                <w:szCs w:val="21"/>
              </w:rPr>
            </w:pPr>
          </w:p>
        </w:tc>
      </w:tr>
      <w:tr w14:paraId="2538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EF7E2FC">
            <w:pPr>
              <w:widowControl/>
              <w:adjustRightInd w:val="0"/>
              <w:spacing w:line="240" w:lineRule="auto"/>
              <w:ind w:firstLine="0" w:firstLineChars="0"/>
              <w:contextualSpacing/>
              <w:jc w:val="center"/>
              <w:rPr>
                <w:rFonts w:cs="Times New Roman"/>
                <w:sz w:val="21"/>
                <w:szCs w:val="21"/>
              </w:rPr>
            </w:pPr>
            <w:r>
              <w:rPr>
                <w:rFonts w:hint="eastAsia"/>
                <w:color w:val="000000"/>
                <w:sz w:val="22"/>
              </w:rPr>
              <w:t>23</w:t>
            </w:r>
          </w:p>
        </w:tc>
        <w:tc>
          <w:tcPr>
            <w:tcW w:w="973" w:type="pct"/>
            <w:vMerge w:val="continue"/>
            <w:vAlign w:val="center"/>
          </w:tcPr>
          <w:p w14:paraId="46CBAFBE">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0F21EFD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大恩堡村</w:t>
            </w:r>
          </w:p>
        </w:tc>
        <w:tc>
          <w:tcPr>
            <w:tcW w:w="973" w:type="pct"/>
            <w:vAlign w:val="center"/>
          </w:tcPr>
          <w:p w14:paraId="23FA6FC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99E33DA">
            <w:pPr>
              <w:widowControl/>
              <w:adjustRightInd w:val="0"/>
              <w:spacing w:line="240" w:lineRule="auto"/>
              <w:ind w:firstLine="0" w:firstLineChars="0"/>
              <w:contextualSpacing/>
              <w:jc w:val="center"/>
              <w:rPr>
                <w:rFonts w:cs="Times New Roman"/>
                <w:sz w:val="21"/>
                <w:szCs w:val="21"/>
              </w:rPr>
            </w:pPr>
          </w:p>
        </w:tc>
      </w:tr>
      <w:tr w14:paraId="51E3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22CC733">
            <w:pPr>
              <w:widowControl/>
              <w:adjustRightInd w:val="0"/>
              <w:spacing w:line="240" w:lineRule="auto"/>
              <w:ind w:firstLine="0" w:firstLineChars="0"/>
              <w:contextualSpacing/>
              <w:jc w:val="center"/>
              <w:rPr>
                <w:rFonts w:cs="Times New Roman"/>
                <w:sz w:val="21"/>
                <w:szCs w:val="21"/>
              </w:rPr>
            </w:pPr>
            <w:r>
              <w:rPr>
                <w:rFonts w:hint="eastAsia"/>
                <w:color w:val="000000"/>
                <w:sz w:val="22"/>
              </w:rPr>
              <w:t>24</w:t>
            </w:r>
          </w:p>
        </w:tc>
        <w:tc>
          <w:tcPr>
            <w:tcW w:w="973" w:type="pct"/>
            <w:vMerge w:val="continue"/>
            <w:vAlign w:val="center"/>
          </w:tcPr>
          <w:p w14:paraId="3AE2D129">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2A7EDF7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西沟</w:t>
            </w:r>
          </w:p>
        </w:tc>
        <w:tc>
          <w:tcPr>
            <w:tcW w:w="973" w:type="pct"/>
            <w:vAlign w:val="center"/>
          </w:tcPr>
          <w:p w14:paraId="604EF22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FAD996A">
            <w:pPr>
              <w:widowControl/>
              <w:adjustRightInd w:val="0"/>
              <w:spacing w:line="240" w:lineRule="auto"/>
              <w:ind w:firstLine="0" w:firstLineChars="0"/>
              <w:contextualSpacing/>
              <w:jc w:val="center"/>
              <w:rPr>
                <w:rFonts w:cs="Times New Roman"/>
                <w:sz w:val="21"/>
                <w:szCs w:val="21"/>
              </w:rPr>
            </w:pPr>
          </w:p>
        </w:tc>
      </w:tr>
      <w:tr w14:paraId="099A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9416EAB">
            <w:pPr>
              <w:widowControl/>
              <w:adjustRightInd w:val="0"/>
              <w:spacing w:line="240" w:lineRule="auto"/>
              <w:ind w:firstLine="0" w:firstLineChars="0"/>
              <w:contextualSpacing/>
              <w:jc w:val="center"/>
              <w:rPr>
                <w:rFonts w:cs="Times New Roman"/>
                <w:sz w:val="21"/>
                <w:szCs w:val="21"/>
              </w:rPr>
            </w:pPr>
            <w:r>
              <w:rPr>
                <w:rFonts w:hint="eastAsia"/>
                <w:color w:val="000000"/>
                <w:sz w:val="22"/>
              </w:rPr>
              <w:t>25</w:t>
            </w:r>
          </w:p>
        </w:tc>
        <w:tc>
          <w:tcPr>
            <w:tcW w:w="973" w:type="pct"/>
            <w:vMerge w:val="restart"/>
            <w:vAlign w:val="center"/>
          </w:tcPr>
          <w:p w14:paraId="7E3F6564">
            <w:pPr>
              <w:widowControl/>
              <w:spacing w:line="240" w:lineRule="auto"/>
              <w:ind w:firstLine="0" w:firstLineChars="0"/>
              <w:jc w:val="center"/>
              <w:rPr>
                <w:rFonts w:cs="Times New Roman"/>
                <w:sz w:val="21"/>
                <w:szCs w:val="21"/>
              </w:rPr>
            </w:pPr>
            <w:r>
              <w:rPr>
                <w:rFonts w:hint="eastAsia" w:ascii="Arial" w:hAnsi="Arial" w:cs="Arial"/>
                <w:color w:val="000000"/>
                <w:sz w:val="20"/>
                <w:szCs w:val="20"/>
              </w:rPr>
              <w:t>冯家堡</w:t>
            </w:r>
            <w:r>
              <w:rPr>
                <w:rFonts w:ascii="Arial" w:hAnsi="Arial" w:cs="Arial"/>
                <w:color w:val="000000"/>
                <w:sz w:val="20"/>
                <w:szCs w:val="20"/>
              </w:rPr>
              <w:t>村</w:t>
            </w:r>
          </w:p>
        </w:tc>
        <w:tc>
          <w:tcPr>
            <w:tcW w:w="973" w:type="pct"/>
            <w:vAlign w:val="bottom"/>
          </w:tcPr>
          <w:p w14:paraId="6121B446">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炮台沟</w:t>
            </w:r>
          </w:p>
        </w:tc>
        <w:tc>
          <w:tcPr>
            <w:tcW w:w="973" w:type="pct"/>
            <w:vAlign w:val="center"/>
          </w:tcPr>
          <w:p w14:paraId="650DC08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B9F4EAF">
            <w:pPr>
              <w:widowControl/>
              <w:adjustRightInd w:val="0"/>
              <w:spacing w:line="240" w:lineRule="auto"/>
              <w:ind w:firstLine="0" w:firstLineChars="0"/>
              <w:contextualSpacing/>
              <w:jc w:val="center"/>
              <w:rPr>
                <w:rFonts w:cs="Times New Roman"/>
                <w:sz w:val="21"/>
                <w:szCs w:val="21"/>
              </w:rPr>
            </w:pPr>
          </w:p>
        </w:tc>
      </w:tr>
      <w:tr w14:paraId="3113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67CBA25">
            <w:pPr>
              <w:widowControl/>
              <w:adjustRightInd w:val="0"/>
              <w:spacing w:line="240" w:lineRule="auto"/>
              <w:ind w:firstLine="0" w:firstLineChars="0"/>
              <w:contextualSpacing/>
              <w:jc w:val="center"/>
              <w:rPr>
                <w:rFonts w:cs="Times New Roman"/>
                <w:sz w:val="21"/>
                <w:szCs w:val="21"/>
              </w:rPr>
            </w:pPr>
            <w:r>
              <w:rPr>
                <w:rFonts w:hint="eastAsia"/>
                <w:color w:val="000000"/>
                <w:sz w:val="22"/>
              </w:rPr>
              <w:t>26</w:t>
            </w:r>
          </w:p>
        </w:tc>
        <w:tc>
          <w:tcPr>
            <w:tcW w:w="973" w:type="pct"/>
            <w:vMerge w:val="continue"/>
            <w:vAlign w:val="center"/>
          </w:tcPr>
          <w:p w14:paraId="79FDD8DB">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1A754B56">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肖家沟</w:t>
            </w:r>
          </w:p>
        </w:tc>
        <w:tc>
          <w:tcPr>
            <w:tcW w:w="973" w:type="pct"/>
            <w:vAlign w:val="center"/>
          </w:tcPr>
          <w:p w14:paraId="20D7ECC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6A41DB0">
            <w:pPr>
              <w:widowControl/>
              <w:adjustRightInd w:val="0"/>
              <w:spacing w:line="240" w:lineRule="auto"/>
              <w:ind w:firstLine="0" w:firstLineChars="0"/>
              <w:contextualSpacing/>
              <w:jc w:val="center"/>
              <w:rPr>
                <w:rFonts w:cs="Times New Roman"/>
                <w:sz w:val="21"/>
                <w:szCs w:val="21"/>
              </w:rPr>
            </w:pPr>
          </w:p>
        </w:tc>
      </w:tr>
      <w:tr w14:paraId="16D7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7D4A6A5">
            <w:pPr>
              <w:widowControl/>
              <w:adjustRightInd w:val="0"/>
              <w:spacing w:line="240" w:lineRule="auto"/>
              <w:ind w:firstLine="0" w:firstLineChars="0"/>
              <w:contextualSpacing/>
              <w:jc w:val="center"/>
              <w:rPr>
                <w:rFonts w:cs="Times New Roman"/>
                <w:sz w:val="21"/>
                <w:szCs w:val="21"/>
              </w:rPr>
            </w:pPr>
            <w:r>
              <w:rPr>
                <w:rFonts w:hint="eastAsia"/>
                <w:color w:val="000000"/>
                <w:sz w:val="22"/>
              </w:rPr>
              <w:t>27</w:t>
            </w:r>
          </w:p>
        </w:tc>
        <w:tc>
          <w:tcPr>
            <w:tcW w:w="973" w:type="pct"/>
            <w:vMerge w:val="continue"/>
            <w:vAlign w:val="center"/>
          </w:tcPr>
          <w:p w14:paraId="1409EF92">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5C386F8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石硼子沟</w:t>
            </w:r>
          </w:p>
        </w:tc>
        <w:tc>
          <w:tcPr>
            <w:tcW w:w="973" w:type="pct"/>
            <w:vAlign w:val="center"/>
          </w:tcPr>
          <w:p w14:paraId="7C1B96C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97489D1">
            <w:pPr>
              <w:widowControl/>
              <w:adjustRightInd w:val="0"/>
              <w:spacing w:line="240" w:lineRule="auto"/>
              <w:ind w:firstLine="0" w:firstLineChars="0"/>
              <w:contextualSpacing/>
              <w:jc w:val="center"/>
              <w:rPr>
                <w:rFonts w:cs="Times New Roman"/>
                <w:sz w:val="21"/>
                <w:szCs w:val="21"/>
              </w:rPr>
            </w:pPr>
          </w:p>
        </w:tc>
      </w:tr>
      <w:tr w14:paraId="2CF6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3C0F1F1">
            <w:pPr>
              <w:widowControl/>
              <w:adjustRightInd w:val="0"/>
              <w:spacing w:line="240" w:lineRule="auto"/>
              <w:ind w:firstLine="0" w:firstLineChars="0"/>
              <w:contextualSpacing/>
              <w:jc w:val="center"/>
              <w:rPr>
                <w:rFonts w:cs="Times New Roman"/>
                <w:sz w:val="21"/>
                <w:szCs w:val="21"/>
              </w:rPr>
            </w:pPr>
            <w:r>
              <w:rPr>
                <w:rFonts w:hint="eastAsia"/>
                <w:color w:val="000000"/>
                <w:sz w:val="22"/>
              </w:rPr>
              <w:t>28</w:t>
            </w:r>
          </w:p>
        </w:tc>
        <w:tc>
          <w:tcPr>
            <w:tcW w:w="973" w:type="pct"/>
            <w:vMerge w:val="continue"/>
            <w:vAlign w:val="center"/>
          </w:tcPr>
          <w:p w14:paraId="4C0EB132">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6AB0B4B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冯家堡子村</w:t>
            </w:r>
          </w:p>
        </w:tc>
        <w:tc>
          <w:tcPr>
            <w:tcW w:w="973" w:type="pct"/>
            <w:vAlign w:val="center"/>
          </w:tcPr>
          <w:p w14:paraId="18128DE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AD9B4B3">
            <w:pPr>
              <w:widowControl/>
              <w:adjustRightInd w:val="0"/>
              <w:spacing w:line="240" w:lineRule="auto"/>
              <w:ind w:firstLine="0" w:firstLineChars="0"/>
              <w:contextualSpacing/>
              <w:jc w:val="center"/>
              <w:rPr>
                <w:rFonts w:cs="Times New Roman"/>
                <w:sz w:val="21"/>
                <w:szCs w:val="21"/>
              </w:rPr>
            </w:pPr>
          </w:p>
        </w:tc>
      </w:tr>
      <w:tr w14:paraId="2370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57F1700">
            <w:pPr>
              <w:widowControl/>
              <w:adjustRightInd w:val="0"/>
              <w:spacing w:line="240" w:lineRule="auto"/>
              <w:ind w:firstLine="0" w:firstLineChars="0"/>
              <w:contextualSpacing/>
              <w:jc w:val="center"/>
              <w:rPr>
                <w:rFonts w:cs="Times New Roman"/>
                <w:sz w:val="21"/>
                <w:szCs w:val="21"/>
              </w:rPr>
            </w:pPr>
            <w:r>
              <w:rPr>
                <w:rFonts w:hint="eastAsia"/>
                <w:color w:val="000000"/>
                <w:sz w:val="22"/>
              </w:rPr>
              <w:t>29</w:t>
            </w:r>
          </w:p>
        </w:tc>
        <w:tc>
          <w:tcPr>
            <w:tcW w:w="973" w:type="pct"/>
            <w:vMerge w:val="continue"/>
            <w:vAlign w:val="center"/>
          </w:tcPr>
          <w:p w14:paraId="27A25549">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19AE95C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水电</w:t>
            </w:r>
          </w:p>
        </w:tc>
        <w:tc>
          <w:tcPr>
            <w:tcW w:w="973" w:type="pct"/>
            <w:vAlign w:val="center"/>
          </w:tcPr>
          <w:p w14:paraId="59B4DF5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AE8E39A">
            <w:pPr>
              <w:widowControl/>
              <w:adjustRightInd w:val="0"/>
              <w:spacing w:line="240" w:lineRule="auto"/>
              <w:ind w:firstLine="0" w:firstLineChars="0"/>
              <w:contextualSpacing/>
              <w:jc w:val="center"/>
              <w:rPr>
                <w:rFonts w:cs="Times New Roman"/>
                <w:sz w:val="21"/>
                <w:szCs w:val="21"/>
              </w:rPr>
            </w:pPr>
          </w:p>
        </w:tc>
      </w:tr>
      <w:tr w14:paraId="74D4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36DEE8A">
            <w:pPr>
              <w:widowControl/>
              <w:adjustRightInd w:val="0"/>
              <w:spacing w:line="240" w:lineRule="auto"/>
              <w:ind w:firstLine="0" w:firstLineChars="0"/>
              <w:contextualSpacing/>
              <w:jc w:val="center"/>
              <w:rPr>
                <w:rFonts w:cs="Times New Roman"/>
                <w:sz w:val="21"/>
                <w:szCs w:val="21"/>
              </w:rPr>
            </w:pPr>
            <w:r>
              <w:rPr>
                <w:rFonts w:hint="eastAsia"/>
                <w:color w:val="000000"/>
                <w:sz w:val="22"/>
              </w:rPr>
              <w:t>30</w:t>
            </w:r>
          </w:p>
        </w:tc>
        <w:tc>
          <w:tcPr>
            <w:tcW w:w="973" w:type="pct"/>
            <w:vMerge w:val="continue"/>
            <w:vAlign w:val="center"/>
          </w:tcPr>
          <w:p w14:paraId="4B64E41F">
            <w:pPr>
              <w:widowControl/>
              <w:adjustRightInd w:val="0"/>
              <w:spacing w:line="240" w:lineRule="auto"/>
              <w:ind w:firstLine="0" w:firstLineChars="0"/>
              <w:contextualSpacing/>
              <w:jc w:val="center"/>
              <w:rPr>
                <w:rFonts w:cs="Times New Roman"/>
                <w:sz w:val="21"/>
                <w:szCs w:val="21"/>
              </w:rPr>
            </w:pPr>
          </w:p>
        </w:tc>
        <w:tc>
          <w:tcPr>
            <w:tcW w:w="973" w:type="pct"/>
          </w:tcPr>
          <w:p w14:paraId="789057BE">
            <w:pPr>
              <w:widowControl/>
              <w:spacing w:line="240" w:lineRule="auto"/>
              <w:ind w:firstLine="0" w:firstLineChars="0"/>
              <w:jc w:val="center"/>
              <w:rPr>
                <w:rFonts w:ascii="Arial" w:hAnsi="Arial" w:cs="Arial"/>
                <w:color w:val="000000"/>
                <w:sz w:val="20"/>
                <w:szCs w:val="20"/>
              </w:rPr>
            </w:pPr>
            <w:r>
              <w:rPr>
                <w:rFonts w:ascii="Arial" w:hAnsi="Arial" w:cs="Arial"/>
                <w:color w:val="000000"/>
                <w:sz w:val="20"/>
                <w:szCs w:val="20"/>
              </w:rPr>
              <w:t>大鹿圈</w:t>
            </w:r>
          </w:p>
        </w:tc>
        <w:tc>
          <w:tcPr>
            <w:tcW w:w="973" w:type="pct"/>
            <w:vAlign w:val="center"/>
          </w:tcPr>
          <w:p w14:paraId="5483161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3F3A382">
            <w:pPr>
              <w:widowControl/>
              <w:adjustRightInd w:val="0"/>
              <w:spacing w:line="240" w:lineRule="auto"/>
              <w:ind w:firstLine="0" w:firstLineChars="0"/>
              <w:contextualSpacing/>
              <w:jc w:val="center"/>
              <w:rPr>
                <w:rFonts w:cs="Times New Roman"/>
                <w:sz w:val="21"/>
                <w:szCs w:val="21"/>
              </w:rPr>
            </w:pPr>
          </w:p>
        </w:tc>
      </w:tr>
      <w:tr w14:paraId="2368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ACBC5CE">
            <w:pPr>
              <w:widowControl/>
              <w:adjustRightInd w:val="0"/>
              <w:spacing w:line="240" w:lineRule="auto"/>
              <w:ind w:firstLine="0" w:firstLineChars="0"/>
              <w:contextualSpacing/>
              <w:jc w:val="center"/>
              <w:rPr>
                <w:rFonts w:cs="Times New Roman"/>
                <w:sz w:val="21"/>
                <w:szCs w:val="21"/>
              </w:rPr>
            </w:pPr>
            <w:r>
              <w:rPr>
                <w:rFonts w:hint="eastAsia"/>
                <w:color w:val="000000"/>
                <w:sz w:val="22"/>
              </w:rPr>
              <w:t>31</w:t>
            </w:r>
          </w:p>
        </w:tc>
        <w:tc>
          <w:tcPr>
            <w:tcW w:w="973" w:type="pct"/>
            <w:vMerge w:val="restart"/>
            <w:vAlign w:val="center"/>
          </w:tcPr>
          <w:p w14:paraId="1670305A">
            <w:pPr>
              <w:widowControl/>
              <w:spacing w:line="240" w:lineRule="auto"/>
              <w:ind w:firstLine="0" w:firstLineChars="0"/>
              <w:jc w:val="center"/>
              <w:rPr>
                <w:rFonts w:cs="Times New Roman"/>
                <w:sz w:val="21"/>
                <w:szCs w:val="21"/>
              </w:rPr>
            </w:pPr>
            <w:r>
              <w:rPr>
                <w:rFonts w:ascii="Arial" w:hAnsi="Arial" w:cs="Arial"/>
                <w:color w:val="000000"/>
                <w:sz w:val="20"/>
                <w:szCs w:val="20"/>
              </w:rPr>
              <w:t>柳林子村</w:t>
            </w:r>
          </w:p>
        </w:tc>
        <w:tc>
          <w:tcPr>
            <w:tcW w:w="973" w:type="pct"/>
            <w:vAlign w:val="bottom"/>
          </w:tcPr>
          <w:p w14:paraId="68FBAF3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正岔</w:t>
            </w:r>
          </w:p>
        </w:tc>
        <w:tc>
          <w:tcPr>
            <w:tcW w:w="973" w:type="pct"/>
            <w:vAlign w:val="center"/>
          </w:tcPr>
          <w:p w14:paraId="1A7E4FA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AC2EF71">
            <w:pPr>
              <w:widowControl/>
              <w:adjustRightInd w:val="0"/>
              <w:spacing w:line="240" w:lineRule="auto"/>
              <w:ind w:firstLine="0" w:firstLineChars="0"/>
              <w:contextualSpacing/>
              <w:jc w:val="center"/>
              <w:rPr>
                <w:rFonts w:cs="Times New Roman"/>
                <w:sz w:val="21"/>
                <w:szCs w:val="21"/>
              </w:rPr>
            </w:pPr>
          </w:p>
        </w:tc>
      </w:tr>
      <w:tr w14:paraId="5564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2FCDFDE">
            <w:pPr>
              <w:widowControl/>
              <w:adjustRightInd w:val="0"/>
              <w:spacing w:line="240" w:lineRule="auto"/>
              <w:ind w:firstLine="0" w:firstLineChars="0"/>
              <w:contextualSpacing/>
              <w:jc w:val="center"/>
              <w:rPr>
                <w:rFonts w:cs="Times New Roman"/>
                <w:sz w:val="21"/>
                <w:szCs w:val="21"/>
              </w:rPr>
            </w:pPr>
            <w:r>
              <w:rPr>
                <w:rFonts w:hint="eastAsia"/>
                <w:color w:val="000000"/>
                <w:sz w:val="22"/>
              </w:rPr>
              <w:t>32</w:t>
            </w:r>
          </w:p>
        </w:tc>
        <w:tc>
          <w:tcPr>
            <w:tcW w:w="973" w:type="pct"/>
            <w:vMerge w:val="continue"/>
            <w:vAlign w:val="center"/>
          </w:tcPr>
          <w:p w14:paraId="3A24F5CE">
            <w:pPr>
              <w:widowControl/>
              <w:spacing w:line="240" w:lineRule="auto"/>
              <w:ind w:firstLine="0" w:firstLineChars="0"/>
              <w:jc w:val="center"/>
              <w:rPr>
                <w:rFonts w:ascii="Arial" w:hAnsi="Arial" w:cs="Arial"/>
                <w:color w:val="000000"/>
                <w:sz w:val="20"/>
                <w:szCs w:val="20"/>
              </w:rPr>
            </w:pPr>
          </w:p>
        </w:tc>
        <w:tc>
          <w:tcPr>
            <w:tcW w:w="973" w:type="pct"/>
            <w:vAlign w:val="bottom"/>
          </w:tcPr>
          <w:p w14:paraId="36F6B57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葫芦头子</w:t>
            </w:r>
          </w:p>
        </w:tc>
        <w:tc>
          <w:tcPr>
            <w:tcW w:w="973" w:type="pct"/>
            <w:vAlign w:val="center"/>
          </w:tcPr>
          <w:p w14:paraId="319D11C4">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1BF5D1F">
            <w:pPr>
              <w:widowControl/>
              <w:adjustRightInd w:val="0"/>
              <w:spacing w:line="240" w:lineRule="auto"/>
              <w:ind w:firstLine="0" w:firstLineChars="0"/>
              <w:contextualSpacing/>
              <w:jc w:val="center"/>
              <w:rPr>
                <w:rFonts w:cs="Times New Roman"/>
                <w:sz w:val="21"/>
                <w:szCs w:val="21"/>
              </w:rPr>
            </w:pPr>
          </w:p>
        </w:tc>
      </w:tr>
      <w:tr w14:paraId="6BBD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9EB919A">
            <w:pPr>
              <w:widowControl/>
              <w:adjustRightInd w:val="0"/>
              <w:spacing w:line="240" w:lineRule="auto"/>
              <w:ind w:firstLine="0" w:firstLineChars="0"/>
              <w:contextualSpacing/>
              <w:jc w:val="center"/>
              <w:rPr>
                <w:rFonts w:cs="Times New Roman"/>
                <w:sz w:val="21"/>
                <w:szCs w:val="21"/>
              </w:rPr>
            </w:pPr>
            <w:r>
              <w:rPr>
                <w:rFonts w:hint="eastAsia"/>
                <w:color w:val="000000"/>
                <w:sz w:val="22"/>
              </w:rPr>
              <w:t>33</w:t>
            </w:r>
          </w:p>
        </w:tc>
        <w:tc>
          <w:tcPr>
            <w:tcW w:w="973" w:type="pct"/>
            <w:vMerge w:val="continue"/>
            <w:vAlign w:val="center"/>
          </w:tcPr>
          <w:p w14:paraId="2D3D698F">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280757A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老温家西沟</w:t>
            </w:r>
          </w:p>
        </w:tc>
        <w:tc>
          <w:tcPr>
            <w:tcW w:w="973" w:type="pct"/>
            <w:vAlign w:val="center"/>
          </w:tcPr>
          <w:p w14:paraId="3CBAB78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21F744E">
            <w:pPr>
              <w:widowControl/>
              <w:adjustRightInd w:val="0"/>
              <w:spacing w:line="240" w:lineRule="auto"/>
              <w:ind w:firstLine="0" w:firstLineChars="0"/>
              <w:contextualSpacing/>
              <w:jc w:val="center"/>
              <w:rPr>
                <w:rFonts w:cs="Times New Roman"/>
                <w:sz w:val="21"/>
                <w:szCs w:val="21"/>
              </w:rPr>
            </w:pPr>
          </w:p>
        </w:tc>
      </w:tr>
      <w:tr w14:paraId="6A52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C3C278E">
            <w:pPr>
              <w:widowControl/>
              <w:adjustRightInd w:val="0"/>
              <w:spacing w:line="240" w:lineRule="auto"/>
              <w:ind w:firstLine="0" w:firstLineChars="0"/>
              <w:contextualSpacing/>
              <w:jc w:val="center"/>
              <w:rPr>
                <w:rFonts w:cs="Times New Roman"/>
                <w:sz w:val="21"/>
                <w:szCs w:val="21"/>
              </w:rPr>
            </w:pPr>
            <w:r>
              <w:rPr>
                <w:rFonts w:hint="eastAsia"/>
                <w:color w:val="000000"/>
                <w:sz w:val="22"/>
              </w:rPr>
              <w:t>34</w:t>
            </w:r>
          </w:p>
        </w:tc>
        <w:tc>
          <w:tcPr>
            <w:tcW w:w="973" w:type="pct"/>
            <w:vMerge w:val="continue"/>
            <w:vAlign w:val="center"/>
          </w:tcPr>
          <w:p w14:paraId="5AC65078">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0509FC5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老范家沟</w:t>
            </w:r>
          </w:p>
        </w:tc>
        <w:tc>
          <w:tcPr>
            <w:tcW w:w="973" w:type="pct"/>
            <w:vAlign w:val="center"/>
          </w:tcPr>
          <w:p w14:paraId="6B233D6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1F83692">
            <w:pPr>
              <w:widowControl/>
              <w:adjustRightInd w:val="0"/>
              <w:spacing w:line="240" w:lineRule="auto"/>
              <w:ind w:firstLine="0" w:firstLineChars="0"/>
              <w:contextualSpacing/>
              <w:jc w:val="center"/>
              <w:rPr>
                <w:rFonts w:cs="Times New Roman"/>
                <w:sz w:val="21"/>
                <w:szCs w:val="21"/>
              </w:rPr>
            </w:pPr>
          </w:p>
        </w:tc>
      </w:tr>
      <w:tr w14:paraId="054D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25C9619">
            <w:pPr>
              <w:widowControl/>
              <w:adjustRightInd w:val="0"/>
              <w:spacing w:line="240" w:lineRule="auto"/>
              <w:ind w:firstLine="0" w:firstLineChars="0"/>
              <w:contextualSpacing/>
              <w:jc w:val="center"/>
              <w:rPr>
                <w:rFonts w:cs="Times New Roman"/>
                <w:sz w:val="21"/>
                <w:szCs w:val="21"/>
              </w:rPr>
            </w:pPr>
            <w:r>
              <w:rPr>
                <w:rFonts w:hint="eastAsia"/>
                <w:color w:val="000000"/>
                <w:sz w:val="22"/>
              </w:rPr>
              <w:t>35</w:t>
            </w:r>
          </w:p>
        </w:tc>
        <w:tc>
          <w:tcPr>
            <w:tcW w:w="973" w:type="pct"/>
            <w:vMerge w:val="continue"/>
            <w:vAlign w:val="center"/>
          </w:tcPr>
          <w:p w14:paraId="64F74407">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7CF99FA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尖尖沟</w:t>
            </w:r>
          </w:p>
        </w:tc>
        <w:tc>
          <w:tcPr>
            <w:tcW w:w="973" w:type="pct"/>
            <w:vAlign w:val="center"/>
          </w:tcPr>
          <w:p w14:paraId="0F6DAA3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D28122A">
            <w:pPr>
              <w:widowControl/>
              <w:adjustRightInd w:val="0"/>
              <w:spacing w:line="240" w:lineRule="auto"/>
              <w:ind w:firstLine="0" w:firstLineChars="0"/>
              <w:contextualSpacing/>
              <w:jc w:val="center"/>
              <w:rPr>
                <w:rFonts w:cs="Times New Roman"/>
                <w:sz w:val="21"/>
                <w:szCs w:val="21"/>
              </w:rPr>
            </w:pPr>
          </w:p>
        </w:tc>
      </w:tr>
      <w:tr w14:paraId="728E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273AAB0">
            <w:pPr>
              <w:widowControl/>
              <w:adjustRightInd w:val="0"/>
              <w:spacing w:line="240" w:lineRule="auto"/>
              <w:ind w:firstLine="0" w:firstLineChars="0"/>
              <w:contextualSpacing/>
              <w:jc w:val="center"/>
              <w:rPr>
                <w:rFonts w:cs="Times New Roman"/>
                <w:sz w:val="21"/>
                <w:szCs w:val="21"/>
              </w:rPr>
            </w:pPr>
            <w:r>
              <w:rPr>
                <w:rFonts w:hint="eastAsia"/>
                <w:color w:val="000000"/>
                <w:sz w:val="22"/>
              </w:rPr>
              <w:t>36</w:t>
            </w:r>
          </w:p>
        </w:tc>
        <w:tc>
          <w:tcPr>
            <w:tcW w:w="973" w:type="pct"/>
            <w:vMerge w:val="continue"/>
            <w:vAlign w:val="center"/>
          </w:tcPr>
          <w:p w14:paraId="7A67E4EC">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7EC61A6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小恩堡村</w:t>
            </w:r>
          </w:p>
        </w:tc>
        <w:tc>
          <w:tcPr>
            <w:tcW w:w="973" w:type="pct"/>
            <w:vAlign w:val="center"/>
          </w:tcPr>
          <w:p w14:paraId="10EFFE8C">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6204F096">
            <w:pPr>
              <w:widowControl/>
              <w:adjustRightInd w:val="0"/>
              <w:spacing w:line="240" w:lineRule="auto"/>
              <w:ind w:firstLine="0" w:firstLineChars="0"/>
              <w:contextualSpacing/>
              <w:jc w:val="center"/>
              <w:rPr>
                <w:rFonts w:cs="Times New Roman"/>
                <w:sz w:val="21"/>
                <w:szCs w:val="21"/>
              </w:rPr>
            </w:pPr>
          </w:p>
        </w:tc>
      </w:tr>
      <w:tr w14:paraId="3A4F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48533DD">
            <w:pPr>
              <w:widowControl/>
              <w:adjustRightInd w:val="0"/>
              <w:spacing w:line="240" w:lineRule="auto"/>
              <w:ind w:firstLine="0" w:firstLineChars="0"/>
              <w:contextualSpacing/>
              <w:jc w:val="center"/>
              <w:rPr>
                <w:rFonts w:cs="Times New Roman"/>
                <w:sz w:val="21"/>
                <w:szCs w:val="21"/>
              </w:rPr>
            </w:pPr>
            <w:r>
              <w:rPr>
                <w:rFonts w:hint="eastAsia"/>
                <w:color w:val="000000"/>
                <w:sz w:val="22"/>
              </w:rPr>
              <w:t>37</w:t>
            </w:r>
          </w:p>
        </w:tc>
        <w:tc>
          <w:tcPr>
            <w:tcW w:w="973" w:type="pct"/>
            <w:vMerge w:val="continue"/>
            <w:vAlign w:val="center"/>
          </w:tcPr>
          <w:p w14:paraId="65238737">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1F07325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孟家沟</w:t>
            </w:r>
          </w:p>
        </w:tc>
        <w:tc>
          <w:tcPr>
            <w:tcW w:w="973" w:type="pct"/>
            <w:vAlign w:val="center"/>
          </w:tcPr>
          <w:p w14:paraId="7222A93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6C18D20">
            <w:pPr>
              <w:widowControl/>
              <w:adjustRightInd w:val="0"/>
              <w:spacing w:line="240" w:lineRule="auto"/>
              <w:ind w:firstLine="0" w:firstLineChars="0"/>
              <w:contextualSpacing/>
              <w:jc w:val="center"/>
              <w:rPr>
                <w:rFonts w:cs="Times New Roman"/>
                <w:sz w:val="21"/>
                <w:szCs w:val="21"/>
              </w:rPr>
            </w:pPr>
          </w:p>
        </w:tc>
      </w:tr>
      <w:tr w14:paraId="6E8A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3785F87">
            <w:pPr>
              <w:widowControl/>
              <w:adjustRightInd w:val="0"/>
              <w:spacing w:line="240" w:lineRule="auto"/>
              <w:ind w:firstLine="0" w:firstLineChars="0"/>
              <w:contextualSpacing/>
              <w:jc w:val="center"/>
              <w:rPr>
                <w:rFonts w:cs="Times New Roman"/>
                <w:sz w:val="21"/>
                <w:szCs w:val="21"/>
              </w:rPr>
            </w:pPr>
            <w:r>
              <w:rPr>
                <w:rFonts w:hint="eastAsia"/>
                <w:color w:val="000000"/>
                <w:sz w:val="22"/>
              </w:rPr>
              <w:t>38</w:t>
            </w:r>
          </w:p>
        </w:tc>
        <w:tc>
          <w:tcPr>
            <w:tcW w:w="973" w:type="pct"/>
            <w:vMerge w:val="continue"/>
            <w:vAlign w:val="center"/>
          </w:tcPr>
          <w:p w14:paraId="5BF5830D">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74B16EB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孙家沟</w:t>
            </w:r>
          </w:p>
        </w:tc>
        <w:tc>
          <w:tcPr>
            <w:tcW w:w="973" w:type="pct"/>
            <w:vAlign w:val="center"/>
          </w:tcPr>
          <w:p w14:paraId="55F1A9B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308AAB9">
            <w:pPr>
              <w:widowControl/>
              <w:adjustRightInd w:val="0"/>
              <w:spacing w:line="240" w:lineRule="auto"/>
              <w:ind w:firstLine="0" w:firstLineChars="0"/>
              <w:contextualSpacing/>
              <w:jc w:val="center"/>
              <w:rPr>
                <w:rFonts w:cs="Times New Roman"/>
                <w:sz w:val="21"/>
                <w:szCs w:val="21"/>
              </w:rPr>
            </w:pPr>
          </w:p>
        </w:tc>
      </w:tr>
      <w:tr w14:paraId="2FA7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8194B22">
            <w:pPr>
              <w:widowControl/>
              <w:adjustRightInd w:val="0"/>
              <w:spacing w:line="240" w:lineRule="auto"/>
              <w:ind w:firstLine="0" w:firstLineChars="0"/>
              <w:contextualSpacing/>
              <w:jc w:val="center"/>
              <w:rPr>
                <w:rFonts w:cs="Times New Roman"/>
                <w:sz w:val="21"/>
                <w:szCs w:val="21"/>
              </w:rPr>
            </w:pPr>
            <w:r>
              <w:rPr>
                <w:rFonts w:hint="eastAsia"/>
                <w:color w:val="000000"/>
                <w:sz w:val="22"/>
              </w:rPr>
              <w:t>39</w:t>
            </w:r>
          </w:p>
        </w:tc>
        <w:tc>
          <w:tcPr>
            <w:tcW w:w="973" w:type="pct"/>
            <w:vMerge w:val="continue"/>
            <w:vAlign w:val="center"/>
          </w:tcPr>
          <w:p w14:paraId="0D6422A8">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55924F9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高力墓子</w:t>
            </w:r>
          </w:p>
        </w:tc>
        <w:tc>
          <w:tcPr>
            <w:tcW w:w="973" w:type="pct"/>
            <w:vAlign w:val="center"/>
          </w:tcPr>
          <w:p w14:paraId="69031A8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71EB239">
            <w:pPr>
              <w:widowControl/>
              <w:adjustRightInd w:val="0"/>
              <w:spacing w:line="240" w:lineRule="auto"/>
              <w:ind w:firstLine="0" w:firstLineChars="0"/>
              <w:contextualSpacing/>
              <w:jc w:val="center"/>
              <w:rPr>
                <w:rFonts w:cs="Times New Roman"/>
                <w:sz w:val="21"/>
                <w:szCs w:val="21"/>
              </w:rPr>
            </w:pPr>
          </w:p>
        </w:tc>
      </w:tr>
      <w:tr w14:paraId="7C9E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A0CC784">
            <w:pPr>
              <w:widowControl/>
              <w:adjustRightInd w:val="0"/>
              <w:spacing w:line="240" w:lineRule="auto"/>
              <w:ind w:firstLine="0" w:firstLineChars="0"/>
              <w:contextualSpacing/>
              <w:jc w:val="center"/>
              <w:rPr>
                <w:rFonts w:cs="Times New Roman"/>
                <w:sz w:val="21"/>
                <w:szCs w:val="21"/>
              </w:rPr>
            </w:pPr>
            <w:r>
              <w:rPr>
                <w:rFonts w:hint="eastAsia"/>
                <w:color w:val="000000"/>
                <w:sz w:val="22"/>
              </w:rPr>
              <w:t>40</w:t>
            </w:r>
          </w:p>
        </w:tc>
        <w:tc>
          <w:tcPr>
            <w:tcW w:w="973" w:type="pct"/>
            <w:vMerge w:val="continue"/>
            <w:vAlign w:val="center"/>
          </w:tcPr>
          <w:p w14:paraId="374F0811">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6DF54A5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柳林子村</w:t>
            </w:r>
          </w:p>
        </w:tc>
        <w:tc>
          <w:tcPr>
            <w:tcW w:w="973" w:type="pct"/>
            <w:vAlign w:val="center"/>
          </w:tcPr>
          <w:p w14:paraId="7631E77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3897D72">
            <w:pPr>
              <w:widowControl/>
              <w:adjustRightInd w:val="0"/>
              <w:spacing w:line="240" w:lineRule="auto"/>
              <w:ind w:firstLine="0" w:firstLineChars="0"/>
              <w:contextualSpacing/>
              <w:jc w:val="center"/>
              <w:rPr>
                <w:rFonts w:cs="Times New Roman"/>
                <w:sz w:val="21"/>
                <w:szCs w:val="21"/>
              </w:rPr>
            </w:pPr>
          </w:p>
        </w:tc>
      </w:tr>
      <w:tr w14:paraId="7E7D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3FCACB8">
            <w:pPr>
              <w:widowControl/>
              <w:adjustRightInd w:val="0"/>
              <w:spacing w:line="240" w:lineRule="auto"/>
              <w:ind w:firstLine="0" w:firstLineChars="0"/>
              <w:contextualSpacing/>
              <w:jc w:val="center"/>
              <w:rPr>
                <w:rFonts w:cs="Times New Roman"/>
                <w:sz w:val="21"/>
                <w:szCs w:val="21"/>
              </w:rPr>
            </w:pPr>
            <w:r>
              <w:rPr>
                <w:rFonts w:hint="eastAsia"/>
                <w:color w:val="000000"/>
                <w:sz w:val="22"/>
              </w:rPr>
              <w:t>41</w:t>
            </w:r>
          </w:p>
        </w:tc>
        <w:tc>
          <w:tcPr>
            <w:tcW w:w="973" w:type="pct"/>
            <w:vMerge w:val="continue"/>
            <w:vAlign w:val="center"/>
          </w:tcPr>
          <w:p w14:paraId="6F7AEA54">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597C906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小鹿圈子</w:t>
            </w:r>
          </w:p>
        </w:tc>
        <w:tc>
          <w:tcPr>
            <w:tcW w:w="973" w:type="pct"/>
            <w:vAlign w:val="center"/>
          </w:tcPr>
          <w:p w14:paraId="1ABC8AE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E28637A">
            <w:pPr>
              <w:widowControl/>
              <w:adjustRightInd w:val="0"/>
              <w:spacing w:line="240" w:lineRule="auto"/>
              <w:ind w:firstLine="0" w:firstLineChars="0"/>
              <w:contextualSpacing/>
              <w:jc w:val="center"/>
              <w:rPr>
                <w:rFonts w:cs="Times New Roman"/>
                <w:sz w:val="21"/>
                <w:szCs w:val="21"/>
              </w:rPr>
            </w:pPr>
          </w:p>
        </w:tc>
      </w:tr>
      <w:tr w14:paraId="603C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3C1A2F6">
            <w:pPr>
              <w:widowControl/>
              <w:adjustRightInd w:val="0"/>
              <w:spacing w:line="240" w:lineRule="auto"/>
              <w:ind w:firstLine="0" w:firstLineChars="0"/>
              <w:contextualSpacing/>
              <w:jc w:val="center"/>
              <w:rPr>
                <w:rFonts w:cs="Times New Roman"/>
                <w:sz w:val="21"/>
                <w:szCs w:val="21"/>
              </w:rPr>
            </w:pPr>
            <w:r>
              <w:rPr>
                <w:rFonts w:hint="eastAsia"/>
                <w:color w:val="000000"/>
                <w:sz w:val="22"/>
              </w:rPr>
              <w:t>42</w:t>
            </w:r>
          </w:p>
        </w:tc>
        <w:tc>
          <w:tcPr>
            <w:tcW w:w="973" w:type="pct"/>
            <w:vMerge w:val="continue"/>
            <w:vAlign w:val="center"/>
          </w:tcPr>
          <w:p w14:paraId="569574BB">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3EAC211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北沟</w:t>
            </w:r>
          </w:p>
        </w:tc>
        <w:tc>
          <w:tcPr>
            <w:tcW w:w="973" w:type="pct"/>
            <w:vAlign w:val="center"/>
          </w:tcPr>
          <w:p w14:paraId="6C7D820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5F26C96">
            <w:pPr>
              <w:widowControl/>
              <w:adjustRightInd w:val="0"/>
              <w:spacing w:line="240" w:lineRule="auto"/>
              <w:ind w:firstLine="0" w:firstLineChars="0"/>
              <w:contextualSpacing/>
              <w:jc w:val="center"/>
              <w:rPr>
                <w:rFonts w:cs="Times New Roman"/>
                <w:sz w:val="21"/>
                <w:szCs w:val="21"/>
              </w:rPr>
            </w:pPr>
          </w:p>
        </w:tc>
      </w:tr>
      <w:tr w14:paraId="4311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BB0FEA1">
            <w:pPr>
              <w:widowControl/>
              <w:adjustRightInd w:val="0"/>
              <w:spacing w:line="240" w:lineRule="auto"/>
              <w:ind w:firstLine="0" w:firstLineChars="0"/>
              <w:contextualSpacing/>
              <w:jc w:val="center"/>
              <w:rPr>
                <w:rFonts w:cs="Times New Roman"/>
                <w:sz w:val="21"/>
                <w:szCs w:val="21"/>
              </w:rPr>
            </w:pPr>
            <w:r>
              <w:rPr>
                <w:rFonts w:hint="eastAsia"/>
                <w:color w:val="000000"/>
                <w:sz w:val="22"/>
              </w:rPr>
              <w:t>43</w:t>
            </w:r>
          </w:p>
        </w:tc>
        <w:tc>
          <w:tcPr>
            <w:tcW w:w="973" w:type="pct"/>
            <w:vMerge w:val="continue"/>
            <w:vAlign w:val="center"/>
          </w:tcPr>
          <w:p w14:paraId="20250BBB">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483FC2F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小黑卧子</w:t>
            </w:r>
          </w:p>
        </w:tc>
        <w:tc>
          <w:tcPr>
            <w:tcW w:w="973" w:type="pct"/>
          </w:tcPr>
          <w:p w14:paraId="5127B395">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7B212EE5">
            <w:pPr>
              <w:widowControl/>
              <w:adjustRightInd w:val="0"/>
              <w:spacing w:line="240" w:lineRule="auto"/>
              <w:ind w:firstLine="0" w:firstLineChars="0"/>
              <w:contextualSpacing/>
              <w:jc w:val="center"/>
              <w:rPr>
                <w:rFonts w:cs="Times New Roman"/>
                <w:sz w:val="21"/>
                <w:szCs w:val="21"/>
              </w:rPr>
            </w:pPr>
          </w:p>
        </w:tc>
      </w:tr>
      <w:tr w14:paraId="5DB9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FC2BA85">
            <w:pPr>
              <w:widowControl/>
              <w:adjustRightInd w:val="0"/>
              <w:spacing w:line="240" w:lineRule="auto"/>
              <w:ind w:firstLine="0" w:firstLineChars="0"/>
              <w:contextualSpacing/>
              <w:jc w:val="center"/>
              <w:rPr>
                <w:rFonts w:cs="Times New Roman"/>
                <w:sz w:val="21"/>
                <w:szCs w:val="21"/>
              </w:rPr>
            </w:pPr>
            <w:r>
              <w:rPr>
                <w:rFonts w:hint="eastAsia"/>
                <w:color w:val="000000"/>
                <w:sz w:val="22"/>
              </w:rPr>
              <w:t>44</w:t>
            </w:r>
          </w:p>
        </w:tc>
        <w:tc>
          <w:tcPr>
            <w:tcW w:w="973" w:type="pct"/>
            <w:vMerge w:val="continue"/>
            <w:vAlign w:val="center"/>
          </w:tcPr>
          <w:p w14:paraId="6C7A83E3">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33229A2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黑卧子村</w:t>
            </w:r>
          </w:p>
        </w:tc>
        <w:tc>
          <w:tcPr>
            <w:tcW w:w="973" w:type="pct"/>
          </w:tcPr>
          <w:p w14:paraId="51814374">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67059F31">
            <w:pPr>
              <w:widowControl/>
              <w:adjustRightInd w:val="0"/>
              <w:spacing w:line="240" w:lineRule="auto"/>
              <w:ind w:firstLine="0" w:firstLineChars="0"/>
              <w:contextualSpacing/>
              <w:jc w:val="center"/>
              <w:rPr>
                <w:rFonts w:cs="Times New Roman"/>
                <w:sz w:val="21"/>
                <w:szCs w:val="21"/>
              </w:rPr>
            </w:pPr>
          </w:p>
        </w:tc>
      </w:tr>
      <w:tr w14:paraId="013B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DD2AF21">
            <w:pPr>
              <w:widowControl/>
              <w:adjustRightInd w:val="0"/>
              <w:spacing w:line="240" w:lineRule="auto"/>
              <w:ind w:firstLine="0" w:firstLineChars="0"/>
              <w:contextualSpacing/>
              <w:jc w:val="center"/>
              <w:rPr>
                <w:rFonts w:cs="Times New Roman"/>
                <w:sz w:val="21"/>
                <w:szCs w:val="21"/>
              </w:rPr>
            </w:pPr>
            <w:r>
              <w:rPr>
                <w:rFonts w:hint="eastAsia"/>
                <w:color w:val="000000"/>
                <w:sz w:val="22"/>
              </w:rPr>
              <w:t>45</w:t>
            </w:r>
          </w:p>
        </w:tc>
        <w:tc>
          <w:tcPr>
            <w:tcW w:w="973" w:type="pct"/>
            <w:vAlign w:val="center"/>
          </w:tcPr>
          <w:p w14:paraId="3695438E">
            <w:pPr>
              <w:widowControl/>
              <w:spacing w:line="240" w:lineRule="auto"/>
              <w:ind w:firstLine="0" w:firstLineChars="0"/>
              <w:jc w:val="center"/>
              <w:rPr>
                <w:rFonts w:cs="Times New Roman"/>
                <w:sz w:val="21"/>
                <w:szCs w:val="21"/>
              </w:rPr>
            </w:pPr>
            <w:r>
              <w:rPr>
                <w:rFonts w:ascii="Arial" w:hAnsi="Arial" w:cs="Arial"/>
                <w:color w:val="000000"/>
                <w:sz w:val="20"/>
                <w:szCs w:val="20"/>
              </w:rPr>
              <w:t>朱家堡村</w:t>
            </w:r>
          </w:p>
        </w:tc>
        <w:tc>
          <w:tcPr>
            <w:tcW w:w="973" w:type="pct"/>
          </w:tcPr>
          <w:p w14:paraId="174D6BC4">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朱家堡子村</w:t>
            </w:r>
          </w:p>
        </w:tc>
        <w:tc>
          <w:tcPr>
            <w:tcW w:w="973" w:type="pct"/>
            <w:vAlign w:val="center"/>
          </w:tcPr>
          <w:p w14:paraId="102BF52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0167ABF0">
            <w:pPr>
              <w:widowControl/>
              <w:adjustRightInd w:val="0"/>
              <w:spacing w:line="240" w:lineRule="auto"/>
              <w:ind w:firstLine="0" w:firstLineChars="0"/>
              <w:contextualSpacing/>
              <w:jc w:val="center"/>
              <w:rPr>
                <w:rFonts w:cs="Times New Roman"/>
                <w:sz w:val="21"/>
                <w:szCs w:val="21"/>
              </w:rPr>
            </w:pPr>
          </w:p>
        </w:tc>
      </w:tr>
      <w:tr w14:paraId="6C5A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DF94D53">
            <w:pPr>
              <w:widowControl/>
              <w:adjustRightInd w:val="0"/>
              <w:spacing w:line="240" w:lineRule="auto"/>
              <w:ind w:firstLine="0" w:firstLineChars="0"/>
              <w:contextualSpacing/>
              <w:jc w:val="center"/>
              <w:rPr>
                <w:rFonts w:cs="Times New Roman"/>
                <w:sz w:val="21"/>
                <w:szCs w:val="21"/>
              </w:rPr>
            </w:pPr>
            <w:r>
              <w:rPr>
                <w:rFonts w:hint="eastAsia"/>
                <w:color w:val="000000"/>
                <w:sz w:val="22"/>
              </w:rPr>
              <w:t>46</w:t>
            </w:r>
          </w:p>
        </w:tc>
        <w:tc>
          <w:tcPr>
            <w:tcW w:w="973" w:type="pct"/>
            <w:vMerge w:val="restart"/>
            <w:vAlign w:val="center"/>
          </w:tcPr>
          <w:p w14:paraId="10185E3B">
            <w:pPr>
              <w:widowControl/>
              <w:spacing w:line="240" w:lineRule="auto"/>
              <w:ind w:firstLine="0" w:firstLineChars="0"/>
              <w:jc w:val="center"/>
              <w:rPr>
                <w:rFonts w:cs="Times New Roman"/>
                <w:sz w:val="21"/>
                <w:szCs w:val="21"/>
              </w:rPr>
            </w:pPr>
            <w:r>
              <w:rPr>
                <w:rFonts w:ascii="Arial" w:hAnsi="Arial" w:cs="Arial"/>
                <w:color w:val="000000"/>
                <w:sz w:val="20"/>
                <w:szCs w:val="20"/>
              </w:rPr>
              <w:t>拉古甲村</w:t>
            </w:r>
          </w:p>
        </w:tc>
        <w:tc>
          <w:tcPr>
            <w:tcW w:w="973" w:type="pct"/>
            <w:vAlign w:val="bottom"/>
          </w:tcPr>
          <w:p w14:paraId="11E3A5F9">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土门岭</w:t>
            </w:r>
          </w:p>
        </w:tc>
        <w:tc>
          <w:tcPr>
            <w:tcW w:w="973" w:type="pct"/>
            <w:vAlign w:val="center"/>
          </w:tcPr>
          <w:p w14:paraId="6562FF32">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21E514C8">
            <w:pPr>
              <w:widowControl/>
              <w:adjustRightInd w:val="0"/>
              <w:spacing w:line="240" w:lineRule="auto"/>
              <w:ind w:firstLine="0" w:firstLineChars="0"/>
              <w:contextualSpacing/>
              <w:jc w:val="center"/>
              <w:rPr>
                <w:rFonts w:cs="Times New Roman"/>
                <w:sz w:val="21"/>
                <w:szCs w:val="21"/>
              </w:rPr>
            </w:pPr>
          </w:p>
        </w:tc>
      </w:tr>
      <w:tr w14:paraId="5BAB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94AA80B">
            <w:pPr>
              <w:widowControl/>
              <w:adjustRightInd w:val="0"/>
              <w:spacing w:line="240" w:lineRule="auto"/>
              <w:ind w:firstLine="0" w:firstLineChars="0"/>
              <w:contextualSpacing/>
              <w:jc w:val="center"/>
              <w:rPr>
                <w:rFonts w:cs="Times New Roman"/>
                <w:sz w:val="21"/>
                <w:szCs w:val="21"/>
              </w:rPr>
            </w:pPr>
            <w:r>
              <w:rPr>
                <w:rFonts w:hint="eastAsia"/>
                <w:color w:val="000000"/>
                <w:sz w:val="22"/>
              </w:rPr>
              <w:t>47</w:t>
            </w:r>
          </w:p>
        </w:tc>
        <w:tc>
          <w:tcPr>
            <w:tcW w:w="973" w:type="pct"/>
            <w:vMerge w:val="continue"/>
            <w:vAlign w:val="center"/>
          </w:tcPr>
          <w:p w14:paraId="401DB07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E06E865">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拉古甲村</w:t>
            </w:r>
          </w:p>
        </w:tc>
        <w:tc>
          <w:tcPr>
            <w:tcW w:w="973" w:type="pct"/>
            <w:vAlign w:val="center"/>
          </w:tcPr>
          <w:p w14:paraId="7A0E428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101A4A93">
            <w:pPr>
              <w:widowControl/>
              <w:adjustRightInd w:val="0"/>
              <w:spacing w:line="240" w:lineRule="auto"/>
              <w:ind w:firstLine="0" w:firstLineChars="0"/>
              <w:contextualSpacing/>
              <w:jc w:val="center"/>
              <w:rPr>
                <w:rFonts w:cs="Times New Roman"/>
                <w:sz w:val="21"/>
                <w:szCs w:val="21"/>
              </w:rPr>
            </w:pPr>
          </w:p>
        </w:tc>
      </w:tr>
      <w:tr w14:paraId="6F67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73" w:type="pct"/>
            <w:vAlign w:val="center"/>
          </w:tcPr>
          <w:p w14:paraId="610D3CA7">
            <w:pPr>
              <w:widowControl/>
              <w:adjustRightInd w:val="0"/>
              <w:spacing w:line="240" w:lineRule="auto"/>
              <w:ind w:firstLine="0" w:firstLineChars="0"/>
              <w:contextualSpacing/>
              <w:jc w:val="center"/>
              <w:rPr>
                <w:rFonts w:cs="Times New Roman"/>
                <w:sz w:val="21"/>
                <w:szCs w:val="21"/>
              </w:rPr>
            </w:pPr>
            <w:r>
              <w:rPr>
                <w:rFonts w:hint="eastAsia"/>
                <w:color w:val="000000"/>
                <w:sz w:val="22"/>
              </w:rPr>
              <w:t>48</w:t>
            </w:r>
          </w:p>
        </w:tc>
        <w:tc>
          <w:tcPr>
            <w:tcW w:w="973" w:type="pct"/>
            <w:vMerge w:val="continue"/>
            <w:vAlign w:val="center"/>
          </w:tcPr>
          <w:p w14:paraId="53DCACA8">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53D888A4">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西沟</w:t>
            </w:r>
          </w:p>
        </w:tc>
        <w:tc>
          <w:tcPr>
            <w:tcW w:w="973" w:type="pct"/>
            <w:vAlign w:val="center"/>
          </w:tcPr>
          <w:p w14:paraId="34FECCBA">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973" w:type="pct"/>
            <w:vAlign w:val="center"/>
          </w:tcPr>
          <w:p w14:paraId="2E00CA8C">
            <w:pPr>
              <w:widowControl/>
              <w:adjustRightInd w:val="0"/>
              <w:spacing w:line="240" w:lineRule="auto"/>
              <w:ind w:firstLine="0" w:firstLineChars="0"/>
              <w:contextualSpacing/>
              <w:jc w:val="center"/>
              <w:rPr>
                <w:rFonts w:cs="Times New Roman"/>
                <w:sz w:val="21"/>
                <w:szCs w:val="21"/>
              </w:rPr>
            </w:pPr>
          </w:p>
        </w:tc>
      </w:tr>
      <w:tr w14:paraId="637F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627FA72B">
            <w:pPr>
              <w:widowControl/>
              <w:adjustRightInd w:val="0"/>
              <w:spacing w:line="240" w:lineRule="auto"/>
              <w:ind w:firstLine="0" w:firstLineChars="0"/>
              <w:contextualSpacing/>
              <w:jc w:val="center"/>
              <w:rPr>
                <w:rFonts w:cs="Times New Roman"/>
                <w:sz w:val="21"/>
                <w:szCs w:val="21"/>
              </w:rPr>
            </w:pPr>
            <w:r>
              <w:rPr>
                <w:rFonts w:hint="eastAsia"/>
                <w:color w:val="000000"/>
                <w:sz w:val="22"/>
              </w:rPr>
              <w:t>49</w:t>
            </w:r>
          </w:p>
        </w:tc>
        <w:tc>
          <w:tcPr>
            <w:tcW w:w="973" w:type="pct"/>
            <w:vMerge w:val="continue"/>
            <w:vAlign w:val="center"/>
          </w:tcPr>
          <w:p w14:paraId="563D0140">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7D65CBEA">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耿家沟</w:t>
            </w:r>
          </w:p>
        </w:tc>
        <w:tc>
          <w:tcPr>
            <w:tcW w:w="973" w:type="pct"/>
            <w:vAlign w:val="center"/>
          </w:tcPr>
          <w:p w14:paraId="454CBDC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C19592E">
            <w:pPr>
              <w:widowControl/>
              <w:adjustRightInd w:val="0"/>
              <w:spacing w:line="240" w:lineRule="auto"/>
              <w:ind w:firstLine="0" w:firstLineChars="0"/>
              <w:contextualSpacing/>
              <w:jc w:val="center"/>
              <w:rPr>
                <w:rFonts w:cs="Times New Roman"/>
                <w:sz w:val="21"/>
                <w:szCs w:val="21"/>
              </w:rPr>
            </w:pPr>
          </w:p>
        </w:tc>
      </w:tr>
      <w:tr w14:paraId="0FDE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ACAD4AB">
            <w:pPr>
              <w:widowControl/>
              <w:adjustRightInd w:val="0"/>
              <w:spacing w:line="240" w:lineRule="auto"/>
              <w:ind w:firstLine="0" w:firstLineChars="0"/>
              <w:contextualSpacing/>
              <w:jc w:val="center"/>
              <w:rPr>
                <w:rFonts w:cs="Times New Roman"/>
                <w:sz w:val="21"/>
                <w:szCs w:val="21"/>
              </w:rPr>
            </w:pPr>
            <w:r>
              <w:rPr>
                <w:rFonts w:hint="eastAsia"/>
                <w:color w:val="000000"/>
                <w:sz w:val="22"/>
              </w:rPr>
              <w:t>50</w:t>
            </w:r>
          </w:p>
        </w:tc>
        <w:tc>
          <w:tcPr>
            <w:tcW w:w="973" w:type="pct"/>
            <w:vMerge w:val="continue"/>
            <w:vAlign w:val="center"/>
          </w:tcPr>
          <w:p w14:paraId="724D6036">
            <w:pPr>
              <w:widowControl/>
              <w:adjustRightInd w:val="0"/>
              <w:spacing w:line="240" w:lineRule="auto"/>
              <w:ind w:firstLine="0" w:firstLineChars="0"/>
              <w:contextualSpacing/>
              <w:jc w:val="center"/>
              <w:rPr>
                <w:rFonts w:cs="Times New Roman"/>
                <w:sz w:val="21"/>
                <w:szCs w:val="21"/>
              </w:rPr>
            </w:pPr>
          </w:p>
        </w:tc>
        <w:tc>
          <w:tcPr>
            <w:tcW w:w="973" w:type="pct"/>
            <w:vAlign w:val="bottom"/>
          </w:tcPr>
          <w:p w14:paraId="1D70EB6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东沟</w:t>
            </w:r>
          </w:p>
        </w:tc>
        <w:tc>
          <w:tcPr>
            <w:tcW w:w="973" w:type="pct"/>
            <w:vAlign w:val="center"/>
          </w:tcPr>
          <w:p w14:paraId="1002DA82">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588560C7">
            <w:pPr>
              <w:widowControl/>
              <w:adjustRightInd w:val="0"/>
              <w:spacing w:line="240" w:lineRule="auto"/>
              <w:ind w:firstLine="0" w:firstLineChars="0"/>
              <w:contextualSpacing/>
              <w:jc w:val="center"/>
              <w:rPr>
                <w:rFonts w:cs="Times New Roman"/>
                <w:sz w:val="21"/>
                <w:szCs w:val="21"/>
              </w:rPr>
            </w:pPr>
          </w:p>
        </w:tc>
      </w:tr>
      <w:tr w14:paraId="3EC8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784C817">
            <w:pPr>
              <w:widowControl/>
              <w:adjustRightInd w:val="0"/>
              <w:spacing w:line="240" w:lineRule="auto"/>
              <w:ind w:firstLine="0" w:firstLineChars="0"/>
              <w:contextualSpacing/>
              <w:jc w:val="center"/>
              <w:rPr>
                <w:rFonts w:cs="Times New Roman"/>
                <w:sz w:val="21"/>
                <w:szCs w:val="21"/>
              </w:rPr>
            </w:pPr>
            <w:r>
              <w:rPr>
                <w:rFonts w:hint="eastAsia"/>
                <w:color w:val="000000"/>
                <w:sz w:val="22"/>
              </w:rPr>
              <w:t>51</w:t>
            </w:r>
          </w:p>
        </w:tc>
        <w:tc>
          <w:tcPr>
            <w:tcW w:w="973" w:type="pct"/>
            <w:vMerge w:val="continue"/>
            <w:vAlign w:val="center"/>
          </w:tcPr>
          <w:p w14:paraId="6BFD0F51">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641850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岳家沟</w:t>
            </w:r>
          </w:p>
        </w:tc>
        <w:tc>
          <w:tcPr>
            <w:tcW w:w="973" w:type="pct"/>
            <w:vAlign w:val="center"/>
          </w:tcPr>
          <w:p w14:paraId="7A98EE8C">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580479FA">
            <w:pPr>
              <w:widowControl/>
              <w:adjustRightInd w:val="0"/>
              <w:spacing w:line="240" w:lineRule="auto"/>
              <w:ind w:firstLine="0" w:firstLineChars="0"/>
              <w:contextualSpacing/>
              <w:jc w:val="center"/>
              <w:rPr>
                <w:rFonts w:cs="Times New Roman"/>
                <w:sz w:val="21"/>
                <w:szCs w:val="21"/>
              </w:rPr>
            </w:pPr>
          </w:p>
        </w:tc>
      </w:tr>
      <w:tr w14:paraId="63A4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67B1B2B">
            <w:pPr>
              <w:widowControl/>
              <w:adjustRightInd w:val="0"/>
              <w:spacing w:line="240" w:lineRule="auto"/>
              <w:ind w:firstLine="0" w:firstLineChars="0"/>
              <w:contextualSpacing/>
              <w:jc w:val="center"/>
              <w:rPr>
                <w:rFonts w:cs="Times New Roman"/>
                <w:sz w:val="21"/>
                <w:szCs w:val="21"/>
              </w:rPr>
            </w:pPr>
            <w:r>
              <w:rPr>
                <w:rFonts w:hint="eastAsia"/>
                <w:color w:val="000000"/>
                <w:sz w:val="22"/>
              </w:rPr>
              <w:t>52</w:t>
            </w:r>
          </w:p>
        </w:tc>
        <w:tc>
          <w:tcPr>
            <w:tcW w:w="973" w:type="pct"/>
            <w:vMerge w:val="continue"/>
            <w:vAlign w:val="center"/>
          </w:tcPr>
          <w:p w14:paraId="5BCE0CD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ACECA1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于洋子沟</w:t>
            </w:r>
          </w:p>
        </w:tc>
        <w:tc>
          <w:tcPr>
            <w:tcW w:w="973" w:type="pct"/>
            <w:vAlign w:val="center"/>
          </w:tcPr>
          <w:p w14:paraId="3A2B296C">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973" w:type="pct"/>
            <w:vAlign w:val="center"/>
          </w:tcPr>
          <w:p w14:paraId="24E0EB01">
            <w:pPr>
              <w:widowControl/>
              <w:adjustRightInd w:val="0"/>
              <w:spacing w:line="240" w:lineRule="auto"/>
              <w:ind w:firstLine="0" w:firstLineChars="0"/>
              <w:contextualSpacing/>
              <w:jc w:val="center"/>
              <w:rPr>
                <w:rFonts w:cs="Times New Roman"/>
                <w:sz w:val="21"/>
                <w:szCs w:val="21"/>
              </w:rPr>
            </w:pPr>
          </w:p>
        </w:tc>
      </w:tr>
      <w:tr w14:paraId="58D8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30198B47">
            <w:pPr>
              <w:widowControl/>
              <w:adjustRightInd w:val="0"/>
              <w:spacing w:line="240" w:lineRule="auto"/>
              <w:ind w:firstLine="0" w:firstLineChars="0"/>
              <w:contextualSpacing/>
              <w:jc w:val="center"/>
              <w:rPr>
                <w:rFonts w:cs="Times New Roman"/>
                <w:sz w:val="21"/>
                <w:szCs w:val="21"/>
              </w:rPr>
            </w:pPr>
            <w:r>
              <w:rPr>
                <w:rFonts w:hint="eastAsia"/>
                <w:color w:val="000000"/>
                <w:sz w:val="22"/>
              </w:rPr>
              <w:t>53</w:t>
            </w:r>
          </w:p>
        </w:tc>
        <w:tc>
          <w:tcPr>
            <w:tcW w:w="973" w:type="pct"/>
            <w:vMerge w:val="continue"/>
            <w:vAlign w:val="center"/>
          </w:tcPr>
          <w:p w14:paraId="5F00E1A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FDDD31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北沟</w:t>
            </w:r>
          </w:p>
        </w:tc>
        <w:tc>
          <w:tcPr>
            <w:tcW w:w="973" w:type="pct"/>
            <w:vAlign w:val="center"/>
          </w:tcPr>
          <w:p w14:paraId="3BF7996E">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973" w:type="pct"/>
            <w:vAlign w:val="center"/>
          </w:tcPr>
          <w:p w14:paraId="24C5F1C5">
            <w:pPr>
              <w:widowControl/>
              <w:adjustRightInd w:val="0"/>
              <w:spacing w:line="240" w:lineRule="auto"/>
              <w:ind w:firstLine="0" w:firstLineChars="0"/>
              <w:contextualSpacing/>
              <w:jc w:val="center"/>
              <w:rPr>
                <w:rFonts w:cs="Times New Roman"/>
                <w:sz w:val="21"/>
                <w:szCs w:val="21"/>
              </w:rPr>
            </w:pPr>
          </w:p>
        </w:tc>
      </w:tr>
      <w:tr w14:paraId="7545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31AB8AA">
            <w:pPr>
              <w:widowControl/>
              <w:adjustRightInd w:val="0"/>
              <w:spacing w:line="240" w:lineRule="auto"/>
              <w:ind w:firstLine="0" w:firstLineChars="0"/>
              <w:contextualSpacing/>
              <w:jc w:val="center"/>
              <w:rPr>
                <w:rFonts w:cs="Times New Roman"/>
                <w:sz w:val="21"/>
                <w:szCs w:val="21"/>
              </w:rPr>
            </w:pPr>
            <w:r>
              <w:rPr>
                <w:rFonts w:hint="eastAsia"/>
                <w:color w:val="000000"/>
                <w:sz w:val="22"/>
              </w:rPr>
              <w:t>54</w:t>
            </w:r>
          </w:p>
        </w:tc>
        <w:tc>
          <w:tcPr>
            <w:tcW w:w="973" w:type="pct"/>
            <w:vMerge w:val="restart"/>
            <w:vAlign w:val="center"/>
          </w:tcPr>
          <w:p w14:paraId="032B1C77">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光复村</w:t>
            </w:r>
          </w:p>
        </w:tc>
        <w:tc>
          <w:tcPr>
            <w:tcW w:w="973" w:type="pct"/>
            <w:vAlign w:val="bottom"/>
          </w:tcPr>
          <w:p w14:paraId="27EFB86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龙头</w:t>
            </w:r>
          </w:p>
        </w:tc>
        <w:tc>
          <w:tcPr>
            <w:tcW w:w="973" w:type="pct"/>
            <w:vAlign w:val="center"/>
          </w:tcPr>
          <w:p w14:paraId="32812F18">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973" w:type="pct"/>
            <w:vAlign w:val="center"/>
          </w:tcPr>
          <w:p w14:paraId="20F86BA3">
            <w:pPr>
              <w:widowControl/>
              <w:adjustRightInd w:val="0"/>
              <w:spacing w:line="240" w:lineRule="auto"/>
              <w:ind w:firstLine="0" w:firstLineChars="0"/>
              <w:contextualSpacing/>
              <w:jc w:val="center"/>
              <w:rPr>
                <w:rFonts w:cs="Times New Roman"/>
                <w:sz w:val="21"/>
                <w:szCs w:val="21"/>
              </w:rPr>
            </w:pPr>
          </w:p>
        </w:tc>
      </w:tr>
      <w:tr w14:paraId="5E0B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915DEFC">
            <w:pPr>
              <w:widowControl/>
              <w:adjustRightInd w:val="0"/>
              <w:spacing w:line="240" w:lineRule="auto"/>
              <w:ind w:firstLine="0" w:firstLineChars="0"/>
              <w:contextualSpacing/>
              <w:jc w:val="center"/>
              <w:rPr>
                <w:rFonts w:cs="Times New Roman"/>
                <w:sz w:val="21"/>
                <w:szCs w:val="21"/>
              </w:rPr>
            </w:pPr>
            <w:r>
              <w:rPr>
                <w:rFonts w:hint="eastAsia"/>
                <w:color w:val="000000"/>
                <w:sz w:val="22"/>
              </w:rPr>
              <w:t>55</w:t>
            </w:r>
          </w:p>
        </w:tc>
        <w:tc>
          <w:tcPr>
            <w:tcW w:w="973" w:type="pct"/>
            <w:vMerge w:val="continue"/>
            <w:vAlign w:val="center"/>
          </w:tcPr>
          <w:p w14:paraId="7718294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4F5ABA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光复村</w:t>
            </w:r>
          </w:p>
        </w:tc>
        <w:tc>
          <w:tcPr>
            <w:tcW w:w="973" w:type="pct"/>
            <w:vAlign w:val="center"/>
          </w:tcPr>
          <w:p w14:paraId="0FC69ACF">
            <w:pPr>
              <w:widowControl/>
              <w:adjustRightInd w:val="0"/>
              <w:spacing w:line="240" w:lineRule="auto"/>
              <w:ind w:firstLine="0" w:firstLineChars="0"/>
              <w:contextualSpacing/>
              <w:jc w:val="center"/>
              <w:rPr>
                <w:rFonts w:cs="Times New Roman"/>
                <w:sz w:val="21"/>
                <w:szCs w:val="21"/>
              </w:rPr>
            </w:pPr>
            <w:r>
              <w:rPr>
                <w:rFonts w:cs="Times New Roman"/>
                <w:sz w:val="21"/>
                <w:szCs w:val="21"/>
              </w:rPr>
              <w:t>等量型</w:t>
            </w:r>
          </w:p>
        </w:tc>
        <w:tc>
          <w:tcPr>
            <w:tcW w:w="973" w:type="pct"/>
            <w:vAlign w:val="center"/>
          </w:tcPr>
          <w:p w14:paraId="512D9DC9">
            <w:pPr>
              <w:widowControl/>
              <w:adjustRightInd w:val="0"/>
              <w:spacing w:line="240" w:lineRule="auto"/>
              <w:ind w:firstLine="0" w:firstLineChars="0"/>
              <w:contextualSpacing/>
              <w:jc w:val="center"/>
              <w:rPr>
                <w:rFonts w:cs="Times New Roman"/>
                <w:sz w:val="21"/>
                <w:szCs w:val="21"/>
              </w:rPr>
            </w:pPr>
          </w:p>
        </w:tc>
      </w:tr>
      <w:tr w14:paraId="3752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A752282">
            <w:pPr>
              <w:widowControl/>
              <w:adjustRightInd w:val="0"/>
              <w:spacing w:line="240" w:lineRule="auto"/>
              <w:ind w:firstLine="0" w:firstLineChars="0"/>
              <w:contextualSpacing/>
              <w:jc w:val="center"/>
              <w:rPr>
                <w:rFonts w:cs="Times New Roman"/>
                <w:sz w:val="21"/>
                <w:szCs w:val="21"/>
              </w:rPr>
            </w:pPr>
            <w:r>
              <w:rPr>
                <w:rFonts w:hint="eastAsia"/>
                <w:color w:val="000000"/>
                <w:sz w:val="22"/>
              </w:rPr>
              <w:t>56</w:t>
            </w:r>
          </w:p>
        </w:tc>
        <w:tc>
          <w:tcPr>
            <w:tcW w:w="973" w:type="pct"/>
            <w:vMerge w:val="restart"/>
            <w:vAlign w:val="center"/>
          </w:tcPr>
          <w:p w14:paraId="2AB9D61B">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二户来村</w:t>
            </w:r>
          </w:p>
        </w:tc>
        <w:tc>
          <w:tcPr>
            <w:tcW w:w="973" w:type="pct"/>
            <w:vAlign w:val="bottom"/>
          </w:tcPr>
          <w:p w14:paraId="36578D7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石柱子</w:t>
            </w:r>
          </w:p>
        </w:tc>
        <w:tc>
          <w:tcPr>
            <w:tcW w:w="973" w:type="pct"/>
            <w:vAlign w:val="center"/>
          </w:tcPr>
          <w:p w14:paraId="57DB0F4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09E52894">
            <w:pPr>
              <w:widowControl/>
              <w:adjustRightInd w:val="0"/>
              <w:spacing w:line="240" w:lineRule="auto"/>
              <w:ind w:firstLine="0" w:firstLineChars="0"/>
              <w:contextualSpacing/>
              <w:jc w:val="center"/>
              <w:rPr>
                <w:rFonts w:cs="Times New Roman"/>
                <w:sz w:val="21"/>
                <w:szCs w:val="21"/>
              </w:rPr>
            </w:pPr>
          </w:p>
        </w:tc>
      </w:tr>
      <w:tr w14:paraId="0B2A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6E7FADFF">
            <w:pPr>
              <w:widowControl/>
              <w:adjustRightInd w:val="0"/>
              <w:spacing w:line="240" w:lineRule="auto"/>
              <w:ind w:firstLine="0" w:firstLineChars="0"/>
              <w:contextualSpacing/>
              <w:jc w:val="center"/>
              <w:rPr>
                <w:rFonts w:cs="Times New Roman"/>
                <w:sz w:val="21"/>
                <w:szCs w:val="21"/>
              </w:rPr>
            </w:pPr>
            <w:r>
              <w:rPr>
                <w:rFonts w:hint="eastAsia"/>
                <w:color w:val="000000"/>
                <w:sz w:val="22"/>
              </w:rPr>
              <w:t>57</w:t>
            </w:r>
          </w:p>
        </w:tc>
        <w:tc>
          <w:tcPr>
            <w:tcW w:w="973" w:type="pct"/>
            <w:vMerge w:val="continue"/>
            <w:vAlign w:val="center"/>
          </w:tcPr>
          <w:p w14:paraId="33430161">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C98B5E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东</w:t>
            </w:r>
            <w:r>
              <w:rPr>
                <w:rFonts w:hint="eastAsia" w:ascii="微软雅黑" w:hAnsi="微软雅黑" w:eastAsia="微软雅黑" w:cs="微软雅黑"/>
                <w:color w:val="000000"/>
                <w:sz w:val="20"/>
                <w:szCs w:val="20"/>
              </w:rPr>
              <w:t>蹚</w:t>
            </w:r>
            <w:r>
              <w:rPr>
                <w:rFonts w:hint="eastAsia" w:ascii="仿宋_GB2312" w:hAnsi="仿宋_GB2312" w:cs="仿宋_GB2312"/>
                <w:color w:val="000000"/>
                <w:sz w:val="20"/>
                <w:szCs w:val="20"/>
              </w:rPr>
              <w:t>子沟</w:t>
            </w:r>
          </w:p>
        </w:tc>
        <w:tc>
          <w:tcPr>
            <w:tcW w:w="973" w:type="pct"/>
            <w:vAlign w:val="center"/>
          </w:tcPr>
          <w:p w14:paraId="7986A28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3D15DF73">
            <w:pPr>
              <w:widowControl/>
              <w:adjustRightInd w:val="0"/>
              <w:spacing w:line="240" w:lineRule="auto"/>
              <w:ind w:firstLine="0" w:firstLineChars="0"/>
              <w:contextualSpacing/>
              <w:jc w:val="center"/>
              <w:rPr>
                <w:rFonts w:cs="Times New Roman"/>
                <w:sz w:val="21"/>
                <w:szCs w:val="21"/>
              </w:rPr>
            </w:pPr>
          </w:p>
        </w:tc>
      </w:tr>
      <w:tr w14:paraId="357B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561A0B6">
            <w:pPr>
              <w:widowControl/>
              <w:adjustRightInd w:val="0"/>
              <w:spacing w:line="240" w:lineRule="auto"/>
              <w:ind w:firstLine="0" w:firstLineChars="0"/>
              <w:contextualSpacing/>
              <w:jc w:val="center"/>
              <w:rPr>
                <w:rFonts w:cs="Times New Roman"/>
                <w:sz w:val="21"/>
                <w:szCs w:val="21"/>
              </w:rPr>
            </w:pPr>
            <w:r>
              <w:rPr>
                <w:rFonts w:hint="eastAsia"/>
                <w:color w:val="000000"/>
                <w:sz w:val="22"/>
              </w:rPr>
              <w:t>58</w:t>
            </w:r>
          </w:p>
        </w:tc>
        <w:tc>
          <w:tcPr>
            <w:tcW w:w="973" w:type="pct"/>
            <w:vMerge w:val="continue"/>
            <w:vAlign w:val="center"/>
          </w:tcPr>
          <w:p w14:paraId="6D5F562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D78456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中心村</w:t>
            </w:r>
          </w:p>
        </w:tc>
        <w:tc>
          <w:tcPr>
            <w:tcW w:w="973" w:type="pct"/>
            <w:vAlign w:val="center"/>
          </w:tcPr>
          <w:p w14:paraId="0A0B1507">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66325F38">
            <w:pPr>
              <w:widowControl/>
              <w:adjustRightInd w:val="0"/>
              <w:spacing w:line="240" w:lineRule="auto"/>
              <w:ind w:firstLine="0" w:firstLineChars="0"/>
              <w:contextualSpacing/>
              <w:jc w:val="center"/>
              <w:rPr>
                <w:rFonts w:cs="Times New Roman"/>
                <w:sz w:val="21"/>
                <w:szCs w:val="21"/>
              </w:rPr>
            </w:pPr>
          </w:p>
        </w:tc>
      </w:tr>
      <w:tr w14:paraId="0E0A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A247D6C">
            <w:pPr>
              <w:widowControl/>
              <w:adjustRightInd w:val="0"/>
              <w:spacing w:line="240" w:lineRule="auto"/>
              <w:ind w:firstLine="0" w:firstLineChars="0"/>
              <w:contextualSpacing/>
              <w:jc w:val="center"/>
              <w:rPr>
                <w:rFonts w:cs="Times New Roman"/>
                <w:sz w:val="21"/>
                <w:szCs w:val="21"/>
              </w:rPr>
            </w:pPr>
            <w:r>
              <w:rPr>
                <w:rFonts w:hint="eastAsia"/>
                <w:color w:val="000000"/>
                <w:sz w:val="22"/>
              </w:rPr>
              <w:t>59</w:t>
            </w:r>
          </w:p>
        </w:tc>
        <w:tc>
          <w:tcPr>
            <w:tcW w:w="973" w:type="pct"/>
            <w:vMerge w:val="continue"/>
            <w:vAlign w:val="center"/>
          </w:tcPr>
          <w:p w14:paraId="14EC83D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08A55E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二户来村</w:t>
            </w:r>
          </w:p>
        </w:tc>
        <w:tc>
          <w:tcPr>
            <w:tcW w:w="973" w:type="pct"/>
            <w:vAlign w:val="center"/>
          </w:tcPr>
          <w:p w14:paraId="660F2CE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6F398E06">
            <w:pPr>
              <w:widowControl/>
              <w:adjustRightInd w:val="0"/>
              <w:spacing w:line="240" w:lineRule="auto"/>
              <w:ind w:firstLine="0" w:firstLineChars="0"/>
              <w:contextualSpacing/>
              <w:jc w:val="center"/>
              <w:rPr>
                <w:rFonts w:cs="Times New Roman"/>
                <w:sz w:val="21"/>
                <w:szCs w:val="21"/>
              </w:rPr>
            </w:pPr>
          </w:p>
        </w:tc>
      </w:tr>
      <w:tr w14:paraId="7CB7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29D756C">
            <w:pPr>
              <w:widowControl/>
              <w:adjustRightInd w:val="0"/>
              <w:spacing w:line="240" w:lineRule="auto"/>
              <w:ind w:firstLine="0" w:firstLineChars="0"/>
              <w:contextualSpacing/>
              <w:jc w:val="center"/>
              <w:rPr>
                <w:rFonts w:cs="Times New Roman"/>
                <w:sz w:val="21"/>
                <w:szCs w:val="21"/>
              </w:rPr>
            </w:pPr>
            <w:r>
              <w:rPr>
                <w:rFonts w:hint="eastAsia"/>
                <w:color w:val="000000"/>
                <w:sz w:val="22"/>
              </w:rPr>
              <w:t>60</w:t>
            </w:r>
          </w:p>
        </w:tc>
        <w:tc>
          <w:tcPr>
            <w:tcW w:w="973" w:type="pct"/>
            <w:vMerge w:val="continue"/>
            <w:vAlign w:val="center"/>
          </w:tcPr>
          <w:p w14:paraId="2DAE80B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A8C7CBE">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釜山村</w:t>
            </w:r>
          </w:p>
        </w:tc>
        <w:tc>
          <w:tcPr>
            <w:tcW w:w="973" w:type="pct"/>
            <w:vAlign w:val="center"/>
          </w:tcPr>
          <w:p w14:paraId="1A9A487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2BDA9CA1">
            <w:pPr>
              <w:widowControl/>
              <w:adjustRightInd w:val="0"/>
              <w:spacing w:line="240" w:lineRule="auto"/>
              <w:ind w:firstLine="0" w:firstLineChars="0"/>
              <w:contextualSpacing/>
              <w:jc w:val="center"/>
              <w:rPr>
                <w:rFonts w:cs="Times New Roman"/>
                <w:sz w:val="21"/>
                <w:szCs w:val="21"/>
              </w:rPr>
            </w:pPr>
          </w:p>
        </w:tc>
      </w:tr>
      <w:tr w14:paraId="3920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753114B">
            <w:pPr>
              <w:widowControl/>
              <w:adjustRightInd w:val="0"/>
              <w:spacing w:line="240" w:lineRule="auto"/>
              <w:ind w:firstLine="0" w:firstLineChars="0"/>
              <w:contextualSpacing/>
              <w:jc w:val="center"/>
              <w:rPr>
                <w:rFonts w:cs="Times New Roman"/>
                <w:sz w:val="21"/>
                <w:szCs w:val="21"/>
              </w:rPr>
            </w:pPr>
            <w:r>
              <w:rPr>
                <w:rFonts w:hint="eastAsia"/>
                <w:color w:val="000000"/>
                <w:sz w:val="22"/>
              </w:rPr>
              <w:t>61</w:t>
            </w:r>
          </w:p>
        </w:tc>
        <w:tc>
          <w:tcPr>
            <w:tcW w:w="973" w:type="pct"/>
            <w:vMerge w:val="continue"/>
            <w:vAlign w:val="center"/>
          </w:tcPr>
          <w:p w14:paraId="38CB20D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3B8CE72">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杨木沟</w:t>
            </w:r>
          </w:p>
        </w:tc>
        <w:tc>
          <w:tcPr>
            <w:tcW w:w="973" w:type="pct"/>
            <w:vAlign w:val="center"/>
          </w:tcPr>
          <w:p w14:paraId="43D4D78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575D80BA">
            <w:pPr>
              <w:widowControl/>
              <w:adjustRightInd w:val="0"/>
              <w:spacing w:line="240" w:lineRule="auto"/>
              <w:ind w:firstLine="0" w:firstLineChars="0"/>
              <w:contextualSpacing/>
              <w:jc w:val="center"/>
              <w:rPr>
                <w:rFonts w:cs="Times New Roman"/>
                <w:sz w:val="21"/>
                <w:szCs w:val="21"/>
              </w:rPr>
            </w:pPr>
          </w:p>
        </w:tc>
      </w:tr>
      <w:tr w14:paraId="4870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8BF4F59">
            <w:pPr>
              <w:widowControl/>
              <w:adjustRightInd w:val="0"/>
              <w:spacing w:line="240" w:lineRule="auto"/>
              <w:ind w:firstLine="0" w:firstLineChars="0"/>
              <w:contextualSpacing/>
              <w:jc w:val="center"/>
              <w:rPr>
                <w:rFonts w:cs="Times New Roman"/>
                <w:sz w:val="21"/>
                <w:szCs w:val="21"/>
              </w:rPr>
            </w:pPr>
            <w:r>
              <w:rPr>
                <w:rFonts w:hint="eastAsia"/>
                <w:color w:val="000000"/>
                <w:sz w:val="22"/>
              </w:rPr>
              <w:t>62</w:t>
            </w:r>
          </w:p>
        </w:tc>
        <w:tc>
          <w:tcPr>
            <w:tcW w:w="973" w:type="pct"/>
            <w:vMerge w:val="continue"/>
            <w:vAlign w:val="center"/>
          </w:tcPr>
          <w:p w14:paraId="4E53C5C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ED8135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拐磨子沟</w:t>
            </w:r>
          </w:p>
        </w:tc>
        <w:tc>
          <w:tcPr>
            <w:tcW w:w="973" w:type="pct"/>
            <w:vAlign w:val="center"/>
          </w:tcPr>
          <w:p w14:paraId="426B4148">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27B43C0D">
            <w:pPr>
              <w:widowControl/>
              <w:adjustRightInd w:val="0"/>
              <w:spacing w:line="240" w:lineRule="auto"/>
              <w:ind w:firstLine="0" w:firstLineChars="0"/>
              <w:contextualSpacing/>
              <w:jc w:val="center"/>
              <w:rPr>
                <w:rFonts w:cs="Times New Roman"/>
                <w:sz w:val="21"/>
                <w:szCs w:val="21"/>
              </w:rPr>
            </w:pPr>
          </w:p>
        </w:tc>
      </w:tr>
      <w:tr w14:paraId="383D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1718B4F">
            <w:pPr>
              <w:widowControl/>
              <w:adjustRightInd w:val="0"/>
              <w:spacing w:line="240" w:lineRule="auto"/>
              <w:ind w:firstLine="0" w:firstLineChars="0"/>
              <w:contextualSpacing/>
              <w:jc w:val="center"/>
              <w:rPr>
                <w:rFonts w:cs="Times New Roman"/>
                <w:sz w:val="21"/>
                <w:szCs w:val="21"/>
              </w:rPr>
            </w:pPr>
            <w:r>
              <w:rPr>
                <w:rFonts w:hint="eastAsia"/>
                <w:color w:val="000000"/>
                <w:sz w:val="22"/>
              </w:rPr>
              <w:t>63</w:t>
            </w:r>
          </w:p>
        </w:tc>
        <w:tc>
          <w:tcPr>
            <w:tcW w:w="973" w:type="pct"/>
            <w:vMerge w:val="continue"/>
            <w:vAlign w:val="center"/>
          </w:tcPr>
          <w:p w14:paraId="1BFA0B33">
            <w:pPr>
              <w:widowControl/>
              <w:adjustRightInd w:val="0"/>
              <w:spacing w:line="240" w:lineRule="auto"/>
              <w:ind w:firstLine="0" w:firstLineChars="0"/>
              <w:contextualSpacing/>
              <w:jc w:val="center"/>
              <w:rPr>
                <w:rFonts w:cs="Times New Roman"/>
                <w:sz w:val="21"/>
                <w:szCs w:val="21"/>
              </w:rPr>
            </w:pPr>
          </w:p>
        </w:tc>
        <w:tc>
          <w:tcPr>
            <w:tcW w:w="973" w:type="pct"/>
          </w:tcPr>
          <w:p w14:paraId="628C7187">
            <w:pPr>
              <w:widowControl/>
              <w:spacing w:line="240" w:lineRule="auto"/>
              <w:ind w:firstLine="0" w:firstLineChars="0"/>
              <w:jc w:val="center"/>
              <w:rPr>
                <w:rFonts w:ascii="Arial" w:hAnsi="Arial" w:cs="Arial"/>
                <w:color w:val="000000"/>
                <w:sz w:val="20"/>
                <w:szCs w:val="20"/>
              </w:rPr>
            </w:pPr>
            <w:r>
              <w:rPr>
                <w:rFonts w:ascii="Arial" w:hAnsi="Arial" w:cs="Arial"/>
                <w:color w:val="000000"/>
                <w:sz w:val="20"/>
                <w:szCs w:val="20"/>
              </w:rPr>
              <w:t>砬门里</w:t>
            </w:r>
          </w:p>
        </w:tc>
        <w:tc>
          <w:tcPr>
            <w:tcW w:w="973" w:type="pct"/>
            <w:vAlign w:val="center"/>
          </w:tcPr>
          <w:p w14:paraId="40EC254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973" w:type="pct"/>
            <w:vAlign w:val="center"/>
          </w:tcPr>
          <w:p w14:paraId="3E5E06F4">
            <w:pPr>
              <w:widowControl/>
              <w:adjustRightInd w:val="0"/>
              <w:spacing w:line="240" w:lineRule="auto"/>
              <w:ind w:firstLine="0" w:firstLineChars="0"/>
              <w:contextualSpacing/>
              <w:jc w:val="center"/>
              <w:rPr>
                <w:rFonts w:cs="Times New Roman"/>
                <w:sz w:val="21"/>
                <w:szCs w:val="21"/>
              </w:rPr>
            </w:pPr>
          </w:p>
        </w:tc>
      </w:tr>
      <w:tr w14:paraId="6D09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EF28E24">
            <w:pPr>
              <w:widowControl/>
              <w:adjustRightInd w:val="0"/>
              <w:spacing w:line="240" w:lineRule="auto"/>
              <w:ind w:firstLine="0" w:firstLineChars="0"/>
              <w:contextualSpacing/>
              <w:jc w:val="center"/>
              <w:rPr>
                <w:rFonts w:cs="Times New Roman"/>
                <w:sz w:val="21"/>
                <w:szCs w:val="21"/>
              </w:rPr>
            </w:pPr>
            <w:r>
              <w:rPr>
                <w:rFonts w:hint="eastAsia"/>
                <w:color w:val="000000"/>
                <w:sz w:val="22"/>
              </w:rPr>
              <w:t>64</w:t>
            </w:r>
          </w:p>
        </w:tc>
        <w:tc>
          <w:tcPr>
            <w:tcW w:w="973" w:type="pct"/>
            <w:vMerge w:val="restart"/>
            <w:vAlign w:val="center"/>
          </w:tcPr>
          <w:p w14:paraId="2A43C1D0">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碑登村</w:t>
            </w:r>
          </w:p>
        </w:tc>
        <w:tc>
          <w:tcPr>
            <w:tcW w:w="973" w:type="pct"/>
            <w:vAlign w:val="bottom"/>
          </w:tcPr>
          <w:p w14:paraId="046F0E06">
            <w:pPr>
              <w:widowControl/>
              <w:adjustRightInd w:val="0"/>
              <w:spacing w:line="240" w:lineRule="auto"/>
              <w:ind w:firstLine="0" w:firstLineChars="0"/>
              <w:contextualSpacing/>
              <w:jc w:val="center"/>
              <w:rPr>
                <w:rFonts w:ascii="Arial" w:hAnsi="Arial" w:cs="Arial"/>
                <w:color w:val="000000"/>
                <w:sz w:val="20"/>
                <w:szCs w:val="20"/>
              </w:rPr>
            </w:pPr>
            <w:r>
              <w:rPr>
                <w:rFonts w:hint="eastAsia" w:cs="Arial"/>
                <w:color w:val="000000"/>
                <w:sz w:val="20"/>
                <w:szCs w:val="20"/>
              </w:rPr>
              <w:t>宁家街</w:t>
            </w:r>
          </w:p>
        </w:tc>
        <w:tc>
          <w:tcPr>
            <w:tcW w:w="973" w:type="pct"/>
            <w:vAlign w:val="center"/>
          </w:tcPr>
          <w:p w14:paraId="3379BE44">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973" w:type="pct"/>
            <w:vAlign w:val="center"/>
          </w:tcPr>
          <w:p w14:paraId="6085187C">
            <w:pPr>
              <w:widowControl/>
              <w:adjustRightInd w:val="0"/>
              <w:spacing w:line="240" w:lineRule="auto"/>
              <w:ind w:firstLine="0" w:firstLineChars="0"/>
              <w:contextualSpacing/>
              <w:jc w:val="center"/>
              <w:rPr>
                <w:rFonts w:cs="Times New Roman"/>
                <w:sz w:val="21"/>
                <w:szCs w:val="21"/>
              </w:rPr>
            </w:pPr>
          </w:p>
        </w:tc>
      </w:tr>
      <w:tr w14:paraId="7893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362016D">
            <w:pPr>
              <w:widowControl/>
              <w:adjustRightInd w:val="0"/>
              <w:spacing w:line="240" w:lineRule="auto"/>
              <w:ind w:firstLine="0" w:firstLineChars="0"/>
              <w:contextualSpacing/>
              <w:jc w:val="center"/>
              <w:rPr>
                <w:rFonts w:cs="Times New Roman"/>
                <w:sz w:val="21"/>
                <w:szCs w:val="21"/>
              </w:rPr>
            </w:pPr>
            <w:r>
              <w:rPr>
                <w:rFonts w:hint="eastAsia"/>
                <w:color w:val="000000"/>
                <w:sz w:val="22"/>
              </w:rPr>
              <w:t>65</w:t>
            </w:r>
          </w:p>
        </w:tc>
        <w:tc>
          <w:tcPr>
            <w:tcW w:w="973" w:type="pct"/>
            <w:vMerge w:val="continue"/>
            <w:vAlign w:val="center"/>
          </w:tcPr>
          <w:p w14:paraId="31DD5BE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41ACA2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双头山</w:t>
            </w:r>
          </w:p>
        </w:tc>
        <w:tc>
          <w:tcPr>
            <w:tcW w:w="973" w:type="pct"/>
            <w:vAlign w:val="center"/>
          </w:tcPr>
          <w:p w14:paraId="62CA77A9">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973" w:type="pct"/>
            <w:vAlign w:val="center"/>
          </w:tcPr>
          <w:p w14:paraId="0C5D7666">
            <w:pPr>
              <w:widowControl/>
              <w:adjustRightInd w:val="0"/>
              <w:spacing w:line="240" w:lineRule="auto"/>
              <w:ind w:firstLine="0" w:firstLineChars="0"/>
              <w:contextualSpacing/>
              <w:jc w:val="center"/>
              <w:rPr>
                <w:rFonts w:cs="Times New Roman"/>
                <w:sz w:val="21"/>
                <w:szCs w:val="21"/>
              </w:rPr>
            </w:pPr>
          </w:p>
        </w:tc>
      </w:tr>
      <w:tr w14:paraId="629B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BDFDD51">
            <w:pPr>
              <w:widowControl/>
              <w:adjustRightInd w:val="0"/>
              <w:spacing w:line="240" w:lineRule="auto"/>
              <w:ind w:firstLine="0" w:firstLineChars="0"/>
              <w:contextualSpacing/>
              <w:jc w:val="center"/>
              <w:rPr>
                <w:rFonts w:cs="Times New Roman"/>
                <w:sz w:val="21"/>
                <w:szCs w:val="21"/>
              </w:rPr>
            </w:pPr>
            <w:r>
              <w:rPr>
                <w:rFonts w:hint="eastAsia"/>
                <w:color w:val="000000"/>
                <w:sz w:val="22"/>
              </w:rPr>
              <w:t>66</w:t>
            </w:r>
          </w:p>
        </w:tc>
        <w:tc>
          <w:tcPr>
            <w:tcW w:w="973" w:type="pct"/>
            <w:vMerge w:val="continue"/>
            <w:vAlign w:val="center"/>
          </w:tcPr>
          <w:p w14:paraId="363A5B3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7CB4C2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碑登村</w:t>
            </w:r>
          </w:p>
        </w:tc>
        <w:tc>
          <w:tcPr>
            <w:tcW w:w="973" w:type="pct"/>
            <w:vAlign w:val="center"/>
          </w:tcPr>
          <w:p w14:paraId="4D35BDA6">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973" w:type="pct"/>
            <w:vAlign w:val="center"/>
          </w:tcPr>
          <w:p w14:paraId="21B973C8">
            <w:pPr>
              <w:widowControl/>
              <w:adjustRightInd w:val="0"/>
              <w:spacing w:line="240" w:lineRule="auto"/>
              <w:ind w:firstLine="0" w:firstLineChars="0"/>
              <w:contextualSpacing/>
              <w:jc w:val="center"/>
              <w:rPr>
                <w:rFonts w:cs="Times New Roman"/>
                <w:sz w:val="21"/>
                <w:szCs w:val="21"/>
              </w:rPr>
            </w:pPr>
          </w:p>
        </w:tc>
      </w:tr>
      <w:tr w14:paraId="0A0F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14089A8">
            <w:pPr>
              <w:widowControl/>
              <w:adjustRightInd w:val="0"/>
              <w:spacing w:line="240" w:lineRule="auto"/>
              <w:ind w:firstLine="0" w:firstLineChars="0"/>
              <w:contextualSpacing/>
              <w:jc w:val="center"/>
              <w:rPr>
                <w:rFonts w:cs="Times New Roman"/>
                <w:sz w:val="21"/>
                <w:szCs w:val="21"/>
              </w:rPr>
            </w:pPr>
            <w:r>
              <w:rPr>
                <w:rFonts w:hint="eastAsia"/>
                <w:color w:val="000000"/>
                <w:sz w:val="22"/>
              </w:rPr>
              <w:t>67</w:t>
            </w:r>
          </w:p>
        </w:tc>
        <w:tc>
          <w:tcPr>
            <w:tcW w:w="973" w:type="pct"/>
            <w:vMerge w:val="continue"/>
            <w:vAlign w:val="center"/>
          </w:tcPr>
          <w:p w14:paraId="23EDA05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E2CE6D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东碑登</w:t>
            </w:r>
          </w:p>
        </w:tc>
        <w:tc>
          <w:tcPr>
            <w:tcW w:w="973" w:type="pct"/>
          </w:tcPr>
          <w:p w14:paraId="4B9FFAF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36CA555">
            <w:pPr>
              <w:widowControl/>
              <w:adjustRightInd w:val="0"/>
              <w:spacing w:line="240" w:lineRule="auto"/>
              <w:ind w:firstLine="0" w:firstLineChars="0"/>
              <w:contextualSpacing/>
              <w:jc w:val="center"/>
              <w:rPr>
                <w:rFonts w:cs="Times New Roman"/>
                <w:sz w:val="21"/>
                <w:szCs w:val="21"/>
              </w:rPr>
            </w:pPr>
          </w:p>
        </w:tc>
      </w:tr>
      <w:tr w14:paraId="50CB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41AE9E3">
            <w:pPr>
              <w:widowControl/>
              <w:adjustRightInd w:val="0"/>
              <w:spacing w:line="240" w:lineRule="auto"/>
              <w:ind w:firstLine="0" w:firstLineChars="0"/>
              <w:contextualSpacing/>
              <w:jc w:val="center"/>
              <w:rPr>
                <w:rFonts w:cs="Times New Roman"/>
                <w:sz w:val="21"/>
                <w:szCs w:val="21"/>
              </w:rPr>
            </w:pPr>
            <w:r>
              <w:rPr>
                <w:rFonts w:hint="eastAsia"/>
                <w:color w:val="000000"/>
                <w:sz w:val="22"/>
              </w:rPr>
              <w:t>68</w:t>
            </w:r>
          </w:p>
        </w:tc>
        <w:tc>
          <w:tcPr>
            <w:tcW w:w="973" w:type="pct"/>
            <w:vMerge w:val="continue"/>
            <w:vAlign w:val="center"/>
          </w:tcPr>
          <w:p w14:paraId="678B528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6E9CD3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红登贝</w:t>
            </w:r>
          </w:p>
        </w:tc>
        <w:tc>
          <w:tcPr>
            <w:tcW w:w="973" w:type="pct"/>
          </w:tcPr>
          <w:p w14:paraId="3271F44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8B5C81F">
            <w:pPr>
              <w:widowControl/>
              <w:adjustRightInd w:val="0"/>
              <w:spacing w:line="240" w:lineRule="auto"/>
              <w:ind w:firstLine="0" w:firstLineChars="0"/>
              <w:contextualSpacing/>
              <w:jc w:val="center"/>
              <w:rPr>
                <w:rFonts w:cs="Times New Roman"/>
                <w:sz w:val="21"/>
                <w:szCs w:val="21"/>
              </w:rPr>
            </w:pPr>
          </w:p>
        </w:tc>
      </w:tr>
      <w:tr w14:paraId="4B3B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EE9A820">
            <w:pPr>
              <w:widowControl/>
              <w:adjustRightInd w:val="0"/>
              <w:spacing w:line="240" w:lineRule="auto"/>
              <w:ind w:firstLine="0" w:firstLineChars="0"/>
              <w:contextualSpacing/>
              <w:jc w:val="center"/>
              <w:rPr>
                <w:rFonts w:cs="Times New Roman"/>
                <w:sz w:val="21"/>
                <w:szCs w:val="21"/>
              </w:rPr>
            </w:pPr>
            <w:r>
              <w:rPr>
                <w:rFonts w:hint="eastAsia"/>
                <w:color w:val="000000"/>
                <w:sz w:val="22"/>
              </w:rPr>
              <w:t>69</w:t>
            </w:r>
          </w:p>
        </w:tc>
        <w:tc>
          <w:tcPr>
            <w:tcW w:w="973" w:type="pct"/>
            <w:vMerge w:val="continue"/>
            <w:vAlign w:val="center"/>
          </w:tcPr>
          <w:p w14:paraId="04E39651">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A0A47D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闹枝沟</w:t>
            </w:r>
          </w:p>
        </w:tc>
        <w:tc>
          <w:tcPr>
            <w:tcW w:w="973" w:type="pct"/>
          </w:tcPr>
          <w:p w14:paraId="6773CA1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01CC845">
            <w:pPr>
              <w:widowControl/>
              <w:adjustRightInd w:val="0"/>
              <w:spacing w:line="240" w:lineRule="auto"/>
              <w:ind w:firstLine="0" w:firstLineChars="0"/>
              <w:contextualSpacing/>
              <w:jc w:val="center"/>
              <w:rPr>
                <w:rFonts w:cs="Times New Roman"/>
                <w:sz w:val="21"/>
                <w:szCs w:val="21"/>
              </w:rPr>
            </w:pPr>
          </w:p>
        </w:tc>
      </w:tr>
      <w:tr w14:paraId="3A5A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1FA2E15">
            <w:pPr>
              <w:widowControl/>
              <w:adjustRightInd w:val="0"/>
              <w:spacing w:line="240" w:lineRule="auto"/>
              <w:ind w:firstLine="0" w:firstLineChars="0"/>
              <w:contextualSpacing/>
              <w:jc w:val="center"/>
              <w:rPr>
                <w:rFonts w:cs="Times New Roman"/>
                <w:sz w:val="21"/>
                <w:szCs w:val="21"/>
              </w:rPr>
            </w:pPr>
            <w:r>
              <w:rPr>
                <w:rFonts w:hint="eastAsia"/>
                <w:color w:val="000000"/>
                <w:sz w:val="22"/>
              </w:rPr>
              <w:t>70</w:t>
            </w:r>
          </w:p>
        </w:tc>
        <w:tc>
          <w:tcPr>
            <w:tcW w:w="973" w:type="pct"/>
            <w:vMerge w:val="continue"/>
            <w:vAlign w:val="center"/>
          </w:tcPr>
          <w:p w14:paraId="05C6B92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3B967E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趟子沟</w:t>
            </w:r>
          </w:p>
        </w:tc>
        <w:tc>
          <w:tcPr>
            <w:tcW w:w="973" w:type="pct"/>
          </w:tcPr>
          <w:p w14:paraId="6AD4E4B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457E0E2">
            <w:pPr>
              <w:widowControl/>
              <w:adjustRightInd w:val="0"/>
              <w:spacing w:line="240" w:lineRule="auto"/>
              <w:ind w:firstLine="0" w:firstLineChars="0"/>
              <w:contextualSpacing/>
              <w:jc w:val="center"/>
              <w:rPr>
                <w:rFonts w:cs="Times New Roman"/>
                <w:sz w:val="21"/>
                <w:szCs w:val="21"/>
              </w:rPr>
            </w:pPr>
          </w:p>
        </w:tc>
      </w:tr>
      <w:tr w14:paraId="5C90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EBBC362">
            <w:pPr>
              <w:widowControl/>
              <w:adjustRightInd w:val="0"/>
              <w:spacing w:line="240" w:lineRule="auto"/>
              <w:ind w:firstLine="0" w:firstLineChars="0"/>
              <w:contextualSpacing/>
              <w:jc w:val="center"/>
              <w:rPr>
                <w:rFonts w:cs="Times New Roman"/>
                <w:sz w:val="21"/>
                <w:szCs w:val="21"/>
              </w:rPr>
            </w:pPr>
            <w:r>
              <w:rPr>
                <w:rFonts w:hint="eastAsia"/>
                <w:color w:val="000000"/>
                <w:sz w:val="22"/>
              </w:rPr>
              <w:t>71</w:t>
            </w:r>
          </w:p>
        </w:tc>
        <w:tc>
          <w:tcPr>
            <w:tcW w:w="973" w:type="pct"/>
            <w:vMerge w:val="continue"/>
            <w:vAlign w:val="center"/>
          </w:tcPr>
          <w:p w14:paraId="1443726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A8981A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岗子沟</w:t>
            </w:r>
          </w:p>
        </w:tc>
        <w:tc>
          <w:tcPr>
            <w:tcW w:w="973" w:type="pct"/>
          </w:tcPr>
          <w:p w14:paraId="0840F85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F84968C">
            <w:pPr>
              <w:widowControl/>
              <w:adjustRightInd w:val="0"/>
              <w:spacing w:line="240" w:lineRule="auto"/>
              <w:ind w:firstLine="0" w:firstLineChars="0"/>
              <w:contextualSpacing/>
              <w:jc w:val="center"/>
              <w:rPr>
                <w:rFonts w:cs="Times New Roman"/>
                <w:sz w:val="21"/>
                <w:szCs w:val="21"/>
              </w:rPr>
            </w:pPr>
          </w:p>
        </w:tc>
      </w:tr>
      <w:tr w14:paraId="246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6825D0E">
            <w:pPr>
              <w:widowControl/>
              <w:adjustRightInd w:val="0"/>
              <w:spacing w:line="240" w:lineRule="auto"/>
              <w:ind w:firstLine="0" w:firstLineChars="0"/>
              <w:contextualSpacing/>
              <w:jc w:val="center"/>
              <w:rPr>
                <w:rFonts w:cs="Times New Roman"/>
                <w:sz w:val="21"/>
                <w:szCs w:val="21"/>
              </w:rPr>
            </w:pPr>
            <w:r>
              <w:rPr>
                <w:rFonts w:hint="eastAsia"/>
                <w:color w:val="000000"/>
                <w:sz w:val="22"/>
              </w:rPr>
              <w:t>72</w:t>
            </w:r>
          </w:p>
        </w:tc>
        <w:tc>
          <w:tcPr>
            <w:tcW w:w="973" w:type="pct"/>
            <w:vMerge w:val="continue"/>
            <w:vAlign w:val="center"/>
          </w:tcPr>
          <w:p w14:paraId="7238B88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50CEA9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对砬子</w:t>
            </w:r>
          </w:p>
        </w:tc>
        <w:tc>
          <w:tcPr>
            <w:tcW w:w="973" w:type="pct"/>
          </w:tcPr>
          <w:p w14:paraId="5B9075F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009D5F9">
            <w:pPr>
              <w:widowControl/>
              <w:adjustRightInd w:val="0"/>
              <w:spacing w:line="240" w:lineRule="auto"/>
              <w:ind w:firstLine="0" w:firstLineChars="0"/>
              <w:contextualSpacing/>
              <w:jc w:val="center"/>
              <w:rPr>
                <w:rFonts w:cs="Times New Roman"/>
                <w:sz w:val="21"/>
                <w:szCs w:val="21"/>
              </w:rPr>
            </w:pPr>
          </w:p>
        </w:tc>
      </w:tr>
      <w:tr w14:paraId="47A4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74C88D3">
            <w:pPr>
              <w:widowControl/>
              <w:adjustRightInd w:val="0"/>
              <w:spacing w:line="240" w:lineRule="auto"/>
              <w:ind w:firstLine="0" w:firstLineChars="0"/>
              <w:contextualSpacing/>
              <w:jc w:val="center"/>
              <w:rPr>
                <w:rFonts w:cs="Times New Roman"/>
                <w:sz w:val="21"/>
                <w:szCs w:val="21"/>
              </w:rPr>
            </w:pPr>
            <w:r>
              <w:rPr>
                <w:rFonts w:hint="eastAsia"/>
                <w:color w:val="000000"/>
                <w:sz w:val="22"/>
              </w:rPr>
              <w:t>73</w:t>
            </w:r>
          </w:p>
        </w:tc>
        <w:tc>
          <w:tcPr>
            <w:tcW w:w="973" w:type="pct"/>
            <w:vMerge w:val="continue"/>
            <w:vAlign w:val="center"/>
          </w:tcPr>
          <w:p w14:paraId="4E2A02C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CBA984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庙沟门</w:t>
            </w:r>
          </w:p>
        </w:tc>
        <w:tc>
          <w:tcPr>
            <w:tcW w:w="973" w:type="pct"/>
          </w:tcPr>
          <w:p w14:paraId="5D71279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908F4D1">
            <w:pPr>
              <w:widowControl/>
              <w:adjustRightInd w:val="0"/>
              <w:spacing w:line="240" w:lineRule="auto"/>
              <w:ind w:firstLine="0" w:firstLineChars="0"/>
              <w:contextualSpacing/>
              <w:jc w:val="center"/>
              <w:rPr>
                <w:rFonts w:cs="Times New Roman"/>
                <w:sz w:val="21"/>
                <w:szCs w:val="21"/>
              </w:rPr>
            </w:pPr>
          </w:p>
        </w:tc>
      </w:tr>
      <w:tr w14:paraId="4E71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C35DC2D">
            <w:pPr>
              <w:widowControl/>
              <w:adjustRightInd w:val="0"/>
              <w:spacing w:line="240" w:lineRule="auto"/>
              <w:ind w:firstLine="0" w:firstLineChars="0"/>
              <w:contextualSpacing/>
              <w:jc w:val="center"/>
              <w:rPr>
                <w:rFonts w:cs="Times New Roman"/>
                <w:sz w:val="21"/>
                <w:szCs w:val="21"/>
              </w:rPr>
            </w:pPr>
            <w:r>
              <w:rPr>
                <w:rFonts w:hint="eastAsia"/>
                <w:color w:val="000000"/>
                <w:sz w:val="22"/>
              </w:rPr>
              <w:t>74</w:t>
            </w:r>
          </w:p>
        </w:tc>
        <w:tc>
          <w:tcPr>
            <w:tcW w:w="973" w:type="pct"/>
            <w:vMerge w:val="continue"/>
            <w:vAlign w:val="center"/>
          </w:tcPr>
          <w:p w14:paraId="594C5E32">
            <w:pPr>
              <w:widowControl/>
              <w:adjustRightInd w:val="0"/>
              <w:spacing w:line="240" w:lineRule="auto"/>
              <w:ind w:firstLine="0" w:firstLineChars="0"/>
              <w:contextualSpacing/>
              <w:jc w:val="center"/>
              <w:rPr>
                <w:rFonts w:cs="Times New Roman"/>
                <w:color w:val="000000"/>
                <w:sz w:val="21"/>
                <w:szCs w:val="21"/>
              </w:rPr>
            </w:pPr>
          </w:p>
        </w:tc>
        <w:tc>
          <w:tcPr>
            <w:tcW w:w="973" w:type="pct"/>
          </w:tcPr>
          <w:p w14:paraId="61C698A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庙沟</w:t>
            </w:r>
          </w:p>
        </w:tc>
        <w:tc>
          <w:tcPr>
            <w:tcW w:w="973" w:type="pct"/>
          </w:tcPr>
          <w:p w14:paraId="1ADC0FF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75E79BD">
            <w:pPr>
              <w:widowControl/>
              <w:adjustRightInd w:val="0"/>
              <w:spacing w:line="240" w:lineRule="auto"/>
              <w:ind w:firstLine="0" w:firstLineChars="0"/>
              <w:contextualSpacing/>
              <w:jc w:val="center"/>
              <w:rPr>
                <w:rFonts w:cs="Times New Roman"/>
                <w:sz w:val="21"/>
                <w:szCs w:val="21"/>
              </w:rPr>
            </w:pPr>
          </w:p>
        </w:tc>
      </w:tr>
      <w:tr w14:paraId="484D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05F13E0">
            <w:pPr>
              <w:widowControl/>
              <w:adjustRightInd w:val="0"/>
              <w:spacing w:line="240" w:lineRule="auto"/>
              <w:ind w:firstLine="0" w:firstLineChars="0"/>
              <w:contextualSpacing/>
              <w:jc w:val="center"/>
              <w:rPr>
                <w:rFonts w:cs="Times New Roman"/>
                <w:sz w:val="21"/>
                <w:szCs w:val="21"/>
              </w:rPr>
            </w:pPr>
            <w:r>
              <w:rPr>
                <w:rFonts w:hint="eastAsia"/>
                <w:color w:val="000000"/>
                <w:sz w:val="22"/>
              </w:rPr>
              <w:t>75</w:t>
            </w:r>
          </w:p>
        </w:tc>
        <w:tc>
          <w:tcPr>
            <w:tcW w:w="973" w:type="pct"/>
            <w:vMerge w:val="restart"/>
            <w:vAlign w:val="center"/>
          </w:tcPr>
          <w:p w14:paraId="3A8A62A0">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文治沟村</w:t>
            </w:r>
          </w:p>
        </w:tc>
        <w:tc>
          <w:tcPr>
            <w:tcW w:w="973" w:type="pct"/>
            <w:vAlign w:val="bottom"/>
          </w:tcPr>
          <w:p w14:paraId="69F65D5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对砬子沟</w:t>
            </w:r>
          </w:p>
        </w:tc>
        <w:tc>
          <w:tcPr>
            <w:tcW w:w="973" w:type="pct"/>
          </w:tcPr>
          <w:p w14:paraId="2B674B1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4B96B15">
            <w:pPr>
              <w:widowControl/>
              <w:adjustRightInd w:val="0"/>
              <w:spacing w:line="240" w:lineRule="auto"/>
              <w:ind w:firstLine="0" w:firstLineChars="0"/>
              <w:contextualSpacing/>
              <w:jc w:val="center"/>
              <w:rPr>
                <w:rFonts w:cs="Times New Roman"/>
                <w:sz w:val="21"/>
                <w:szCs w:val="21"/>
              </w:rPr>
            </w:pPr>
          </w:p>
        </w:tc>
      </w:tr>
      <w:tr w14:paraId="5604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BA7B26E">
            <w:pPr>
              <w:widowControl/>
              <w:adjustRightInd w:val="0"/>
              <w:spacing w:line="240" w:lineRule="auto"/>
              <w:ind w:firstLine="0" w:firstLineChars="0"/>
              <w:contextualSpacing/>
              <w:jc w:val="center"/>
              <w:rPr>
                <w:rFonts w:cs="Times New Roman"/>
                <w:sz w:val="21"/>
                <w:szCs w:val="21"/>
              </w:rPr>
            </w:pPr>
            <w:r>
              <w:rPr>
                <w:rFonts w:hint="eastAsia"/>
                <w:color w:val="000000"/>
                <w:sz w:val="22"/>
              </w:rPr>
              <w:t>76</w:t>
            </w:r>
          </w:p>
        </w:tc>
        <w:tc>
          <w:tcPr>
            <w:tcW w:w="973" w:type="pct"/>
            <w:vMerge w:val="continue"/>
            <w:vAlign w:val="center"/>
          </w:tcPr>
          <w:p w14:paraId="1B752172">
            <w:pPr>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790D313">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东岔</w:t>
            </w:r>
          </w:p>
        </w:tc>
        <w:tc>
          <w:tcPr>
            <w:tcW w:w="973" w:type="pct"/>
            <w:vAlign w:val="center"/>
          </w:tcPr>
          <w:p w14:paraId="09FE76BE">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增量型</w:t>
            </w:r>
          </w:p>
        </w:tc>
        <w:tc>
          <w:tcPr>
            <w:tcW w:w="973" w:type="pct"/>
            <w:vAlign w:val="center"/>
          </w:tcPr>
          <w:p w14:paraId="021E0DCD">
            <w:pPr>
              <w:widowControl/>
              <w:adjustRightInd w:val="0"/>
              <w:spacing w:line="240" w:lineRule="auto"/>
              <w:ind w:firstLine="0" w:firstLineChars="0"/>
              <w:contextualSpacing/>
              <w:jc w:val="center"/>
              <w:rPr>
                <w:rFonts w:cs="Times New Roman"/>
                <w:sz w:val="21"/>
                <w:szCs w:val="21"/>
              </w:rPr>
            </w:pPr>
          </w:p>
        </w:tc>
      </w:tr>
      <w:tr w14:paraId="6884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6C57E90">
            <w:pPr>
              <w:widowControl/>
              <w:adjustRightInd w:val="0"/>
              <w:spacing w:line="240" w:lineRule="auto"/>
              <w:ind w:firstLine="0" w:firstLineChars="0"/>
              <w:contextualSpacing/>
              <w:jc w:val="center"/>
              <w:rPr>
                <w:rFonts w:cs="Times New Roman"/>
                <w:sz w:val="21"/>
                <w:szCs w:val="21"/>
              </w:rPr>
            </w:pPr>
            <w:r>
              <w:rPr>
                <w:rFonts w:hint="eastAsia"/>
                <w:color w:val="000000"/>
                <w:sz w:val="22"/>
              </w:rPr>
              <w:t>77</w:t>
            </w:r>
          </w:p>
        </w:tc>
        <w:tc>
          <w:tcPr>
            <w:tcW w:w="973" w:type="pct"/>
            <w:vMerge w:val="continue"/>
            <w:vAlign w:val="center"/>
          </w:tcPr>
          <w:p w14:paraId="1195500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82BDDCF">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西岔</w:t>
            </w:r>
          </w:p>
        </w:tc>
        <w:tc>
          <w:tcPr>
            <w:tcW w:w="973" w:type="pct"/>
            <w:vAlign w:val="center"/>
          </w:tcPr>
          <w:p w14:paraId="35E909B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4825ADAE">
            <w:pPr>
              <w:widowControl/>
              <w:adjustRightInd w:val="0"/>
              <w:spacing w:line="240" w:lineRule="auto"/>
              <w:ind w:firstLine="0" w:firstLineChars="0"/>
              <w:contextualSpacing/>
              <w:jc w:val="center"/>
              <w:rPr>
                <w:rFonts w:cs="Times New Roman"/>
                <w:sz w:val="21"/>
                <w:szCs w:val="21"/>
              </w:rPr>
            </w:pPr>
          </w:p>
        </w:tc>
      </w:tr>
      <w:tr w14:paraId="143E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4B85F1AD">
            <w:pPr>
              <w:widowControl/>
              <w:adjustRightInd w:val="0"/>
              <w:spacing w:line="240" w:lineRule="auto"/>
              <w:ind w:firstLine="0" w:firstLineChars="0"/>
              <w:contextualSpacing/>
              <w:jc w:val="center"/>
              <w:rPr>
                <w:rFonts w:cs="Times New Roman"/>
                <w:sz w:val="21"/>
                <w:szCs w:val="21"/>
              </w:rPr>
            </w:pPr>
            <w:r>
              <w:rPr>
                <w:rFonts w:hint="eastAsia"/>
                <w:color w:val="000000"/>
                <w:sz w:val="22"/>
              </w:rPr>
              <w:t>78</w:t>
            </w:r>
          </w:p>
        </w:tc>
        <w:tc>
          <w:tcPr>
            <w:tcW w:w="973" w:type="pct"/>
            <w:vMerge w:val="continue"/>
            <w:vAlign w:val="center"/>
          </w:tcPr>
          <w:p w14:paraId="6C954C6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6A18528">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文治沟村</w:t>
            </w:r>
          </w:p>
        </w:tc>
        <w:tc>
          <w:tcPr>
            <w:tcW w:w="973" w:type="pct"/>
            <w:vAlign w:val="center"/>
          </w:tcPr>
          <w:p w14:paraId="6D7E12BD">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18A1DA3E">
            <w:pPr>
              <w:widowControl/>
              <w:adjustRightInd w:val="0"/>
              <w:spacing w:line="240" w:lineRule="auto"/>
              <w:ind w:firstLine="0" w:firstLineChars="0"/>
              <w:contextualSpacing/>
              <w:jc w:val="center"/>
              <w:rPr>
                <w:rFonts w:cs="Times New Roman"/>
                <w:sz w:val="21"/>
                <w:szCs w:val="21"/>
              </w:rPr>
            </w:pPr>
          </w:p>
        </w:tc>
      </w:tr>
      <w:tr w14:paraId="62BA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33CA539">
            <w:pPr>
              <w:widowControl/>
              <w:adjustRightInd w:val="0"/>
              <w:spacing w:line="240" w:lineRule="auto"/>
              <w:ind w:firstLine="0" w:firstLineChars="0"/>
              <w:contextualSpacing/>
              <w:jc w:val="center"/>
              <w:rPr>
                <w:rFonts w:cs="Times New Roman"/>
                <w:sz w:val="21"/>
                <w:szCs w:val="21"/>
              </w:rPr>
            </w:pPr>
            <w:r>
              <w:rPr>
                <w:rFonts w:hint="eastAsia"/>
                <w:color w:val="000000"/>
                <w:sz w:val="22"/>
              </w:rPr>
              <w:t>79</w:t>
            </w:r>
          </w:p>
        </w:tc>
        <w:tc>
          <w:tcPr>
            <w:tcW w:w="973" w:type="pct"/>
            <w:vMerge w:val="continue"/>
            <w:vAlign w:val="center"/>
          </w:tcPr>
          <w:p w14:paraId="389B3CD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6791836">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小文治沟</w:t>
            </w:r>
          </w:p>
        </w:tc>
        <w:tc>
          <w:tcPr>
            <w:tcW w:w="973" w:type="pct"/>
            <w:vAlign w:val="center"/>
          </w:tcPr>
          <w:p w14:paraId="5EA293E0">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1E0FE46D">
            <w:pPr>
              <w:widowControl/>
              <w:adjustRightInd w:val="0"/>
              <w:spacing w:line="240" w:lineRule="auto"/>
              <w:ind w:firstLine="0" w:firstLineChars="0"/>
              <w:contextualSpacing/>
              <w:jc w:val="center"/>
              <w:rPr>
                <w:rFonts w:cs="Times New Roman"/>
                <w:sz w:val="21"/>
                <w:szCs w:val="21"/>
              </w:rPr>
            </w:pPr>
          </w:p>
        </w:tc>
      </w:tr>
      <w:tr w14:paraId="5D7C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552B87D">
            <w:pPr>
              <w:widowControl/>
              <w:adjustRightInd w:val="0"/>
              <w:spacing w:line="240" w:lineRule="auto"/>
              <w:ind w:firstLine="0" w:firstLineChars="0"/>
              <w:contextualSpacing/>
              <w:jc w:val="center"/>
              <w:rPr>
                <w:rFonts w:cs="Times New Roman"/>
                <w:sz w:val="21"/>
                <w:szCs w:val="21"/>
              </w:rPr>
            </w:pPr>
            <w:r>
              <w:rPr>
                <w:rFonts w:hint="eastAsia"/>
                <w:color w:val="000000"/>
                <w:sz w:val="22"/>
              </w:rPr>
              <w:t>80</w:t>
            </w:r>
          </w:p>
        </w:tc>
        <w:tc>
          <w:tcPr>
            <w:tcW w:w="973" w:type="pct"/>
            <w:vMerge w:val="continue"/>
            <w:vAlign w:val="center"/>
          </w:tcPr>
          <w:p w14:paraId="417C6FF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DDF7D44">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马道沟</w:t>
            </w:r>
          </w:p>
        </w:tc>
        <w:tc>
          <w:tcPr>
            <w:tcW w:w="973" w:type="pct"/>
            <w:vAlign w:val="center"/>
          </w:tcPr>
          <w:p w14:paraId="61D57830">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等量型</w:t>
            </w:r>
          </w:p>
        </w:tc>
        <w:tc>
          <w:tcPr>
            <w:tcW w:w="973" w:type="pct"/>
            <w:vAlign w:val="center"/>
          </w:tcPr>
          <w:p w14:paraId="5570A526">
            <w:pPr>
              <w:widowControl/>
              <w:adjustRightInd w:val="0"/>
              <w:spacing w:line="240" w:lineRule="auto"/>
              <w:ind w:firstLine="0" w:firstLineChars="0"/>
              <w:contextualSpacing/>
              <w:jc w:val="center"/>
              <w:rPr>
                <w:rFonts w:cs="Times New Roman"/>
                <w:sz w:val="21"/>
                <w:szCs w:val="21"/>
              </w:rPr>
            </w:pPr>
          </w:p>
        </w:tc>
      </w:tr>
      <w:tr w14:paraId="7598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DA981E4">
            <w:pPr>
              <w:widowControl/>
              <w:adjustRightInd w:val="0"/>
              <w:spacing w:line="240" w:lineRule="auto"/>
              <w:ind w:firstLine="0" w:firstLineChars="0"/>
              <w:contextualSpacing/>
              <w:jc w:val="center"/>
              <w:rPr>
                <w:rFonts w:cs="Times New Roman"/>
                <w:sz w:val="21"/>
                <w:szCs w:val="21"/>
              </w:rPr>
            </w:pPr>
            <w:r>
              <w:rPr>
                <w:rFonts w:hint="eastAsia"/>
                <w:color w:val="000000"/>
                <w:sz w:val="22"/>
              </w:rPr>
              <w:t>81</w:t>
            </w:r>
          </w:p>
        </w:tc>
        <w:tc>
          <w:tcPr>
            <w:tcW w:w="973" w:type="pct"/>
            <w:vMerge w:val="restart"/>
            <w:vAlign w:val="center"/>
          </w:tcPr>
          <w:p w14:paraId="3AE8B90F">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瓦尔喀什寨村</w:t>
            </w:r>
          </w:p>
        </w:tc>
        <w:tc>
          <w:tcPr>
            <w:tcW w:w="973" w:type="pct"/>
            <w:vAlign w:val="bottom"/>
          </w:tcPr>
          <w:p w14:paraId="0D1034E4">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杨家街</w:t>
            </w:r>
          </w:p>
        </w:tc>
        <w:tc>
          <w:tcPr>
            <w:tcW w:w="973" w:type="pct"/>
            <w:vAlign w:val="center"/>
          </w:tcPr>
          <w:p w14:paraId="41C9CA65">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973" w:type="pct"/>
            <w:vAlign w:val="center"/>
          </w:tcPr>
          <w:p w14:paraId="75666E0A">
            <w:pPr>
              <w:widowControl/>
              <w:adjustRightInd w:val="0"/>
              <w:spacing w:line="240" w:lineRule="auto"/>
              <w:ind w:firstLine="0" w:firstLineChars="0"/>
              <w:contextualSpacing/>
              <w:jc w:val="center"/>
              <w:rPr>
                <w:rFonts w:cs="Times New Roman"/>
                <w:sz w:val="21"/>
                <w:szCs w:val="21"/>
              </w:rPr>
            </w:pPr>
          </w:p>
        </w:tc>
      </w:tr>
      <w:tr w14:paraId="2282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166CD18">
            <w:pPr>
              <w:widowControl/>
              <w:adjustRightInd w:val="0"/>
              <w:spacing w:line="240" w:lineRule="auto"/>
              <w:ind w:firstLine="0" w:firstLineChars="0"/>
              <w:contextualSpacing/>
              <w:jc w:val="center"/>
              <w:rPr>
                <w:rFonts w:cs="Times New Roman"/>
                <w:sz w:val="21"/>
                <w:szCs w:val="21"/>
              </w:rPr>
            </w:pPr>
            <w:r>
              <w:rPr>
                <w:rFonts w:hint="eastAsia"/>
                <w:color w:val="000000"/>
                <w:sz w:val="22"/>
              </w:rPr>
              <w:t>82</w:t>
            </w:r>
          </w:p>
        </w:tc>
        <w:tc>
          <w:tcPr>
            <w:tcW w:w="973" w:type="pct"/>
            <w:vMerge w:val="continue"/>
            <w:vAlign w:val="center"/>
          </w:tcPr>
          <w:p w14:paraId="0FD70E2E">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847A2F2">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洼子沟</w:t>
            </w:r>
          </w:p>
        </w:tc>
        <w:tc>
          <w:tcPr>
            <w:tcW w:w="973" w:type="pct"/>
            <w:vAlign w:val="center"/>
          </w:tcPr>
          <w:p w14:paraId="7F430C81">
            <w:pPr>
              <w:widowControl/>
              <w:adjustRightInd w:val="0"/>
              <w:spacing w:line="240" w:lineRule="auto"/>
              <w:ind w:firstLine="0" w:firstLineChars="0"/>
              <w:contextualSpacing/>
              <w:jc w:val="center"/>
              <w:rPr>
                <w:rFonts w:cs="Times New Roman"/>
                <w:sz w:val="21"/>
                <w:szCs w:val="21"/>
              </w:rPr>
            </w:pPr>
            <w:r>
              <w:rPr>
                <w:rFonts w:eastAsia="仿宋" w:cs="Times New Roman"/>
                <w:color w:val="000000"/>
                <w:kern w:val="0"/>
                <w:sz w:val="21"/>
                <w:szCs w:val="21"/>
              </w:rPr>
              <w:t>减量型</w:t>
            </w:r>
          </w:p>
        </w:tc>
        <w:tc>
          <w:tcPr>
            <w:tcW w:w="973" w:type="pct"/>
            <w:vAlign w:val="center"/>
          </w:tcPr>
          <w:p w14:paraId="4A43B4F6">
            <w:pPr>
              <w:widowControl/>
              <w:adjustRightInd w:val="0"/>
              <w:spacing w:line="240" w:lineRule="auto"/>
              <w:ind w:firstLine="0" w:firstLineChars="0"/>
              <w:contextualSpacing/>
              <w:jc w:val="center"/>
              <w:rPr>
                <w:rFonts w:cs="Times New Roman"/>
                <w:sz w:val="21"/>
                <w:szCs w:val="21"/>
              </w:rPr>
            </w:pPr>
          </w:p>
        </w:tc>
      </w:tr>
      <w:tr w14:paraId="57A4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5B38267">
            <w:pPr>
              <w:widowControl/>
              <w:adjustRightInd w:val="0"/>
              <w:spacing w:line="240" w:lineRule="auto"/>
              <w:ind w:firstLine="0" w:firstLineChars="0"/>
              <w:contextualSpacing/>
              <w:jc w:val="center"/>
              <w:rPr>
                <w:rFonts w:cs="Times New Roman"/>
                <w:sz w:val="21"/>
                <w:szCs w:val="21"/>
              </w:rPr>
            </w:pPr>
            <w:r>
              <w:rPr>
                <w:rFonts w:hint="eastAsia"/>
                <w:color w:val="000000"/>
                <w:sz w:val="22"/>
              </w:rPr>
              <w:t>83</w:t>
            </w:r>
          </w:p>
        </w:tc>
        <w:tc>
          <w:tcPr>
            <w:tcW w:w="973" w:type="pct"/>
            <w:vMerge w:val="continue"/>
            <w:vAlign w:val="center"/>
          </w:tcPr>
          <w:p w14:paraId="029EAD5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C6DC40B">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李家沟</w:t>
            </w:r>
          </w:p>
        </w:tc>
        <w:tc>
          <w:tcPr>
            <w:tcW w:w="973" w:type="pct"/>
          </w:tcPr>
          <w:p w14:paraId="3A06AC1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D05EEBD">
            <w:pPr>
              <w:widowControl/>
              <w:adjustRightInd w:val="0"/>
              <w:spacing w:line="240" w:lineRule="auto"/>
              <w:ind w:firstLine="0" w:firstLineChars="0"/>
              <w:contextualSpacing/>
              <w:jc w:val="center"/>
              <w:rPr>
                <w:rFonts w:cs="Times New Roman"/>
                <w:sz w:val="21"/>
                <w:szCs w:val="21"/>
              </w:rPr>
            </w:pPr>
          </w:p>
        </w:tc>
      </w:tr>
      <w:tr w14:paraId="165D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0ECA654">
            <w:pPr>
              <w:widowControl/>
              <w:adjustRightInd w:val="0"/>
              <w:spacing w:line="240" w:lineRule="auto"/>
              <w:ind w:firstLine="0" w:firstLineChars="0"/>
              <w:contextualSpacing/>
              <w:jc w:val="center"/>
              <w:rPr>
                <w:rFonts w:cs="Times New Roman"/>
                <w:sz w:val="21"/>
                <w:szCs w:val="21"/>
              </w:rPr>
            </w:pPr>
            <w:r>
              <w:rPr>
                <w:rFonts w:hint="eastAsia"/>
                <w:color w:val="000000"/>
                <w:sz w:val="22"/>
              </w:rPr>
              <w:t>84</w:t>
            </w:r>
          </w:p>
        </w:tc>
        <w:tc>
          <w:tcPr>
            <w:tcW w:w="973" w:type="pct"/>
            <w:vMerge w:val="continue"/>
            <w:vAlign w:val="center"/>
          </w:tcPr>
          <w:p w14:paraId="71B5C1A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4D2F50A">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西红登贝</w:t>
            </w:r>
          </w:p>
        </w:tc>
        <w:tc>
          <w:tcPr>
            <w:tcW w:w="973" w:type="pct"/>
          </w:tcPr>
          <w:p w14:paraId="0C0F64A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595940A">
            <w:pPr>
              <w:widowControl/>
              <w:adjustRightInd w:val="0"/>
              <w:spacing w:line="240" w:lineRule="auto"/>
              <w:ind w:firstLine="0" w:firstLineChars="0"/>
              <w:contextualSpacing/>
              <w:jc w:val="center"/>
              <w:rPr>
                <w:rFonts w:cs="Times New Roman"/>
                <w:sz w:val="21"/>
                <w:szCs w:val="21"/>
              </w:rPr>
            </w:pPr>
          </w:p>
        </w:tc>
      </w:tr>
      <w:tr w14:paraId="0476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F6E238B">
            <w:pPr>
              <w:widowControl/>
              <w:adjustRightInd w:val="0"/>
              <w:spacing w:line="240" w:lineRule="auto"/>
              <w:ind w:firstLine="0" w:firstLineChars="0"/>
              <w:contextualSpacing/>
              <w:jc w:val="center"/>
              <w:rPr>
                <w:rFonts w:cs="Times New Roman"/>
                <w:sz w:val="21"/>
                <w:szCs w:val="21"/>
              </w:rPr>
            </w:pPr>
            <w:r>
              <w:rPr>
                <w:rFonts w:hint="eastAsia"/>
                <w:color w:val="000000"/>
                <w:sz w:val="22"/>
              </w:rPr>
              <w:t>85</w:t>
            </w:r>
          </w:p>
        </w:tc>
        <w:tc>
          <w:tcPr>
            <w:tcW w:w="973" w:type="pct"/>
            <w:vMerge w:val="continue"/>
            <w:vAlign w:val="center"/>
          </w:tcPr>
          <w:p w14:paraId="0F5644A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B951E4C">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洼子沟村</w:t>
            </w:r>
          </w:p>
        </w:tc>
        <w:tc>
          <w:tcPr>
            <w:tcW w:w="973" w:type="pct"/>
          </w:tcPr>
          <w:p w14:paraId="22B8431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1F1CDF4">
            <w:pPr>
              <w:widowControl/>
              <w:adjustRightInd w:val="0"/>
              <w:spacing w:line="240" w:lineRule="auto"/>
              <w:ind w:firstLine="0" w:firstLineChars="0"/>
              <w:contextualSpacing/>
              <w:jc w:val="center"/>
              <w:rPr>
                <w:rFonts w:cs="Times New Roman"/>
                <w:sz w:val="21"/>
                <w:szCs w:val="21"/>
              </w:rPr>
            </w:pPr>
          </w:p>
        </w:tc>
      </w:tr>
      <w:tr w14:paraId="4435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953644E">
            <w:pPr>
              <w:widowControl/>
              <w:adjustRightInd w:val="0"/>
              <w:spacing w:line="240" w:lineRule="auto"/>
              <w:ind w:firstLine="0" w:firstLineChars="0"/>
              <w:contextualSpacing/>
              <w:jc w:val="center"/>
              <w:rPr>
                <w:rFonts w:cs="Times New Roman"/>
                <w:sz w:val="21"/>
                <w:szCs w:val="21"/>
              </w:rPr>
            </w:pPr>
            <w:r>
              <w:rPr>
                <w:rFonts w:hint="eastAsia"/>
                <w:color w:val="000000"/>
                <w:sz w:val="22"/>
              </w:rPr>
              <w:t>86</w:t>
            </w:r>
          </w:p>
        </w:tc>
        <w:tc>
          <w:tcPr>
            <w:tcW w:w="973" w:type="pct"/>
            <w:vMerge w:val="continue"/>
            <w:vAlign w:val="center"/>
          </w:tcPr>
          <w:p w14:paraId="6F3BDA8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63A5C5B">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大杨木林子</w:t>
            </w:r>
          </w:p>
        </w:tc>
        <w:tc>
          <w:tcPr>
            <w:tcW w:w="973" w:type="pct"/>
          </w:tcPr>
          <w:p w14:paraId="67F5F2A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16A406A">
            <w:pPr>
              <w:widowControl/>
              <w:adjustRightInd w:val="0"/>
              <w:spacing w:line="240" w:lineRule="auto"/>
              <w:ind w:firstLine="0" w:firstLineChars="0"/>
              <w:contextualSpacing/>
              <w:jc w:val="center"/>
              <w:rPr>
                <w:rFonts w:cs="Times New Roman"/>
                <w:sz w:val="21"/>
                <w:szCs w:val="21"/>
              </w:rPr>
            </w:pPr>
          </w:p>
        </w:tc>
      </w:tr>
      <w:tr w14:paraId="7D56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6413273">
            <w:pPr>
              <w:widowControl/>
              <w:adjustRightInd w:val="0"/>
              <w:spacing w:line="240" w:lineRule="auto"/>
              <w:ind w:firstLine="0" w:firstLineChars="0"/>
              <w:contextualSpacing/>
              <w:jc w:val="center"/>
              <w:rPr>
                <w:rFonts w:cs="Times New Roman"/>
                <w:sz w:val="21"/>
                <w:szCs w:val="21"/>
              </w:rPr>
            </w:pPr>
            <w:r>
              <w:rPr>
                <w:rFonts w:hint="eastAsia"/>
                <w:color w:val="000000"/>
                <w:sz w:val="22"/>
              </w:rPr>
              <w:t>87</w:t>
            </w:r>
          </w:p>
        </w:tc>
        <w:tc>
          <w:tcPr>
            <w:tcW w:w="973" w:type="pct"/>
            <w:vMerge w:val="continue"/>
            <w:vAlign w:val="center"/>
          </w:tcPr>
          <w:p w14:paraId="6E395A7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94F73C6">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张家街</w:t>
            </w:r>
          </w:p>
        </w:tc>
        <w:tc>
          <w:tcPr>
            <w:tcW w:w="973" w:type="pct"/>
          </w:tcPr>
          <w:p w14:paraId="68193AC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AF11247">
            <w:pPr>
              <w:widowControl/>
              <w:adjustRightInd w:val="0"/>
              <w:spacing w:line="240" w:lineRule="auto"/>
              <w:ind w:firstLine="0" w:firstLineChars="0"/>
              <w:contextualSpacing/>
              <w:jc w:val="center"/>
              <w:rPr>
                <w:rFonts w:cs="Times New Roman"/>
                <w:sz w:val="21"/>
                <w:szCs w:val="21"/>
              </w:rPr>
            </w:pPr>
          </w:p>
        </w:tc>
      </w:tr>
      <w:tr w14:paraId="731F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D7972CA">
            <w:pPr>
              <w:widowControl/>
              <w:adjustRightInd w:val="0"/>
              <w:spacing w:line="240" w:lineRule="auto"/>
              <w:ind w:firstLine="0" w:firstLineChars="0"/>
              <w:contextualSpacing/>
              <w:jc w:val="center"/>
              <w:rPr>
                <w:rFonts w:cs="Times New Roman"/>
                <w:sz w:val="21"/>
                <w:szCs w:val="21"/>
              </w:rPr>
            </w:pPr>
            <w:r>
              <w:rPr>
                <w:rFonts w:hint="eastAsia"/>
                <w:color w:val="000000"/>
                <w:sz w:val="22"/>
              </w:rPr>
              <w:t>88</w:t>
            </w:r>
          </w:p>
        </w:tc>
        <w:tc>
          <w:tcPr>
            <w:tcW w:w="973" w:type="pct"/>
            <w:vMerge w:val="continue"/>
            <w:vAlign w:val="center"/>
          </w:tcPr>
          <w:p w14:paraId="073555F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42FF9D7">
            <w:pPr>
              <w:widowControl/>
              <w:adjustRightInd w:val="0"/>
              <w:spacing w:line="240" w:lineRule="auto"/>
              <w:ind w:firstLine="0" w:firstLineChars="0"/>
              <w:contextualSpacing/>
              <w:jc w:val="center"/>
              <w:rPr>
                <w:rFonts w:cs="Times New Roman"/>
                <w:sz w:val="21"/>
                <w:szCs w:val="21"/>
              </w:rPr>
            </w:pPr>
            <w:r>
              <w:rPr>
                <w:rFonts w:ascii="Arial" w:hAnsi="Arial" w:cs="Arial"/>
                <w:color w:val="000000"/>
                <w:sz w:val="20"/>
                <w:szCs w:val="20"/>
              </w:rPr>
              <w:t>高丽沟</w:t>
            </w:r>
          </w:p>
        </w:tc>
        <w:tc>
          <w:tcPr>
            <w:tcW w:w="973" w:type="pct"/>
          </w:tcPr>
          <w:p w14:paraId="5F90726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3822705">
            <w:pPr>
              <w:widowControl/>
              <w:adjustRightInd w:val="0"/>
              <w:spacing w:line="240" w:lineRule="auto"/>
              <w:ind w:firstLine="0" w:firstLineChars="0"/>
              <w:contextualSpacing/>
              <w:jc w:val="center"/>
              <w:rPr>
                <w:rFonts w:cs="Times New Roman"/>
                <w:sz w:val="21"/>
                <w:szCs w:val="21"/>
              </w:rPr>
            </w:pPr>
          </w:p>
        </w:tc>
      </w:tr>
      <w:tr w14:paraId="2BC1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73516C5">
            <w:pPr>
              <w:widowControl/>
              <w:adjustRightInd w:val="0"/>
              <w:spacing w:line="240" w:lineRule="auto"/>
              <w:ind w:firstLine="0" w:firstLineChars="0"/>
              <w:contextualSpacing/>
              <w:jc w:val="center"/>
              <w:rPr>
                <w:rFonts w:cs="Times New Roman"/>
                <w:sz w:val="21"/>
                <w:szCs w:val="21"/>
              </w:rPr>
            </w:pPr>
            <w:r>
              <w:rPr>
                <w:rFonts w:hint="eastAsia"/>
                <w:color w:val="000000"/>
                <w:sz w:val="22"/>
              </w:rPr>
              <w:t>89</w:t>
            </w:r>
          </w:p>
        </w:tc>
        <w:tc>
          <w:tcPr>
            <w:tcW w:w="973" w:type="pct"/>
            <w:vMerge w:val="continue"/>
            <w:vAlign w:val="center"/>
          </w:tcPr>
          <w:p w14:paraId="3AB7555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650BE6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小杨木林子</w:t>
            </w:r>
          </w:p>
        </w:tc>
        <w:tc>
          <w:tcPr>
            <w:tcW w:w="973" w:type="pct"/>
          </w:tcPr>
          <w:p w14:paraId="02A5FF5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54178BC">
            <w:pPr>
              <w:widowControl/>
              <w:adjustRightInd w:val="0"/>
              <w:spacing w:line="240" w:lineRule="auto"/>
              <w:ind w:firstLine="0" w:firstLineChars="0"/>
              <w:contextualSpacing/>
              <w:jc w:val="center"/>
              <w:rPr>
                <w:rFonts w:cs="Times New Roman"/>
                <w:sz w:val="21"/>
                <w:szCs w:val="21"/>
              </w:rPr>
            </w:pPr>
          </w:p>
        </w:tc>
      </w:tr>
      <w:tr w14:paraId="163B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B41AB65">
            <w:pPr>
              <w:widowControl/>
              <w:adjustRightInd w:val="0"/>
              <w:spacing w:line="240" w:lineRule="auto"/>
              <w:ind w:firstLine="0" w:firstLineChars="0"/>
              <w:contextualSpacing/>
              <w:jc w:val="center"/>
              <w:rPr>
                <w:rFonts w:cs="Times New Roman"/>
                <w:sz w:val="21"/>
                <w:szCs w:val="21"/>
              </w:rPr>
            </w:pPr>
            <w:r>
              <w:rPr>
                <w:rFonts w:hint="eastAsia"/>
                <w:color w:val="000000"/>
                <w:sz w:val="22"/>
              </w:rPr>
              <w:t>90</w:t>
            </w:r>
          </w:p>
        </w:tc>
        <w:tc>
          <w:tcPr>
            <w:tcW w:w="973" w:type="pct"/>
            <w:vMerge w:val="continue"/>
            <w:vAlign w:val="center"/>
          </w:tcPr>
          <w:p w14:paraId="61590F04">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0A1F7A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洼子沟</w:t>
            </w:r>
          </w:p>
        </w:tc>
        <w:tc>
          <w:tcPr>
            <w:tcW w:w="973" w:type="pct"/>
          </w:tcPr>
          <w:p w14:paraId="50A77EE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4BCB365">
            <w:pPr>
              <w:widowControl/>
              <w:adjustRightInd w:val="0"/>
              <w:spacing w:line="240" w:lineRule="auto"/>
              <w:ind w:firstLine="0" w:firstLineChars="0"/>
              <w:contextualSpacing/>
              <w:jc w:val="center"/>
              <w:rPr>
                <w:rFonts w:cs="Times New Roman"/>
                <w:sz w:val="21"/>
                <w:szCs w:val="21"/>
              </w:rPr>
            </w:pPr>
          </w:p>
        </w:tc>
      </w:tr>
      <w:tr w14:paraId="5271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70CCAC88">
            <w:pPr>
              <w:widowControl/>
              <w:adjustRightInd w:val="0"/>
              <w:spacing w:line="240" w:lineRule="auto"/>
              <w:ind w:firstLine="0" w:firstLineChars="0"/>
              <w:contextualSpacing/>
              <w:jc w:val="center"/>
              <w:rPr>
                <w:rFonts w:cs="Times New Roman"/>
                <w:sz w:val="21"/>
                <w:szCs w:val="21"/>
              </w:rPr>
            </w:pPr>
            <w:r>
              <w:rPr>
                <w:rFonts w:hint="eastAsia"/>
                <w:color w:val="000000"/>
                <w:sz w:val="22"/>
              </w:rPr>
              <w:t>91</w:t>
            </w:r>
          </w:p>
        </w:tc>
        <w:tc>
          <w:tcPr>
            <w:tcW w:w="973" w:type="pct"/>
            <w:vMerge w:val="restart"/>
            <w:vAlign w:val="center"/>
          </w:tcPr>
          <w:p w14:paraId="7703DEBB">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高台子村</w:t>
            </w:r>
          </w:p>
        </w:tc>
        <w:tc>
          <w:tcPr>
            <w:tcW w:w="973" w:type="pct"/>
            <w:vAlign w:val="bottom"/>
          </w:tcPr>
          <w:p w14:paraId="6A84998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刘家沟</w:t>
            </w:r>
          </w:p>
        </w:tc>
        <w:tc>
          <w:tcPr>
            <w:tcW w:w="973" w:type="pct"/>
          </w:tcPr>
          <w:p w14:paraId="7C03AC8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3FED657">
            <w:pPr>
              <w:widowControl/>
              <w:adjustRightInd w:val="0"/>
              <w:spacing w:line="240" w:lineRule="auto"/>
              <w:ind w:firstLine="0" w:firstLineChars="0"/>
              <w:contextualSpacing/>
              <w:jc w:val="center"/>
              <w:rPr>
                <w:rFonts w:cs="Times New Roman"/>
                <w:sz w:val="21"/>
                <w:szCs w:val="21"/>
              </w:rPr>
            </w:pPr>
          </w:p>
        </w:tc>
      </w:tr>
      <w:tr w14:paraId="16C0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D4858B4">
            <w:pPr>
              <w:widowControl/>
              <w:adjustRightInd w:val="0"/>
              <w:spacing w:line="240" w:lineRule="auto"/>
              <w:ind w:firstLine="0" w:firstLineChars="0"/>
              <w:contextualSpacing/>
              <w:jc w:val="center"/>
              <w:rPr>
                <w:rFonts w:cs="Times New Roman"/>
                <w:sz w:val="21"/>
                <w:szCs w:val="21"/>
              </w:rPr>
            </w:pPr>
            <w:r>
              <w:rPr>
                <w:rFonts w:hint="eastAsia"/>
                <w:color w:val="000000"/>
                <w:sz w:val="22"/>
              </w:rPr>
              <w:t>92</w:t>
            </w:r>
          </w:p>
        </w:tc>
        <w:tc>
          <w:tcPr>
            <w:tcW w:w="973" w:type="pct"/>
            <w:vMerge w:val="continue"/>
            <w:vAlign w:val="center"/>
          </w:tcPr>
          <w:p w14:paraId="0B7FDFC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3B804B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下大地</w:t>
            </w:r>
          </w:p>
        </w:tc>
        <w:tc>
          <w:tcPr>
            <w:tcW w:w="973" w:type="pct"/>
          </w:tcPr>
          <w:p w14:paraId="059AE31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2078D34">
            <w:pPr>
              <w:widowControl/>
              <w:adjustRightInd w:val="0"/>
              <w:spacing w:line="240" w:lineRule="auto"/>
              <w:ind w:firstLine="0" w:firstLineChars="0"/>
              <w:contextualSpacing/>
              <w:jc w:val="center"/>
              <w:rPr>
                <w:rFonts w:cs="Times New Roman"/>
                <w:sz w:val="21"/>
                <w:szCs w:val="21"/>
              </w:rPr>
            </w:pPr>
          </w:p>
        </w:tc>
      </w:tr>
      <w:tr w14:paraId="52CF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D18E25B">
            <w:pPr>
              <w:widowControl/>
              <w:adjustRightInd w:val="0"/>
              <w:spacing w:line="240" w:lineRule="auto"/>
              <w:ind w:firstLine="0" w:firstLineChars="0"/>
              <w:contextualSpacing/>
              <w:jc w:val="center"/>
              <w:rPr>
                <w:rFonts w:cs="Times New Roman"/>
                <w:sz w:val="21"/>
                <w:szCs w:val="21"/>
              </w:rPr>
            </w:pPr>
            <w:r>
              <w:rPr>
                <w:rFonts w:hint="eastAsia"/>
                <w:color w:val="000000"/>
                <w:sz w:val="22"/>
              </w:rPr>
              <w:t>93</w:t>
            </w:r>
          </w:p>
        </w:tc>
        <w:tc>
          <w:tcPr>
            <w:tcW w:w="973" w:type="pct"/>
            <w:vMerge w:val="continue"/>
            <w:vAlign w:val="center"/>
          </w:tcPr>
          <w:p w14:paraId="3EB0BE3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D7EE35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姜求沟</w:t>
            </w:r>
          </w:p>
        </w:tc>
        <w:tc>
          <w:tcPr>
            <w:tcW w:w="973" w:type="pct"/>
          </w:tcPr>
          <w:p w14:paraId="27E3FE0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096588B">
            <w:pPr>
              <w:widowControl/>
              <w:adjustRightInd w:val="0"/>
              <w:spacing w:line="240" w:lineRule="auto"/>
              <w:ind w:firstLine="0" w:firstLineChars="0"/>
              <w:contextualSpacing/>
              <w:jc w:val="center"/>
              <w:rPr>
                <w:rFonts w:cs="Times New Roman"/>
                <w:sz w:val="21"/>
                <w:szCs w:val="21"/>
              </w:rPr>
            </w:pPr>
          </w:p>
        </w:tc>
      </w:tr>
      <w:tr w14:paraId="192B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5B3C5D2">
            <w:pPr>
              <w:widowControl/>
              <w:adjustRightInd w:val="0"/>
              <w:spacing w:line="240" w:lineRule="auto"/>
              <w:ind w:firstLine="0" w:firstLineChars="0"/>
              <w:contextualSpacing/>
              <w:jc w:val="center"/>
              <w:rPr>
                <w:rFonts w:cs="Times New Roman"/>
                <w:sz w:val="21"/>
                <w:szCs w:val="21"/>
              </w:rPr>
            </w:pPr>
            <w:r>
              <w:rPr>
                <w:rFonts w:hint="eastAsia"/>
                <w:color w:val="000000"/>
                <w:sz w:val="22"/>
              </w:rPr>
              <w:t>94</w:t>
            </w:r>
          </w:p>
        </w:tc>
        <w:tc>
          <w:tcPr>
            <w:tcW w:w="973" w:type="pct"/>
            <w:vMerge w:val="continue"/>
            <w:vAlign w:val="center"/>
          </w:tcPr>
          <w:p w14:paraId="5CB8B5C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52328E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南沟</w:t>
            </w:r>
          </w:p>
        </w:tc>
        <w:tc>
          <w:tcPr>
            <w:tcW w:w="973" w:type="pct"/>
          </w:tcPr>
          <w:p w14:paraId="20E4FEE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C14E893">
            <w:pPr>
              <w:widowControl/>
              <w:adjustRightInd w:val="0"/>
              <w:spacing w:line="240" w:lineRule="auto"/>
              <w:ind w:firstLine="0" w:firstLineChars="0"/>
              <w:contextualSpacing/>
              <w:jc w:val="center"/>
              <w:rPr>
                <w:rFonts w:cs="Times New Roman"/>
                <w:sz w:val="21"/>
                <w:szCs w:val="21"/>
              </w:rPr>
            </w:pPr>
          </w:p>
        </w:tc>
      </w:tr>
      <w:tr w14:paraId="3255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3145829">
            <w:pPr>
              <w:widowControl/>
              <w:adjustRightInd w:val="0"/>
              <w:spacing w:line="240" w:lineRule="auto"/>
              <w:ind w:firstLine="0" w:firstLineChars="0"/>
              <w:contextualSpacing/>
              <w:jc w:val="center"/>
              <w:rPr>
                <w:rFonts w:cs="Times New Roman"/>
                <w:sz w:val="21"/>
                <w:szCs w:val="21"/>
              </w:rPr>
            </w:pPr>
            <w:r>
              <w:rPr>
                <w:rFonts w:hint="eastAsia"/>
                <w:color w:val="000000"/>
                <w:sz w:val="22"/>
              </w:rPr>
              <w:t>95</w:t>
            </w:r>
          </w:p>
        </w:tc>
        <w:tc>
          <w:tcPr>
            <w:tcW w:w="973" w:type="pct"/>
            <w:vMerge w:val="continue"/>
            <w:vAlign w:val="center"/>
          </w:tcPr>
          <w:p w14:paraId="5E86E90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8A653A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高台子村</w:t>
            </w:r>
          </w:p>
        </w:tc>
        <w:tc>
          <w:tcPr>
            <w:tcW w:w="973" w:type="pct"/>
          </w:tcPr>
          <w:p w14:paraId="1FE3607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0F99850">
            <w:pPr>
              <w:widowControl/>
              <w:adjustRightInd w:val="0"/>
              <w:spacing w:line="240" w:lineRule="auto"/>
              <w:ind w:firstLine="0" w:firstLineChars="0"/>
              <w:contextualSpacing/>
              <w:jc w:val="center"/>
              <w:rPr>
                <w:rFonts w:cs="Times New Roman"/>
                <w:sz w:val="21"/>
                <w:szCs w:val="21"/>
              </w:rPr>
            </w:pPr>
          </w:p>
        </w:tc>
      </w:tr>
      <w:tr w14:paraId="430A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8BB711C">
            <w:pPr>
              <w:widowControl/>
              <w:adjustRightInd w:val="0"/>
              <w:spacing w:line="240" w:lineRule="auto"/>
              <w:ind w:firstLine="0" w:firstLineChars="0"/>
              <w:contextualSpacing/>
              <w:jc w:val="center"/>
              <w:rPr>
                <w:rFonts w:cs="Times New Roman"/>
                <w:sz w:val="21"/>
                <w:szCs w:val="21"/>
              </w:rPr>
            </w:pPr>
            <w:r>
              <w:rPr>
                <w:rFonts w:hint="eastAsia"/>
                <w:color w:val="000000"/>
                <w:sz w:val="22"/>
              </w:rPr>
              <w:t>96</w:t>
            </w:r>
          </w:p>
        </w:tc>
        <w:tc>
          <w:tcPr>
            <w:tcW w:w="973" w:type="pct"/>
            <w:vMerge w:val="continue"/>
            <w:vAlign w:val="center"/>
          </w:tcPr>
          <w:p w14:paraId="19EEE47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CC0546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兔子沟</w:t>
            </w:r>
          </w:p>
        </w:tc>
        <w:tc>
          <w:tcPr>
            <w:tcW w:w="973" w:type="pct"/>
          </w:tcPr>
          <w:p w14:paraId="797371D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CE47285">
            <w:pPr>
              <w:widowControl/>
              <w:adjustRightInd w:val="0"/>
              <w:spacing w:line="240" w:lineRule="auto"/>
              <w:ind w:firstLine="0" w:firstLineChars="0"/>
              <w:contextualSpacing/>
              <w:jc w:val="center"/>
              <w:rPr>
                <w:rFonts w:cs="Times New Roman"/>
                <w:sz w:val="21"/>
                <w:szCs w:val="21"/>
              </w:rPr>
            </w:pPr>
          </w:p>
        </w:tc>
      </w:tr>
      <w:tr w14:paraId="1A00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91BFB3C">
            <w:pPr>
              <w:widowControl/>
              <w:adjustRightInd w:val="0"/>
              <w:spacing w:line="240" w:lineRule="auto"/>
              <w:ind w:firstLine="0" w:firstLineChars="0"/>
              <w:contextualSpacing/>
              <w:jc w:val="center"/>
              <w:rPr>
                <w:rFonts w:cs="Times New Roman"/>
                <w:sz w:val="21"/>
                <w:szCs w:val="21"/>
              </w:rPr>
            </w:pPr>
            <w:r>
              <w:rPr>
                <w:rFonts w:hint="eastAsia"/>
                <w:color w:val="000000"/>
                <w:sz w:val="22"/>
              </w:rPr>
              <w:t>97</w:t>
            </w:r>
          </w:p>
        </w:tc>
        <w:tc>
          <w:tcPr>
            <w:tcW w:w="973" w:type="pct"/>
            <w:vMerge w:val="continue"/>
            <w:vAlign w:val="center"/>
          </w:tcPr>
          <w:p w14:paraId="4182272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924F4D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小梨树沟</w:t>
            </w:r>
          </w:p>
        </w:tc>
        <w:tc>
          <w:tcPr>
            <w:tcW w:w="973" w:type="pct"/>
          </w:tcPr>
          <w:p w14:paraId="59D17E4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4E616AD">
            <w:pPr>
              <w:widowControl/>
              <w:adjustRightInd w:val="0"/>
              <w:spacing w:line="240" w:lineRule="auto"/>
              <w:ind w:firstLine="0" w:firstLineChars="0"/>
              <w:contextualSpacing/>
              <w:jc w:val="center"/>
              <w:rPr>
                <w:rFonts w:cs="Times New Roman"/>
                <w:sz w:val="21"/>
                <w:szCs w:val="21"/>
              </w:rPr>
            </w:pPr>
          </w:p>
        </w:tc>
      </w:tr>
      <w:tr w14:paraId="243B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96412AC">
            <w:pPr>
              <w:widowControl/>
              <w:adjustRightInd w:val="0"/>
              <w:spacing w:line="240" w:lineRule="auto"/>
              <w:ind w:firstLine="0" w:firstLineChars="0"/>
              <w:contextualSpacing/>
              <w:jc w:val="center"/>
              <w:rPr>
                <w:rFonts w:cs="Times New Roman"/>
                <w:sz w:val="21"/>
                <w:szCs w:val="21"/>
              </w:rPr>
            </w:pPr>
            <w:r>
              <w:rPr>
                <w:rFonts w:hint="eastAsia"/>
                <w:color w:val="000000"/>
                <w:sz w:val="22"/>
              </w:rPr>
              <w:t>98</w:t>
            </w:r>
          </w:p>
        </w:tc>
        <w:tc>
          <w:tcPr>
            <w:tcW w:w="973" w:type="pct"/>
            <w:vMerge w:val="continue"/>
            <w:vAlign w:val="center"/>
          </w:tcPr>
          <w:p w14:paraId="7F2D241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1CEEE9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碱厂沟</w:t>
            </w:r>
          </w:p>
        </w:tc>
        <w:tc>
          <w:tcPr>
            <w:tcW w:w="973" w:type="pct"/>
          </w:tcPr>
          <w:p w14:paraId="7AA2BA3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FCDC644">
            <w:pPr>
              <w:widowControl/>
              <w:adjustRightInd w:val="0"/>
              <w:spacing w:line="240" w:lineRule="auto"/>
              <w:ind w:firstLine="0" w:firstLineChars="0"/>
              <w:contextualSpacing/>
              <w:jc w:val="center"/>
              <w:rPr>
                <w:rFonts w:cs="Times New Roman"/>
                <w:sz w:val="21"/>
                <w:szCs w:val="21"/>
              </w:rPr>
            </w:pPr>
          </w:p>
        </w:tc>
      </w:tr>
      <w:tr w14:paraId="534C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A450EFB">
            <w:pPr>
              <w:widowControl/>
              <w:adjustRightInd w:val="0"/>
              <w:spacing w:line="240" w:lineRule="auto"/>
              <w:ind w:firstLine="0" w:firstLineChars="0"/>
              <w:contextualSpacing/>
              <w:jc w:val="center"/>
              <w:rPr>
                <w:rFonts w:cs="Times New Roman"/>
                <w:sz w:val="21"/>
                <w:szCs w:val="21"/>
              </w:rPr>
            </w:pPr>
            <w:r>
              <w:rPr>
                <w:rFonts w:hint="eastAsia"/>
                <w:color w:val="000000"/>
                <w:sz w:val="22"/>
              </w:rPr>
              <w:t>99</w:t>
            </w:r>
          </w:p>
        </w:tc>
        <w:tc>
          <w:tcPr>
            <w:tcW w:w="973" w:type="pct"/>
            <w:vMerge w:val="continue"/>
            <w:vAlign w:val="center"/>
          </w:tcPr>
          <w:p w14:paraId="365C8B3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755F3F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大梨树沟</w:t>
            </w:r>
          </w:p>
        </w:tc>
        <w:tc>
          <w:tcPr>
            <w:tcW w:w="973" w:type="pct"/>
          </w:tcPr>
          <w:p w14:paraId="577CC73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8F327D9">
            <w:pPr>
              <w:widowControl/>
              <w:adjustRightInd w:val="0"/>
              <w:spacing w:line="240" w:lineRule="auto"/>
              <w:ind w:firstLine="0" w:firstLineChars="0"/>
              <w:contextualSpacing/>
              <w:jc w:val="center"/>
              <w:rPr>
                <w:rFonts w:cs="Times New Roman"/>
                <w:sz w:val="21"/>
                <w:szCs w:val="21"/>
              </w:rPr>
            </w:pPr>
          </w:p>
        </w:tc>
      </w:tr>
      <w:tr w14:paraId="5B35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F18A5CE">
            <w:pPr>
              <w:widowControl/>
              <w:adjustRightInd w:val="0"/>
              <w:spacing w:line="240" w:lineRule="auto"/>
              <w:ind w:firstLine="0" w:firstLineChars="0"/>
              <w:contextualSpacing/>
              <w:jc w:val="center"/>
              <w:rPr>
                <w:rFonts w:cs="Times New Roman"/>
                <w:sz w:val="21"/>
                <w:szCs w:val="21"/>
              </w:rPr>
            </w:pPr>
            <w:r>
              <w:rPr>
                <w:rFonts w:hint="eastAsia"/>
                <w:color w:val="000000"/>
                <w:sz w:val="22"/>
              </w:rPr>
              <w:t>100</w:t>
            </w:r>
          </w:p>
        </w:tc>
        <w:tc>
          <w:tcPr>
            <w:tcW w:w="973" w:type="pct"/>
            <w:vMerge w:val="continue"/>
            <w:vAlign w:val="center"/>
          </w:tcPr>
          <w:p w14:paraId="2F9DAA2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E9462B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小东沟</w:t>
            </w:r>
          </w:p>
        </w:tc>
        <w:tc>
          <w:tcPr>
            <w:tcW w:w="973" w:type="pct"/>
          </w:tcPr>
          <w:p w14:paraId="2D9CFA0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A319531">
            <w:pPr>
              <w:widowControl/>
              <w:adjustRightInd w:val="0"/>
              <w:spacing w:line="240" w:lineRule="auto"/>
              <w:ind w:firstLine="0" w:firstLineChars="0"/>
              <w:contextualSpacing/>
              <w:jc w:val="center"/>
              <w:rPr>
                <w:rFonts w:cs="Times New Roman"/>
                <w:sz w:val="21"/>
                <w:szCs w:val="21"/>
              </w:rPr>
            </w:pPr>
          </w:p>
        </w:tc>
      </w:tr>
      <w:tr w14:paraId="29AF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DE8A7AE">
            <w:pPr>
              <w:widowControl/>
              <w:adjustRightInd w:val="0"/>
              <w:spacing w:line="240" w:lineRule="auto"/>
              <w:ind w:firstLine="0" w:firstLineChars="0"/>
              <w:contextualSpacing/>
              <w:jc w:val="center"/>
              <w:rPr>
                <w:rFonts w:cs="Times New Roman"/>
                <w:sz w:val="21"/>
                <w:szCs w:val="21"/>
              </w:rPr>
            </w:pPr>
            <w:r>
              <w:rPr>
                <w:rFonts w:hint="eastAsia"/>
                <w:color w:val="000000"/>
                <w:sz w:val="22"/>
              </w:rPr>
              <w:t>101</w:t>
            </w:r>
          </w:p>
        </w:tc>
        <w:tc>
          <w:tcPr>
            <w:tcW w:w="973" w:type="pct"/>
            <w:vMerge w:val="continue"/>
            <w:vAlign w:val="center"/>
          </w:tcPr>
          <w:p w14:paraId="51758AF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55FF30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大窑沟</w:t>
            </w:r>
          </w:p>
        </w:tc>
        <w:tc>
          <w:tcPr>
            <w:tcW w:w="973" w:type="pct"/>
          </w:tcPr>
          <w:p w14:paraId="6CFB253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9CF885E">
            <w:pPr>
              <w:widowControl/>
              <w:adjustRightInd w:val="0"/>
              <w:spacing w:line="240" w:lineRule="auto"/>
              <w:ind w:firstLine="0" w:firstLineChars="0"/>
              <w:contextualSpacing/>
              <w:jc w:val="center"/>
              <w:rPr>
                <w:rFonts w:cs="Times New Roman"/>
                <w:sz w:val="21"/>
                <w:szCs w:val="21"/>
              </w:rPr>
            </w:pPr>
          </w:p>
        </w:tc>
      </w:tr>
      <w:tr w14:paraId="6F4C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AD4685C">
            <w:pPr>
              <w:widowControl/>
              <w:adjustRightInd w:val="0"/>
              <w:spacing w:line="240" w:lineRule="auto"/>
              <w:ind w:firstLine="0" w:firstLineChars="0"/>
              <w:contextualSpacing/>
              <w:jc w:val="center"/>
              <w:rPr>
                <w:rFonts w:cs="Times New Roman"/>
                <w:sz w:val="21"/>
                <w:szCs w:val="21"/>
              </w:rPr>
            </w:pPr>
            <w:r>
              <w:rPr>
                <w:rFonts w:hint="eastAsia"/>
                <w:color w:val="000000"/>
                <w:sz w:val="22"/>
              </w:rPr>
              <w:t>102</w:t>
            </w:r>
          </w:p>
        </w:tc>
        <w:tc>
          <w:tcPr>
            <w:tcW w:w="973" w:type="pct"/>
            <w:vMerge w:val="continue"/>
            <w:vAlign w:val="center"/>
          </w:tcPr>
          <w:p w14:paraId="51B4603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FDD2E0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三道沟</w:t>
            </w:r>
          </w:p>
        </w:tc>
        <w:tc>
          <w:tcPr>
            <w:tcW w:w="973" w:type="pct"/>
          </w:tcPr>
          <w:p w14:paraId="333B6D8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9E69E1B">
            <w:pPr>
              <w:widowControl/>
              <w:adjustRightInd w:val="0"/>
              <w:spacing w:line="240" w:lineRule="auto"/>
              <w:ind w:firstLine="0" w:firstLineChars="0"/>
              <w:contextualSpacing/>
              <w:jc w:val="center"/>
              <w:rPr>
                <w:rFonts w:cs="Times New Roman"/>
                <w:sz w:val="21"/>
                <w:szCs w:val="21"/>
              </w:rPr>
            </w:pPr>
          </w:p>
        </w:tc>
      </w:tr>
      <w:tr w14:paraId="3A63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7FA0AC9">
            <w:pPr>
              <w:widowControl/>
              <w:adjustRightInd w:val="0"/>
              <w:spacing w:line="240" w:lineRule="auto"/>
              <w:ind w:firstLine="0" w:firstLineChars="0"/>
              <w:contextualSpacing/>
              <w:jc w:val="center"/>
              <w:rPr>
                <w:rFonts w:cs="Times New Roman"/>
                <w:sz w:val="21"/>
                <w:szCs w:val="21"/>
              </w:rPr>
            </w:pPr>
            <w:r>
              <w:rPr>
                <w:rFonts w:hint="eastAsia"/>
                <w:color w:val="000000"/>
                <w:sz w:val="22"/>
              </w:rPr>
              <w:t>103</w:t>
            </w:r>
          </w:p>
        </w:tc>
        <w:tc>
          <w:tcPr>
            <w:tcW w:w="973" w:type="pct"/>
            <w:vMerge w:val="continue"/>
            <w:vAlign w:val="center"/>
          </w:tcPr>
          <w:p w14:paraId="2E7C9B2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D593B1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横道河子村</w:t>
            </w:r>
          </w:p>
        </w:tc>
        <w:tc>
          <w:tcPr>
            <w:tcW w:w="973" w:type="pct"/>
          </w:tcPr>
          <w:p w14:paraId="633C372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81D62C9">
            <w:pPr>
              <w:widowControl/>
              <w:adjustRightInd w:val="0"/>
              <w:spacing w:line="240" w:lineRule="auto"/>
              <w:ind w:firstLine="0" w:firstLineChars="0"/>
              <w:contextualSpacing/>
              <w:jc w:val="center"/>
              <w:rPr>
                <w:rFonts w:cs="Times New Roman"/>
                <w:sz w:val="21"/>
                <w:szCs w:val="21"/>
              </w:rPr>
            </w:pPr>
          </w:p>
        </w:tc>
      </w:tr>
      <w:tr w14:paraId="533A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5D85832">
            <w:pPr>
              <w:widowControl/>
              <w:adjustRightInd w:val="0"/>
              <w:spacing w:line="240" w:lineRule="auto"/>
              <w:ind w:firstLine="0" w:firstLineChars="0"/>
              <w:contextualSpacing/>
              <w:jc w:val="center"/>
              <w:rPr>
                <w:rFonts w:cs="Times New Roman"/>
                <w:sz w:val="21"/>
                <w:szCs w:val="21"/>
              </w:rPr>
            </w:pPr>
            <w:r>
              <w:rPr>
                <w:rFonts w:hint="eastAsia"/>
                <w:color w:val="000000"/>
                <w:sz w:val="22"/>
              </w:rPr>
              <w:t>104</w:t>
            </w:r>
          </w:p>
        </w:tc>
        <w:tc>
          <w:tcPr>
            <w:tcW w:w="973" w:type="pct"/>
            <w:vMerge w:val="continue"/>
            <w:vAlign w:val="center"/>
          </w:tcPr>
          <w:p w14:paraId="27BC388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AD2508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二道沟</w:t>
            </w:r>
          </w:p>
        </w:tc>
        <w:tc>
          <w:tcPr>
            <w:tcW w:w="973" w:type="pct"/>
          </w:tcPr>
          <w:p w14:paraId="7167A2E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FE08428">
            <w:pPr>
              <w:widowControl/>
              <w:adjustRightInd w:val="0"/>
              <w:spacing w:line="240" w:lineRule="auto"/>
              <w:ind w:firstLine="0" w:firstLineChars="0"/>
              <w:contextualSpacing/>
              <w:jc w:val="center"/>
              <w:rPr>
                <w:rFonts w:cs="Times New Roman"/>
                <w:sz w:val="21"/>
                <w:szCs w:val="21"/>
              </w:rPr>
            </w:pPr>
          </w:p>
        </w:tc>
      </w:tr>
      <w:tr w14:paraId="2DB5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E1BD417">
            <w:pPr>
              <w:widowControl/>
              <w:adjustRightInd w:val="0"/>
              <w:spacing w:line="240" w:lineRule="auto"/>
              <w:ind w:firstLine="0" w:firstLineChars="0"/>
              <w:contextualSpacing/>
              <w:jc w:val="center"/>
              <w:rPr>
                <w:rFonts w:cs="Times New Roman"/>
                <w:sz w:val="21"/>
                <w:szCs w:val="21"/>
              </w:rPr>
            </w:pPr>
            <w:r>
              <w:rPr>
                <w:rFonts w:hint="eastAsia"/>
                <w:color w:val="000000"/>
                <w:sz w:val="22"/>
              </w:rPr>
              <w:t>105</w:t>
            </w:r>
          </w:p>
        </w:tc>
        <w:tc>
          <w:tcPr>
            <w:tcW w:w="973" w:type="pct"/>
            <w:vMerge w:val="continue"/>
            <w:vAlign w:val="center"/>
          </w:tcPr>
          <w:p w14:paraId="5CA421E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FB4EFC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三道沟门</w:t>
            </w:r>
          </w:p>
        </w:tc>
        <w:tc>
          <w:tcPr>
            <w:tcW w:w="973" w:type="pct"/>
          </w:tcPr>
          <w:p w14:paraId="7B5ECDB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F063F43">
            <w:pPr>
              <w:widowControl/>
              <w:adjustRightInd w:val="0"/>
              <w:spacing w:line="240" w:lineRule="auto"/>
              <w:ind w:firstLine="0" w:firstLineChars="0"/>
              <w:contextualSpacing/>
              <w:jc w:val="center"/>
              <w:rPr>
                <w:rFonts w:cs="Times New Roman"/>
                <w:sz w:val="21"/>
                <w:szCs w:val="21"/>
              </w:rPr>
            </w:pPr>
          </w:p>
        </w:tc>
      </w:tr>
      <w:tr w14:paraId="3AB8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398326EE">
            <w:pPr>
              <w:widowControl/>
              <w:adjustRightInd w:val="0"/>
              <w:spacing w:line="240" w:lineRule="auto"/>
              <w:ind w:firstLine="0" w:firstLineChars="0"/>
              <w:contextualSpacing/>
              <w:jc w:val="center"/>
              <w:rPr>
                <w:rFonts w:cs="Times New Roman"/>
                <w:sz w:val="21"/>
                <w:szCs w:val="21"/>
              </w:rPr>
            </w:pPr>
            <w:r>
              <w:rPr>
                <w:rFonts w:hint="eastAsia"/>
                <w:color w:val="000000"/>
                <w:sz w:val="22"/>
              </w:rPr>
              <w:t>106</w:t>
            </w:r>
          </w:p>
        </w:tc>
        <w:tc>
          <w:tcPr>
            <w:tcW w:w="973" w:type="pct"/>
            <w:vMerge w:val="continue"/>
            <w:vAlign w:val="center"/>
          </w:tcPr>
          <w:p w14:paraId="7779515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431C75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老西沟</w:t>
            </w:r>
          </w:p>
        </w:tc>
        <w:tc>
          <w:tcPr>
            <w:tcW w:w="973" w:type="pct"/>
          </w:tcPr>
          <w:p w14:paraId="04B8A3D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A71CC57">
            <w:pPr>
              <w:widowControl/>
              <w:adjustRightInd w:val="0"/>
              <w:spacing w:line="240" w:lineRule="auto"/>
              <w:ind w:firstLine="0" w:firstLineChars="0"/>
              <w:contextualSpacing/>
              <w:jc w:val="center"/>
              <w:rPr>
                <w:rFonts w:cs="Times New Roman"/>
                <w:sz w:val="21"/>
                <w:szCs w:val="21"/>
              </w:rPr>
            </w:pPr>
          </w:p>
        </w:tc>
      </w:tr>
      <w:tr w14:paraId="09FE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48E9CB5">
            <w:pPr>
              <w:widowControl/>
              <w:adjustRightInd w:val="0"/>
              <w:spacing w:line="240" w:lineRule="auto"/>
              <w:ind w:firstLine="0" w:firstLineChars="0"/>
              <w:contextualSpacing/>
              <w:jc w:val="center"/>
              <w:rPr>
                <w:rFonts w:cs="Times New Roman"/>
                <w:sz w:val="21"/>
                <w:szCs w:val="21"/>
              </w:rPr>
            </w:pPr>
            <w:r>
              <w:rPr>
                <w:rFonts w:hint="eastAsia"/>
                <w:color w:val="000000"/>
                <w:sz w:val="22"/>
              </w:rPr>
              <w:t>107</w:t>
            </w:r>
          </w:p>
        </w:tc>
        <w:tc>
          <w:tcPr>
            <w:tcW w:w="973" w:type="pct"/>
            <w:vMerge w:val="continue"/>
            <w:vAlign w:val="center"/>
          </w:tcPr>
          <w:p w14:paraId="4E1EB72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B642BA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头道沟</w:t>
            </w:r>
          </w:p>
        </w:tc>
        <w:tc>
          <w:tcPr>
            <w:tcW w:w="973" w:type="pct"/>
          </w:tcPr>
          <w:p w14:paraId="1CEA93A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E2E8704">
            <w:pPr>
              <w:widowControl/>
              <w:adjustRightInd w:val="0"/>
              <w:spacing w:line="240" w:lineRule="auto"/>
              <w:ind w:firstLine="0" w:firstLineChars="0"/>
              <w:contextualSpacing/>
              <w:jc w:val="center"/>
              <w:rPr>
                <w:rFonts w:cs="Times New Roman"/>
                <w:sz w:val="21"/>
                <w:szCs w:val="21"/>
              </w:rPr>
            </w:pPr>
          </w:p>
        </w:tc>
      </w:tr>
      <w:tr w14:paraId="15FA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4200AE9">
            <w:pPr>
              <w:widowControl/>
              <w:adjustRightInd w:val="0"/>
              <w:spacing w:line="240" w:lineRule="auto"/>
              <w:ind w:firstLine="0" w:firstLineChars="0"/>
              <w:contextualSpacing/>
              <w:jc w:val="center"/>
              <w:rPr>
                <w:rFonts w:cs="Times New Roman"/>
                <w:sz w:val="21"/>
                <w:szCs w:val="21"/>
              </w:rPr>
            </w:pPr>
            <w:r>
              <w:rPr>
                <w:rFonts w:hint="eastAsia"/>
                <w:color w:val="000000"/>
                <w:sz w:val="22"/>
              </w:rPr>
              <w:t>108</w:t>
            </w:r>
          </w:p>
        </w:tc>
        <w:tc>
          <w:tcPr>
            <w:tcW w:w="973" w:type="pct"/>
            <w:vMerge w:val="continue"/>
            <w:vAlign w:val="center"/>
          </w:tcPr>
          <w:p w14:paraId="5C4F381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62824C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通天沟</w:t>
            </w:r>
          </w:p>
        </w:tc>
        <w:tc>
          <w:tcPr>
            <w:tcW w:w="973" w:type="pct"/>
          </w:tcPr>
          <w:p w14:paraId="2D1785E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A792E82">
            <w:pPr>
              <w:widowControl/>
              <w:adjustRightInd w:val="0"/>
              <w:spacing w:line="240" w:lineRule="auto"/>
              <w:ind w:firstLine="0" w:firstLineChars="0"/>
              <w:contextualSpacing/>
              <w:jc w:val="center"/>
              <w:rPr>
                <w:rFonts w:cs="Times New Roman"/>
                <w:sz w:val="21"/>
                <w:szCs w:val="21"/>
              </w:rPr>
            </w:pPr>
          </w:p>
        </w:tc>
      </w:tr>
      <w:tr w14:paraId="4BF3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7251EB7">
            <w:pPr>
              <w:widowControl/>
              <w:adjustRightInd w:val="0"/>
              <w:spacing w:line="240" w:lineRule="auto"/>
              <w:ind w:firstLine="0" w:firstLineChars="0"/>
              <w:contextualSpacing/>
              <w:jc w:val="center"/>
              <w:rPr>
                <w:rFonts w:cs="Times New Roman"/>
                <w:sz w:val="21"/>
                <w:szCs w:val="21"/>
              </w:rPr>
            </w:pPr>
            <w:r>
              <w:rPr>
                <w:rFonts w:hint="eastAsia"/>
                <w:color w:val="000000"/>
                <w:sz w:val="22"/>
              </w:rPr>
              <w:t>109</w:t>
            </w:r>
          </w:p>
        </w:tc>
        <w:tc>
          <w:tcPr>
            <w:tcW w:w="973" w:type="pct"/>
            <w:vMerge w:val="restart"/>
            <w:vAlign w:val="center"/>
          </w:tcPr>
          <w:p w14:paraId="26182ABF">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川里村</w:t>
            </w:r>
          </w:p>
        </w:tc>
        <w:tc>
          <w:tcPr>
            <w:tcW w:w="973" w:type="pct"/>
            <w:vAlign w:val="bottom"/>
          </w:tcPr>
          <w:p w14:paraId="082CBA2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老人沟</w:t>
            </w:r>
          </w:p>
        </w:tc>
        <w:tc>
          <w:tcPr>
            <w:tcW w:w="973" w:type="pct"/>
          </w:tcPr>
          <w:p w14:paraId="36EF338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19994F2">
            <w:pPr>
              <w:widowControl/>
              <w:adjustRightInd w:val="0"/>
              <w:spacing w:line="240" w:lineRule="auto"/>
              <w:ind w:firstLine="0" w:firstLineChars="0"/>
              <w:contextualSpacing/>
              <w:jc w:val="center"/>
              <w:rPr>
                <w:rFonts w:cs="Times New Roman"/>
                <w:sz w:val="21"/>
                <w:szCs w:val="21"/>
              </w:rPr>
            </w:pPr>
          </w:p>
        </w:tc>
      </w:tr>
      <w:tr w14:paraId="2619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3A1B7E2">
            <w:pPr>
              <w:widowControl/>
              <w:adjustRightInd w:val="0"/>
              <w:spacing w:line="240" w:lineRule="auto"/>
              <w:ind w:firstLine="0" w:firstLineChars="0"/>
              <w:contextualSpacing/>
              <w:jc w:val="center"/>
              <w:rPr>
                <w:rFonts w:cs="Times New Roman"/>
                <w:sz w:val="21"/>
                <w:szCs w:val="21"/>
              </w:rPr>
            </w:pPr>
            <w:r>
              <w:rPr>
                <w:rFonts w:hint="eastAsia"/>
                <w:color w:val="000000"/>
                <w:sz w:val="22"/>
              </w:rPr>
              <w:t>110</w:t>
            </w:r>
          </w:p>
        </w:tc>
        <w:tc>
          <w:tcPr>
            <w:tcW w:w="973" w:type="pct"/>
            <w:vMerge w:val="continue"/>
            <w:vAlign w:val="center"/>
          </w:tcPr>
          <w:p w14:paraId="4E18390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24FEEC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刘家沟</w:t>
            </w:r>
          </w:p>
        </w:tc>
        <w:tc>
          <w:tcPr>
            <w:tcW w:w="973" w:type="pct"/>
          </w:tcPr>
          <w:p w14:paraId="1F86FA3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83AE2BC">
            <w:pPr>
              <w:widowControl/>
              <w:adjustRightInd w:val="0"/>
              <w:spacing w:line="240" w:lineRule="auto"/>
              <w:ind w:firstLine="0" w:firstLineChars="0"/>
              <w:contextualSpacing/>
              <w:jc w:val="center"/>
              <w:rPr>
                <w:rFonts w:cs="Times New Roman"/>
                <w:sz w:val="21"/>
                <w:szCs w:val="21"/>
              </w:rPr>
            </w:pPr>
          </w:p>
        </w:tc>
      </w:tr>
      <w:tr w14:paraId="4A42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855458B">
            <w:pPr>
              <w:widowControl/>
              <w:adjustRightInd w:val="0"/>
              <w:spacing w:line="240" w:lineRule="auto"/>
              <w:ind w:firstLine="0" w:firstLineChars="0"/>
              <w:contextualSpacing/>
              <w:jc w:val="center"/>
              <w:rPr>
                <w:rFonts w:cs="Times New Roman"/>
                <w:sz w:val="21"/>
                <w:szCs w:val="21"/>
              </w:rPr>
            </w:pPr>
            <w:r>
              <w:rPr>
                <w:rFonts w:hint="eastAsia"/>
                <w:color w:val="000000"/>
                <w:sz w:val="22"/>
              </w:rPr>
              <w:t>111</w:t>
            </w:r>
          </w:p>
        </w:tc>
        <w:tc>
          <w:tcPr>
            <w:tcW w:w="973" w:type="pct"/>
            <w:vMerge w:val="continue"/>
            <w:vAlign w:val="center"/>
          </w:tcPr>
          <w:p w14:paraId="6A599E4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B1A70F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猪圈子沟</w:t>
            </w:r>
          </w:p>
        </w:tc>
        <w:tc>
          <w:tcPr>
            <w:tcW w:w="973" w:type="pct"/>
          </w:tcPr>
          <w:p w14:paraId="106BDB9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4D4FEDD">
            <w:pPr>
              <w:widowControl/>
              <w:adjustRightInd w:val="0"/>
              <w:spacing w:line="240" w:lineRule="auto"/>
              <w:ind w:firstLine="0" w:firstLineChars="0"/>
              <w:contextualSpacing/>
              <w:jc w:val="center"/>
              <w:rPr>
                <w:rFonts w:cs="Times New Roman"/>
                <w:sz w:val="21"/>
                <w:szCs w:val="21"/>
              </w:rPr>
            </w:pPr>
          </w:p>
        </w:tc>
      </w:tr>
      <w:tr w14:paraId="39AD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53FFDE1">
            <w:pPr>
              <w:widowControl/>
              <w:adjustRightInd w:val="0"/>
              <w:spacing w:line="240" w:lineRule="auto"/>
              <w:ind w:firstLine="0" w:firstLineChars="0"/>
              <w:contextualSpacing/>
              <w:jc w:val="center"/>
              <w:rPr>
                <w:rFonts w:cs="Times New Roman"/>
                <w:sz w:val="21"/>
                <w:szCs w:val="21"/>
              </w:rPr>
            </w:pPr>
            <w:r>
              <w:rPr>
                <w:rFonts w:hint="eastAsia"/>
                <w:color w:val="000000"/>
                <w:sz w:val="22"/>
              </w:rPr>
              <w:t>112</w:t>
            </w:r>
          </w:p>
        </w:tc>
        <w:tc>
          <w:tcPr>
            <w:tcW w:w="973" w:type="pct"/>
            <w:vMerge w:val="continue"/>
            <w:vAlign w:val="center"/>
          </w:tcPr>
          <w:p w14:paraId="62FB938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857865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砍椽子沟</w:t>
            </w:r>
          </w:p>
        </w:tc>
        <w:tc>
          <w:tcPr>
            <w:tcW w:w="973" w:type="pct"/>
          </w:tcPr>
          <w:p w14:paraId="00CACCA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F1A9402">
            <w:pPr>
              <w:widowControl/>
              <w:adjustRightInd w:val="0"/>
              <w:spacing w:line="240" w:lineRule="auto"/>
              <w:ind w:firstLine="0" w:firstLineChars="0"/>
              <w:contextualSpacing/>
              <w:jc w:val="center"/>
              <w:rPr>
                <w:rFonts w:cs="Times New Roman"/>
                <w:sz w:val="21"/>
                <w:szCs w:val="21"/>
              </w:rPr>
            </w:pPr>
          </w:p>
        </w:tc>
      </w:tr>
      <w:tr w14:paraId="4A52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FCE3368">
            <w:pPr>
              <w:widowControl/>
              <w:adjustRightInd w:val="0"/>
              <w:spacing w:line="240" w:lineRule="auto"/>
              <w:ind w:firstLine="0" w:firstLineChars="0"/>
              <w:contextualSpacing/>
              <w:jc w:val="center"/>
              <w:rPr>
                <w:rFonts w:cs="Times New Roman"/>
                <w:sz w:val="21"/>
                <w:szCs w:val="21"/>
              </w:rPr>
            </w:pPr>
            <w:r>
              <w:rPr>
                <w:rFonts w:hint="eastAsia"/>
                <w:color w:val="000000"/>
                <w:sz w:val="22"/>
              </w:rPr>
              <w:t>113</w:t>
            </w:r>
          </w:p>
        </w:tc>
        <w:tc>
          <w:tcPr>
            <w:tcW w:w="973" w:type="pct"/>
            <w:vMerge w:val="continue"/>
            <w:vAlign w:val="center"/>
          </w:tcPr>
          <w:p w14:paraId="6496E03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B248A1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半截沟</w:t>
            </w:r>
          </w:p>
        </w:tc>
        <w:tc>
          <w:tcPr>
            <w:tcW w:w="973" w:type="pct"/>
          </w:tcPr>
          <w:p w14:paraId="13D2E56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CB79815">
            <w:pPr>
              <w:widowControl/>
              <w:adjustRightInd w:val="0"/>
              <w:spacing w:line="240" w:lineRule="auto"/>
              <w:ind w:firstLine="0" w:firstLineChars="0"/>
              <w:contextualSpacing/>
              <w:jc w:val="center"/>
              <w:rPr>
                <w:rFonts w:cs="Times New Roman"/>
                <w:sz w:val="21"/>
                <w:szCs w:val="21"/>
              </w:rPr>
            </w:pPr>
          </w:p>
        </w:tc>
      </w:tr>
      <w:tr w14:paraId="3916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9DCE52E">
            <w:pPr>
              <w:widowControl/>
              <w:adjustRightInd w:val="0"/>
              <w:spacing w:line="240" w:lineRule="auto"/>
              <w:ind w:firstLine="0" w:firstLineChars="0"/>
              <w:contextualSpacing/>
              <w:jc w:val="center"/>
              <w:rPr>
                <w:rFonts w:cs="Times New Roman"/>
                <w:sz w:val="21"/>
                <w:szCs w:val="21"/>
              </w:rPr>
            </w:pPr>
            <w:r>
              <w:rPr>
                <w:rFonts w:hint="eastAsia"/>
                <w:color w:val="000000"/>
                <w:sz w:val="22"/>
              </w:rPr>
              <w:t>114</w:t>
            </w:r>
          </w:p>
        </w:tc>
        <w:tc>
          <w:tcPr>
            <w:tcW w:w="973" w:type="pct"/>
            <w:vMerge w:val="continue"/>
            <w:vAlign w:val="center"/>
          </w:tcPr>
          <w:p w14:paraId="3A50DF9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B9E817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大北沟</w:t>
            </w:r>
          </w:p>
        </w:tc>
        <w:tc>
          <w:tcPr>
            <w:tcW w:w="973" w:type="pct"/>
          </w:tcPr>
          <w:p w14:paraId="1AD8A0D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3A0562B">
            <w:pPr>
              <w:widowControl/>
              <w:adjustRightInd w:val="0"/>
              <w:spacing w:line="240" w:lineRule="auto"/>
              <w:ind w:firstLine="0" w:firstLineChars="0"/>
              <w:contextualSpacing/>
              <w:jc w:val="center"/>
              <w:rPr>
                <w:rFonts w:cs="Times New Roman"/>
                <w:sz w:val="21"/>
                <w:szCs w:val="21"/>
              </w:rPr>
            </w:pPr>
          </w:p>
        </w:tc>
      </w:tr>
      <w:tr w14:paraId="0437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BF59B78">
            <w:pPr>
              <w:widowControl/>
              <w:adjustRightInd w:val="0"/>
              <w:spacing w:line="240" w:lineRule="auto"/>
              <w:ind w:firstLine="0" w:firstLineChars="0"/>
              <w:contextualSpacing/>
              <w:jc w:val="center"/>
              <w:rPr>
                <w:rFonts w:cs="Times New Roman"/>
                <w:sz w:val="21"/>
                <w:szCs w:val="21"/>
              </w:rPr>
            </w:pPr>
            <w:r>
              <w:rPr>
                <w:rFonts w:hint="eastAsia"/>
                <w:color w:val="000000"/>
                <w:sz w:val="22"/>
              </w:rPr>
              <w:t>115</w:t>
            </w:r>
          </w:p>
        </w:tc>
        <w:tc>
          <w:tcPr>
            <w:tcW w:w="973" w:type="pct"/>
            <w:vMerge w:val="continue"/>
            <w:vAlign w:val="center"/>
          </w:tcPr>
          <w:p w14:paraId="085A1C1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3F5765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钓鱼台</w:t>
            </w:r>
          </w:p>
        </w:tc>
        <w:tc>
          <w:tcPr>
            <w:tcW w:w="973" w:type="pct"/>
          </w:tcPr>
          <w:p w14:paraId="7ACA312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9CCE343">
            <w:pPr>
              <w:widowControl/>
              <w:adjustRightInd w:val="0"/>
              <w:spacing w:line="240" w:lineRule="auto"/>
              <w:ind w:firstLine="0" w:firstLineChars="0"/>
              <w:contextualSpacing/>
              <w:jc w:val="center"/>
              <w:rPr>
                <w:rFonts w:cs="Times New Roman"/>
                <w:sz w:val="21"/>
                <w:szCs w:val="21"/>
              </w:rPr>
            </w:pPr>
          </w:p>
        </w:tc>
      </w:tr>
      <w:tr w14:paraId="50EA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9AF1105">
            <w:pPr>
              <w:widowControl/>
              <w:adjustRightInd w:val="0"/>
              <w:spacing w:line="240" w:lineRule="auto"/>
              <w:ind w:firstLine="0" w:firstLineChars="0"/>
              <w:contextualSpacing/>
              <w:jc w:val="center"/>
              <w:rPr>
                <w:rFonts w:cs="Times New Roman"/>
                <w:sz w:val="21"/>
                <w:szCs w:val="21"/>
              </w:rPr>
            </w:pPr>
            <w:r>
              <w:rPr>
                <w:rFonts w:hint="eastAsia"/>
                <w:color w:val="000000"/>
                <w:sz w:val="22"/>
              </w:rPr>
              <w:t>116</w:t>
            </w:r>
          </w:p>
        </w:tc>
        <w:tc>
          <w:tcPr>
            <w:tcW w:w="973" w:type="pct"/>
            <w:vMerge w:val="continue"/>
            <w:vAlign w:val="center"/>
          </w:tcPr>
          <w:p w14:paraId="2C2CDFD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093C14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小北沟</w:t>
            </w:r>
          </w:p>
        </w:tc>
        <w:tc>
          <w:tcPr>
            <w:tcW w:w="973" w:type="pct"/>
          </w:tcPr>
          <w:p w14:paraId="4F698A0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EE1A103">
            <w:pPr>
              <w:widowControl/>
              <w:adjustRightInd w:val="0"/>
              <w:spacing w:line="240" w:lineRule="auto"/>
              <w:ind w:firstLine="0" w:firstLineChars="0"/>
              <w:contextualSpacing/>
              <w:jc w:val="center"/>
              <w:rPr>
                <w:rFonts w:cs="Times New Roman"/>
                <w:sz w:val="21"/>
                <w:szCs w:val="21"/>
              </w:rPr>
            </w:pPr>
          </w:p>
        </w:tc>
      </w:tr>
      <w:tr w14:paraId="7AB7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91B0F19">
            <w:pPr>
              <w:widowControl/>
              <w:adjustRightInd w:val="0"/>
              <w:spacing w:line="240" w:lineRule="auto"/>
              <w:ind w:firstLine="0" w:firstLineChars="0"/>
              <w:contextualSpacing/>
              <w:jc w:val="center"/>
              <w:rPr>
                <w:rFonts w:cs="Times New Roman"/>
                <w:sz w:val="21"/>
                <w:szCs w:val="21"/>
              </w:rPr>
            </w:pPr>
            <w:r>
              <w:rPr>
                <w:rFonts w:hint="eastAsia"/>
                <w:color w:val="000000"/>
                <w:sz w:val="22"/>
              </w:rPr>
              <w:t>117</w:t>
            </w:r>
          </w:p>
        </w:tc>
        <w:tc>
          <w:tcPr>
            <w:tcW w:w="973" w:type="pct"/>
            <w:vMerge w:val="continue"/>
            <w:vAlign w:val="center"/>
          </w:tcPr>
          <w:p w14:paraId="7E1F228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B7D475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松子仁沟</w:t>
            </w:r>
          </w:p>
        </w:tc>
        <w:tc>
          <w:tcPr>
            <w:tcW w:w="973" w:type="pct"/>
          </w:tcPr>
          <w:p w14:paraId="6027102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5A37472">
            <w:pPr>
              <w:widowControl/>
              <w:adjustRightInd w:val="0"/>
              <w:spacing w:line="240" w:lineRule="auto"/>
              <w:ind w:firstLine="0" w:firstLineChars="0"/>
              <w:contextualSpacing/>
              <w:jc w:val="center"/>
              <w:rPr>
                <w:rFonts w:cs="Times New Roman"/>
                <w:sz w:val="21"/>
                <w:szCs w:val="21"/>
              </w:rPr>
            </w:pPr>
          </w:p>
        </w:tc>
      </w:tr>
      <w:tr w14:paraId="1663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BE63C3C">
            <w:pPr>
              <w:widowControl/>
              <w:adjustRightInd w:val="0"/>
              <w:spacing w:line="240" w:lineRule="auto"/>
              <w:ind w:firstLine="0" w:firstLineChars="0"/>
              <w:contextualSpacing/>
              <w:jc w:val="center"/>
              <w:rPr>
                <w:rFonts w:cs="Times New Roman"/>
                <w:sz w:val="21"/>
                <w:szCs w:val="21"/>
              </w:rPr>
            </w:pPr>
            <w:r>
              <w:rPr>
                <w:rFonts w:hint="eastAsia"/>
                <w:color w:val="000000"/>
                <w:sz w:val="22"/>
              </w:rPr>
              <w:t>118</w:t>
            </w:r>
          </w:p>
        </w:tc>
        <w:tc>
          <w:tcPr>
            <w:tcW w:w="973" w:type="pct"/>
            <w:vMerge w:val="continue"/>
            <w:vAlign w:val="center"/>
          </w:tcPr>
          <w:p w14:paraId="2AA1A0F1">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5A7FA8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小松子仁沟</w:t>
            </w:r>
          </w:p>
        </w:tc>
        <w:tc>
          <w:tcPr>
            <w:tcW w:w="973" w:type="pct"/>
          </w:tcPr>
          <w:p w14:paraId="68437AC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FCA7E7B">
            <w:pPr>
              <w:widowControl/>
              <w:adjustRightInd w:val="0"/>
              <w:spacing w:line="240" w:lineRule="auto"/>
              <w:ind w:firstLine="0" w:firstLineChars="0"/>
              <w:contextualSpacing/>
              <w:jc w:val="center"/>
              <w:rPr>
                <w:rFonts w:cs="Times New Roman"/>
                <w:sz w:val="21"/>
                <w:szCs w:val="21"/>
              </w:rPr>
            </w:pPr>
          </w:p>
        </w:tc>
      </w:tr>
      <w:tr w14:paraId="40D1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694BE59">
            <w:pPr>
              <w:widowControl/>
              <w:adjustRightInd w:val="0"/>
              <w:spacing w:line="240" w:lineRule="auto"/>
              <w:ind w:firstLine="0" w:firstLineChars="0"/>
              <w:contextualSpacing/>
              <w:jc w:val="center"/>
              <w:rPr>
                <w:rFonts w:cs="Times New Roman"/>
                <w:sz w:val="21"/>
                <w:szCs w:val="21"/>
              </w:rPr>
            </w:pPr>
            <w:r>
              <w:rPr>
                <w:rFonts w:hint="eastAsia"/>
                <w:color w:val="000000"/>
                <w:sz w:val="22"/>
              </w:rPr>
              <w:t>119</w:t>
            </w:r>
          </w:p>
        </w:tc>
        <w:tc>
          <w:tcPr>
            <w:tcW w:w="973" w:type="pct"/>
            <w:vMerge w:val="continue"/>
            <w:vAlign w:val="center"/>
          </w:tcPr>
          <w:p w14:paraId="43574D7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743FF9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川里村</w:t>
            </w:r>
          </w:p>
        </w:tc>
        <w:tc>
          <w:tcPr>
            <w:tcW w:w="973" w:type="pct"/>
          </w:tcPr>
          <w:p w14:paraId="56B0F52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DB9ED4D">
            <w:pPr>
              <w:widowControl/>
              <w:adjustRightInd w:val="0"/>
              <w:spacing w:line="240" w:lineRule="auto"/>
              <w:ind w:firstLine="0" w:firstLineChars="0"/>
              <w:contextualSpacing/>
              <w:jc w:val="center"/>
              <w:rPr>
                <w:rFonts w:cs="Times New Roman"/>
                <w:sz w:val="21"/>
                <w:szCs w:val="21"/>
              </w:rPr>
            </w:pPr>
          </w:p>
        </w:tc>
      </w:tr>
      <w:tr w14:paraId="490D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0466261">
            <w:pPr>
              <w:widowControl/>
              <w:adjustRightInd w:val="0"/>
              <w:spacing w:line="240" w:lineRule="auto"/>
              <w:ind w:firstLine="0" w:firstLineChars="0"/>
              <w:contextualSpacing/>
              <w:jc w:val="center"/>
              <w:rPr>
                <w:rFonts w:cs="Times New Roman"/>
                <w:sz w:val="21"/>
                <w:szCs w:val="21"/>
              </w:rPr>
            </w:pPr>
            <w:r>
              <w:rPr>
                <w:rFonts w:hint="eastAsia"/>
                <w:color w:val="000000"/>
                <w:sz w:val="22"/>
              </w:rPr>
              <w:t>120</w:t>
            </w:r>
          </w:p>
        </w:tc>
        <w:tc>
          <w:tcPr>
            <w:tcW w:w="973" w:type="pct"/>
            <w:vMerge w:val="continue"/>
            <w:vAlign w:val="center"/>
          </w:tcPr>
          <w:p w14:paraId="67390864">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203C66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小木掀头沟</w:t>
            </w:r>
          </w:p>
        </w:tc>
        <w:tc>
          <w:tcPr>
            <w:tcW w:w="973" w:type="pct"/>
          </w:tcPr>
          <w:p w14:paraId="35DF7B1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9811B9B">
            <w:pPr>
              <w:widowControl/>
              <w:adjustRightInd w:val="0"/>
              <w:spacing w:line="240" w:lineRule="auto"/>
              <w:ind w:firstLine="0" w:firstLineChars="0"/>
              <w:contextualSpacing/>
              <w:jc w:val="center"/>
              <w:rPr>
                <w:rFonts w:cs="Times New Roman"/>
                <w:sz w:val="21"/>
                <w:szCs w:val="21"/>
              </w:rPr>
            </w:pPr>
          </w:p>
        </w:tc>
      </w:tr>
      <w:tr w14:paraId="7A6C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2E26765">
            <w:pPr>
              <w:widowControl/>
              <w:adjustRightInd w:val="0"/>
              <w:spacing w:line="240" w:lineRule="auto"/>
              <w:ind w:firstLine="0" w:firstLineChars="0"/>
              <w:contextualSpacing/>
              <w:jc w:val="center"/>
              <w:rPr>
                <w:rFonts w:cs="Times New Roman"/>
                <w:sz w:val="21"/>
                <w:szCs w:val="21"/>
              </w:rPr>
            </w:pPr>
            <w:r>
              <w:rPr>
                <w:rFonts w:hint="eastAsia"/>
                <w:color w:val="000000"/>
                <w:sz w:val="22"/>
              </w:rPr>
              <w:t>121</w:t>
            </w:r>
          </w:p>
        </w:tc>
        <w:tc>
          <w:tcPr>
            <w:tcW w:w="973" w:type="pct"/>
            <w:vMerge w:val="continue"/>
            <w:vAlign w:val="center"/>
          </w:tcPr>
          <w:p w14:paraId="12A5568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BF51B6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谷草垛沟</w:t>
            </w:r>
          </w:p>
        </w:tc>
        <w:tc>
          <w:tcPr>
            <w:tcW w:w="973" w:type="pct"/>
          </w:tcPr>
          <w:p w14:paraId="352A597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4B76361">
            <w:pPr>
              <w:widowControl/>
              <w:adjustRightInd w:val="0"/>
              <w:spacing w:line="240" w:lineRule="auto"/>
              <w:ind w:firstLine="0" w:firstLineChars="0"/>
              <w:contextualSpacing/>
              <w:jc w:val="center"/>
              <w:rPr>
                <w:rFonts w:cs="Times New Roman"/>
                <w:sz w:val="21"/>
                <w:szCs w:val="21"/>
              </w:rPr>
            </w:pPr>
          </w:p>
        </w:tc>
      </w:tr>
      <w:tr w14:paraId="0EBB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8D42DEF">
            <w:pPr>
              <w:widowControl/>
              <w:adjustRightInd w:val="0"/>
              <w:spacing w:line="240" w:lineRule="auto"/>
              <w:ind w:firstLine="0" w:firstLineChars="0"/>
              <w:contextualSpacing/>
              <w:jc w:val="center"/>
              <w:rPr>
                <w:rFonts w:cs="Times New Roman"/>
                <w:sz w:val="21"/>
                <w:szCs w:val="21"/>
              </w:rPr>
            </w:pPr>
            <w:r>
              <w:rPr>
                <w:rFonts w:hint="eastAsia"/>
                <w:color w:val="000000"/>
                <w:sz w:val="22"/>
              </w:rPr>
              <w:t>122</w:t>
            </w:r>
          </w:p>
        </w:tc>
        <w:tc>
          <w:tcPr>
            <w:tcW w:w="973" w:type="pct"/>
            <w:vMerge w:val="continue"/>
            <w:vAlign w:val="center"/>
          </w:tcPr>
          <w:p w14:paraId="6EF2E1F1">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6D2DCA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小老营沟</w:t>
            </w:r>
          </w:p>
        </w:tc>
        <w:tc>
          <w:tcPr>
            <w:tcW w:w="973" w:type="pct"/>
          </w:tcPr>
          <w:p w14:paraId="1266CC8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CC222C1">
            <w:pPr>
              <w:widowControl/>
              <w:adjustRightInd w:val="0"/>
              <w:spacing w:line="240" w:lineRule="auto"/>
              <w:ind w:firstLine="0" w:firstLineChars="0"/>
              <w:contextualSpacing/>
              <w:jc w:val="center"/>
              <w:rPr>
                <w:rFonts w:cs="Times New Roman"/>
                <w:sz w:val="21"/>
                <w:szCs w:val="21"/>
              </w:rPr>
            </w:pPr>
          </w:p>
        </w:tc>
      </w:tr>
      <w:tr w14:paraId="0ECD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D17FF61">
            <w:pPr>
              <w:widowControl/>
              <w:adjustRightInd w:val="0"/>
              <w:spacing w:line="240" w:lineRule="auto"/>
              <w:ind w:firstLine="0" w:firstLineChars="0"/>
              <w:contextualSpacing/>
              <w:jc w:val="center"/>
              <w:rPr>
                <w:rFonts w:cs="Times New Roman"/>
                <w:sz w:val="21"/>
                <w:szCs w:val="21"/>
              </w:rPr>
            </w:pPr>
            <w:r>
              <w:rPr>
                <w:rFonts w:hint="eastAsia"/>
                <w:color w:val="000000"/>
                <w:sz w:val="22"/>
              </w:rPr>
              <w:t>123</w:t>
            </w:r>
          </w:p>
        </w:tc>
        <w:tc>
          <w:tcPr>
            <w:tcW w:w="973" w:type="pct"/>
            <w:vMerge w:val="continue"/>
            <w:vAlign w:val="center"/>
          </w:tcPr>
          <w:p w14:paraId="7CAD0E8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613D05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大木掀头沟</w:t>
            </w:r>
          </w:p>
        </w:tc>
        <w:tc>
          <w:tcPr>
            <w:tcW w:w="973" w:type="pct"/>
          </w:tcPr>
          <w:p w14:paraId="112BD44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97C40C6">
            <w:pPr>
              <w:widowControl/>
              <w:adjustRightInd w:val="0"/>
              <w:spacing w:line="240" w:lineRule="auto"/>
              <w:ind w:firstLine="0" w:firstLineChars="0"/>
              <w:contextualSpacing/>
              <w:jc w:val="center"/>
              <w:rPr>
                <w:rFonts w:cs="Times New Roman"/>
                <w:sz w:val="21"/>
                <w:szCs w:val="21"/>
              </w:rPr>
            </w:pPr>
          </w:p>
        </w:tc>
      </w:tr>
      <w:tr w14:paraId="0A46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8091E28">
            <w:pPr>
              <w:widowControl/>
              <w:adjustRightInd w:val="0"/>
              <w:spacing w:line="240" w:lineRule="auto"/>
              <w:ind w:firstLine="0" w:firstLineChars="0"/>
              <w:contextualSpacing/>
              <w:jc w:val="center"/>
              <w:rPr>
                <w:rFonts w:cs="Times New Roman"/>
                <w:sz w:val="21"/>
                <w:szCs w:val="21"/>
              </w:rPr>
            </w:pPr>
            <w:r>
              <w:rPr>
                <w:rFonts w:hint="eastAsia"/>
                <w:color w:val="000000"/>
                <w:sz w:val="22"/>
              </w:rPr>
              <w:t>124</w:t>
            </w:r>
          </w:p>
        </w:tc>
        <w:tc>
          <w:tcPr>
            <w:tcW w:w="973" w:type="pct"/>
            <w:vMerge w:val="continue"/>
            <w:vAlign w:val="center"/>
          </w:tcPr>
          <w:p w14:paraId="60D6890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153704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黑石头沟</w:t>
            </w:r>
          </w:p>
        </w:tc>
        <w:tc>
          <w:tcPr>
            <w:tcW w:w="973" w:type="pct"/>
          </w:tcPr>
          <w:p w14:paraId="1906A65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F271B16">
            <w:pPr>
              <w:widowControl/>
              <w:adjustRightInd w:val="0"/>
              <w:spacing w:line="240" w:lineRule="auto"/>
              <w:ind w:firstLine="0" w:firstLineChars="0"/>
              <w:contextualSpacing/>
              <w:jc w:val="center"/>
              <w:rPr>
                <w:rFonts w:cs="Times New Roman"/>
                <w:sz w:val="21"/>
                <w:szCs w:val="21"/>
              </w:rPr>
            </w:pPr>
          </w:p>
        </w:tc>
      </w:tr>
      <w:tr w14:paraId="5604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F1FE191">
            <w:pPr>
              <w:widowControl/>
              <w:adjustRightInd w:val="0"/>
              <w:spacing w:line="240" w:lineRule="auto"/>
              <w:ind w:firstLine="0" w:firstLineChars="0"/>
              <w:contextualSpacing/>
              <w:jc w:val="center"/>
              <w:rPr>
                <w:rFonts w:cs="Times New Roman"/>
                <w:sz w:val="21"/>
                <w:szCs w:val="21"/>
              </w:rPr>
            </w:pPr>
            <w:r>
              <w:rPr>
                <w:rFonts w:hint="eastAsia"/>
                <w:color w:val="000000"/>
                <w:sz w:val="22"/>
              </w:rPr>
              <w:t>125</w:t>
            </w:r>
          </w:p>
        </w:tc>
        <w:tc>
          <w:tcPr>
            <w:tcW w:w="973" w:type="pct"/>
            <w:vMerge w:val="continue"/>
            <w:vAlign w:val="center"/>
          </w:tcPr>
          <w:p w14:paraId="651D618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3342AF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老营沟门</w:t>
            </w:r>
          </w:p>
        </w:tc>
        <w:tc>
          <w:tcPr>
            <w:tcW w:w="973" w:type="pct"/>
          </w:tcPr>
          <w:p w14:paraId="7360861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905FE92">
            <w:pPr>
              <w:widowControl/>
              <w:adjustRightInd w:val="0"/>
              <w:spacing w:line="240" w:lineRule="auto"/>
              <w:ind w:firstLine="0" w:firstLineChars="0"/>
              <w:contextualSpacing/>
              <w:jc w:val="center"/>
              <w:rPr>
                <w:rFonts w:cs="Times New Roman"/>
                <w:sz w:val="21"/>
                <w:szCs w:val="21"/>
              </w:rPr>
            </w:pPr>
          </w:p>
        </w:tc>
      </w:tr>
      <w:tr w14:paraId="2ACC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29709ED">
            <w:pPr>
              <w:widowControl/>
              <w:adjustRightInd w:val="0"/>
              <w:spacing w:line="240" w:lineRule="auto"/>
              <w:ind w:firstLine="0" w:firstLineChars="0"/>
              <w:contextualSpacing/>
              <w:jc w:val="center"/>
              <w:rPr>
                <w:rFonts w:cs="Times New Roman"/>
                <w:sz w:val="21"/>
                <w:szCs w:val="21"/>
              </w:rPr>
            </w:pPr>
            <w:r>
              <w:rPr>
                <w:rFonts w:hint="eastAsia"/>
                <w:color w:val="000000"/>
                <w:sz w:val="22"/>
              </w:rPr>
              <w:t>126</w:t>
            </w:r>
          </w:p>
        </w:tc>
        <w:tc>
          <w:tcPr>
            <w:tcW w:w="973" w:type="pct"/>
            <w:vMerge w:val="continue"/>
            <w:vAlign w:val="center"/>
          </w:tcPr>
          <w:p w14:paraId="2764B2F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D32C74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大砬子沟</w:t>
            </w:r>
          </w:p>
        </w:tc>
        <w:tc>
          <w:tcPr>
            <w:tcW w:w="973" w:type="pct"/>
          </w:tcPr>
          <w:p w14:paraId="00130FC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6515F91">
            <w:pPr>
              <w:widowControl/>
              <w:adjustRightInd w:val="0"/>
              <w:spacing w:line="240" w:lineRule="auto"/>
              <w:ind w:firstLine="0" w:firstLineChars="0"/>
              <w:contextualSpacing/>
              <w:jc w:val="center"/>
              <w:rPr>
                <w:rFonts w:cs="Times New Roman"/>
                <w:sz w:val="21"/>
                <w:szCs w:val="21"/>
              </w:rPr>
            </w:pPr>
          </w:p>
        </w:tc>
      </w:tr>
      <w:tr w14:paraId="4C5C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86BE053">
            <w:pPr>
              <w:widowControl/>
              <w:adjustRightInd w:val="0"/>
              <w:spacing w:line="240" w:lineRule="auto"/>
              <w:ind w:firstLine="0" w:firstLineChars="0"/>
              <w:contextualSpacing/>
              <w:jc w:val="center"/>
              <w:rPr>
                <w:rFonts w:cs="Times New Roman"/>
                <w:sz w:val="21"/>
                <w:szCs w:val="21"/>
              </w:rPr>
            </w:pPr>
            <w:r>
              <w:rPr>
                <w:rFonts w:hint="eastAsia"/>
                <w:color w:val="000000"/>
                <w:sz w:val="22"/>
              </w:rPr>
              <w:t>127</w:t>
            </w:r>
          </w:p>
        </w:tc>
        <w:tc>
          <w:tcPr>
            <w:tcW w:w="973" w:type="pct"/>
            <w:vMerge w:val="continue"/>
            <w:vAlign w:val="center"/>
          </w:tcPr>
          <w:p w14:paraId="5D89BDD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84504A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小砬子沟</w:t>
            </w:r>
          </w:p>
        </w:tc>
        <w:tc>
          <w:tcPr>
            <w:tcW w:w="973" w:type="pct"/>
          </w:tcPr>
          <w:p w14:paraId="5AD12854">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505034C">
            <w:pPr>
              <w:widowControl/>
              <w:adjustRightInd w:val="0"/>
              <w:spacing w:line="240" w:lineRule="auto"/>
              <w:ind w:firstLine="0" w:firstLineChars="0"/>
              <w:contextualSpacing/>
              <w:jc w:val="center"/>
              <w:rPr>
                <w:rFonts w:cs="Times New Roman"/>
                <w:sz w:val="21"/>
                <w:szCs w:val="21"/>
              </w:rPr>
            </w:pPr>
          </w:p>
        </w:tc>
      </w:tr>
      <w:tr w14:paraId="7B6D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9241F5D">
            <w:pPr>
              <w:widowControl/>
              <w:adjustRightInd w:val="0"/>
              <w:spacing w:line="240" w:lineRule="auto"/>
              <w:ind w:firstLine="0" w:firstLineChars="0"/>
              <w:contextualSpacing/>
              <w:jc w:val="center"/>
              <w:rPr>
                <w:rFonts w:cs="Times New Roman"/>
                <w:sz w:val="21"/>
                <w:szCs w:val="21"/>
              </w:rPr>
            </w:pPr>
            <w:r>
              <w:rPr>
                <w:rFonts w:hint="eastAsia"/>
                <w:color w:val="000000"/>
                <w:sz w:val="22"/>
              </w:rPr>
              <w:t>128</w:t>
            </w:r>
          </w:p>
        </w:tc>
        <w:tc>
          <w:tcPr>
            <w:tcW w:w="973" w:type="pct"/>
            <w:vMerge w:val="continue"/>
            <w:vAlign w:val="center"/>
          </w:tcPr>
          <w:p w14:paraId="49D3EAF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1EA81D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荒岭子</w:t>
            </w:r>
          </w:p>
        </w:tc>
        <w:tc>
          <w:tcPr>
            <w:tcW w:w="973" w:type="pct"/>
          </w:tcPr>
          <w:p w14:paraId="7C84DD9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035CFB0">
            <w:pPr>
              <w:widowControl/>
              <w:adjustRightInd w:val="0"/>
              <w:spacing w:line="240" w:lineRule="auto"/>
              <w:ind w:firstLine="0" w:firstLineChars="0"/>
              <w:contextualSpacing/>
              <w:jc w:val="center"/>
              <w:rPr>
                <w:rFonts w:cs="Times New Roman"/>
                <w:sz w:val="21"/>
                <w:szCs w:val="21"/>
              </w:rPr>
            </w:pPr>
          </w:p>
        </w:tc>
      </w:tr>
      <w:tr w14:paraId="12DF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958AC03">
            <w:pPr>
              <w:widowControl/>
              <w:adjustRightInd w:val="0"/>
              <w:spacing w:line="240" w:lineRule="auto"/>
              <w:ind w:firstLine="0" w:firstLineChars="0"/>
              <w:contextualSpacing/>
              <w:jc w:val="center"/>
              <w:rPr>
                <w:rFonts w:cs="Times New Roman"/>
                <w:sz w:val="21"/>
                <w:szCs w:val="21"/>
              </w:rPr>
            </w:pPr>
            <w:r>
              <w:rPr>
                <w:rFonts w:hint="eastAsia"/>
                <w:color w:val="000000"/>
                <w:sz w:val="22"/>
              </w:rPr>
              <w:t>65</w:t>
            </w:r>
          </w:p>
        </w:tc>
        <w:tc>
          <w:tcPr>
            <w:tcW w:w="973" w:type="pct"/>
            <w:vMerge w:val="continue"/>
            <w:vAlign w:val="center"/>
          </w:tcPr>
          <w:p w14:paraId="49CBA88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50E5C0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砬子沟</w:t>
            </w:r>
          </w:p>
        </w:tc>
        <w:tc>
          <w:tcPr>
            <w:tcW w:w="973" w:type="pct"/>
          </w:tcPr>
          <w:p w14:paraId="32EC54F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F84C0A8">
            <w:pPr>
              <w:widowControl/>
              <w:adjustRightInd w:val="0"/>
              <w:spacing w:line="240" w:lineRule="auto"/>
              <w:ind w:firstLine="0" w:firstLineChars="0"/>
              <w:contextualSpacing/>
              <w:jc w:val="center"/>
              <w:rPr>
                <w:rFonts w:cs="Times New Roman"/>
                <w:sz w:val="21"/>
                <w:szCs w:val="21"/>
              </w:rPr>
            </w:pPr>
          </w:p>
        </w:tc>
      </w:tr>
      <w:tr w14:paraId="599C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9C6D9C3">
            <w:pPr>
              <w:widowControl/>
              <w:adjustRightInd w:val="0"/>
              <w:spacing w:line="240" w:lineRule="auto"/>
              <w:ind w:firstLine="0" w:firstLineChars="0"/>
              <w:contextualSpacing/>
              <w:jc w:val="center"/>
              <w:rPr>
                <w:rFonts w:cs="Times New Roman"/>
                <w:sz w:val="21"/>
                <w:szCs w:val="21"/>
              </w:rPr>
            </w:pPr>
            <w:r>
              <w:rPr>
                <w:rFonts w:hint="eastAsia"/>
                <w:color w:val="000000"/>
                <w:sz w:val="22"/>
              </w:rPr>
              <w:t>66</w:t>
            </w:r>
          </w:p>
        </w:tc>
        <w:tc>
          <w:tcPr>
            <w:tcW w:w="973" w:type="pct"/>
            <w:vMerge w:val="continue"/>
            <w:vAlign w:val="center"/>
          </w:tcPr>
          <w:p w14:paraId="4C9CC4C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5354C2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二道荒岭</w:t>
            </w:r>
          </w:p>
        </w:tc>
        <w:tc>
          <w:tcPr>
            <w:tcW w:w="973" w:type="pct"/>
          </w:tcPr>
          <w:p w14:paraId="58B72971">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05BDB383">
            <w:pPr>
              <w:widowControl/>
              <w:adjustRightInd w:val="0"/>
              <w:spacing w:line="240" w:lineRule="auto"/>
              <w:ind w:firstLine="0" w:firstLineChars="0"/>
              <w:contextualSpacing/>
              <w:jc w:val="center"/>
              <w:rPr>
                <w:rFonts w:cs="Times New Roman"/>
                <w:sz w:val="21"/>
                <w:szCs w:val="21"/>
              </w:rPr>
            </w:pPr>
          </w:p>
        </w:tc>
      </w:tr>
      <w:tr w14:paraId="4EC0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0E06EB0">
            <w:pPr>
              <w:widowControl/>
              <w:adjustRightInd w:val="0"/>
              <w:spacing w:line="240" w:lineRule="auto"/>
              <w:ind w:firstLine="0" w:firstLineChars="0"/>
              <w:contextualSpacing/>
              <w:jc w:val="center"/>
              <w:rPr>
                <w:rFonts w:cs="Times New Roman"/>
                <w:sz w:val="21"/>
                <w:szCs w:val="21"/>
              </w:rPr>
            </w:pPr>
            <w:r>
              <w:rPr>
                <w:rFonts w:hint="eastAsia"/>
                <w:color w:val="000000"/>
                <w:sz w:val="22"/>
              </w:rPr>
              <w:t>67</w:t>
            </w:r>
          </w:p>
        </w:tc>
        <w:tc>
          <w:tcPr>
            <w:tcW w:w="973" w:type="pct"/>
            <w:vMerge w:val="continue"/>
            <w:vAlign w:val="center"/>
          </w:tcPr>
          <w:p w14:paraId="1D03404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0C51A8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老营沟</w:t>
            </w:r>
          </w:p>
        </w:tc>
        <w:tc>
          <w:tcPr>
            <w:tcW w:w="973" w:type="pct"/>
          </w:tcPr>
          <w:p w14:paraId="4496FB1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F2A8F18">
            <w:pPr>
              <w:widowControl/>
              <w:adjustRightInd w:val="0"/>
              <w:spacing w:line="240" w:lineRule="auto"/>
              <w:ind w:firstLine="0" w:firstLineChars="0"/>
              <w:contextualSpacing/>
              <w:jc w:val="center"/>
              <w:rPr>
                <w:rFonts w:cs="Times New Roman"/>
                <w:sz w:val="21"/>
                <w:szCs w:val="21"/>
              </w:rPr>
            </w:pPr>
          </w:p>
        </w:tc>
      </w:tr>
      <w:tr w14:paraId="60FA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888D3BA">
            <w:pPr>
              <w:widowControl/>
              <w:adjustRightInd w:val="0"/>
              <w:spacing w:line="240" w:lineRule="auto"/>
              <w:ind w:firstLine="0" w:firstLineChars="0"/>
              <w:contextualSpacing/>
              <w:jc w:val="center"/>
              <w:rPr>
                <w:rFonts w:cs="Times New Roman"/>
                <w:sz w:val="21"/>
                <w:szCs w:val="21"/>
              </w:rPr>
            </w:pPr>
            <w:r>
              <w:rPr>
                <w:rFonts w:hint="eastAsia"/>
                <w:color w:val="000000"/>
                <w:sz w:val="22"/>
              </w:rPr>
              <w:t>68</w:t>
            </w:r>
          </w:p>
        </w:tc>
        <w:tc>
          <w:tcPr>
            <w:tcW w:w="973" w:type="pct"/>
            <w:vMerge w:val="continue"/>
            <w:vAlign w:val="center"/>
          </w:tcPr>
          <w:p w14:paraId="442F648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93086B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三道沟</w:t>
            </w:r>
          </w:p>
        </w:tc>
        <w:tc>
          <w:tcPr>
            <w:tcW w:w="973" w:type="pct"/>
          </w:tcPr>
          <w:p w14:paraId="05AC844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65C60CE">
            <w:pPr>
              <w:widowControl/>
              <w:adjustRightInd w:val="0"/>
              <w:spacing w:line="240" w:lineRule="auto"/>
              <w:ind w:firstLine="0" w:firstLineChars="0"/>
              <w:contextualSpacing/>
              <w:jc w:val="center"/>
              <w:rPr>
                <w:rFonts w:cs="Times New Roman"/>
                <w:sz w:val="21"/>
                <w:szCs w:val="21"/>
              </w:rPr>
            </w:pPr>
          </w:p>
        </w:tc>
      </w:tr>
      <w:tr w14:paraId="05F5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65BB212">
            <w:pPr>
              <w:widowControl/>
              <w:adjustRightInd w:val="0"/>
              <w:spacing w:line="240" w:lineRule="auto"/>
              <w:ind w:firstLine="0" w:firstLineChars="0"/>
              <w:contextualSpacing/>
              <w:jc w:val="center"/>
              <w:rPr>
                <w:rFonts w:cs="Times New Roman"/>
                <w:sz w:val="21"/>
                <w:szCs w:val="21"/>
              </w:rPr>
            </w:pPr>
            <w:r>
              <w:rPr>
                <w:rFonts w:hint="eastAsia"/>
                <w:color w:val="000000"/>
                <w:sz w:val="22"/>
              </w:rPr>
              <w:t>69</w:t>
            </w:r>
          </w:p>
        </w:tc>
        <w:tc>
          <w:tcPr>
            <w:tcW w:w="973" w:type="pct"/>
            <w:vMerge w:val="continue"/>
            <w:vAlign w:val="center"/>
          </w:tcPr>
          <w:p w14:paraId="06CB0B0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671A3C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二道沟</w:t>
            </w:r>
          </w:p>
        </w:tc>
        <w:tc>
          <w:tcPr>
            <w:tcW w:w="973" w:type="pct"/>
          </w:tcPr>
          <w:p w14:paraId="40A55D5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2FAAE18">
            <w:pPr>
              <w:widowControl/>
              <w:adjustRightInd w:val="0"/>
              <w:spacing w:line="240" w:lineRule="auto"/>
              <w:ind w:firstLine="0" w:firstLineChars="0"/>
              <w:contextualSpacing/>
              <w:jc w:val="center"/>
              <w:rPr>
                <w:rFonts w:cs="Times New Roman"/>
                <w:sz w:val="21"/>
                <w:szCs w:val="21"/>
              </w:rPr>
            </w:pPr>
          </w:p>
        </w:tc>
      </w:tr>
      <w:tr w14:paraId="0210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B1135FA">
            <w:pPr>
              <w:widowControl/>
              <w:adjustRightInd w:val="0"/>
              <w:spacing w:line="240" w:lineRule="auto"/>
              <w:ind w:firstLine="0" w:firstLineChars="0"/>
              <w:contextualSpacing/>
              <w:jc w:val="center"/>
              <w:rPr>
                <w:rFonts w:cs="Times New Roman"/>
                <w:sz w:val="21"/>
                <w:szCs w:val="21"/>
              </w:rPr>
            </w:pPr>
            <w:r>
              <w:rPr>
                <w:rFonts w:hint="eastAsia"/>
                <w:color w:val="000000"/>
                <w:sz w:val="22"/>
              </w:rPr>
              <w:t>70</w:t>
            </w:r>
          </w:p>
        </w:tc>
        <w:tc>
          <w:tcPr>
            <w:tcW w:w="973" w:type="pct"/>
            <w:vMerge w:val="continue"/>
            <w:vAlign w:val="center"/>
          </w:tcPr>
          <w:p w14:paraId="1E508E4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36F77E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头道沟</w:t>
            </w:r>
          </w:p>
        </w:tc>
        <w:tc>
          <w:tcPr>
            <w:tcW w:w="973" w:type="pct"/>
          </w:tcPr>
          <w:p w14:paraId="3657127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56D02C7">
            <w:pPr>
              <w:widowControl/>
              <w:adjustRightInd w:val="0"/>
              <w:spacing w:line="240" w:lineRule="auto"/>
              <w:ind w:firstLine="0" w:firstLineChars="0"/>
              <w:contextualSpacing/>
              <w:jc w:val="center"/>
              <w:rPr>
                <w:rFonts w:cs="Times New Roman"/>
                <w:sz w:val="21"/>
                <w:szCs w:val="21"/>
              </w:rPr>
            </w:pPr>
          </w:p>
        </w:tc>
      </w:tr>
      <w:tr w14:paraId="21C7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73" w:type="pct"/>
            <w:vAlign w:val="center"/>
          </w:tcPr>
          <w:p w14:paraId="48CF27AC">
            <w:pPr>
              <w:widowControl/>
              <w:adjustRightInd w:val="0"/>
              <w:spacing w:line="240" w:lineRule="auto"/>
              <w:ind w:firstLine="0" w:firstLineChars="0"/>
              <w:contextualSpacing/>
              <w:jc w:val="center"/>
              <w:rPr>
                <w:rFonts w:cs="Times New Roman"/>
                <w:sz w:val="21"/>
                <w:szCs w:val="21"/>
              </w:rPr>
            </w:pPr>
            <w:r>
              <w:rPr>
                <w:rFonts w:hint="eastAsia"/>
                <w:color w:val="000000"/>
                <w:sz w:val="22"/>
              </w:rPr>
              <w:t>71</w:t>
            </w:r>
          </w:p>
        </w:tc>
        <w:tc>
          <w:tcPr>
            <w:tcW w:w="973" w:type="pct"/>
            <w:vMerge w:val="restart"/>
            <w:vAlign w:val="center"/>
          </w:tcPr>
          <w:p w14:paraId="4E31CACD">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铧尖子村</w:t>
            </w:r>
          </w:p>
        </w:tc>
        <w:tc>
          <w:tcPr>
            <w:tcW w:w="973" w:type="pct"/>
            <w:vAlign w:val="bottom"/>
          </w:tcPr>
          <w:p w14:paraId="673DF8B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西</w:t>
            </w:r>
            <w:r>
              <w:rPr>
                <w:rFonts w:hint="eastAsia" w:ascii="微软雅黑" w:hAnsi="微软雅黑" w:eastAsia="微软雅黑" w:cs="微软雅黑"/>
                <w:color w:val="000000"/>
                <w:sz w:val="20"/>
                <w:szCs w:val="20"/>
              </w:rPr>
              <w:t>蹚</w:t>
            </w:r>
            <w:r>
              <w:rPr>
                <w:rFonts w:hint="eastAsia" w:ascii="仿宋_GB2312" w:hAnsi="仿宋_GB2312" w:cs="仿宋_GB2312"/>
                <w:color w:val="000000"/>
                <w:sz w:val="20"/>
                <w:szCs w:val="20"/>
              </w:rPr>
              <w:t>子沟</w:t>
            </w:r>
          </w:p>
        </w:tc>
        <w:tc>
          <w:tcPr>
            <w:tcW w:w="973" w:type="pct"/>
          </w:tcPr>
          <w:p w14:paraId="4F7C0B1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4C2D73C">
            <w:pPr>
              <w:widowControl/>
              <w:adjustRightInd w:val="0"/>
              <w:spacing w:line="240" w:lineRule="auto"/>
              <w:ind w:firstLine="0" w:firstLineChars="0"/>
              <w:contextualSpacing/>
              <w:jc w:val="center"/>
              <w:rPr>
                <w:rFonts w:cs="Times New Roman"/>
                <w:sz w:val="21"/>
                <w:szCs w:val="21"/>
              </w:rPr>
            </w:pPr>
          </w:p>
        </w:tc>
      </w:tr>
      <w:tr w14:paraId="2F86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04696C9">
            <w:pPr>
              <w:widowControl/>
              <w:adjustRightInd w:val="0"/>
              <w:spacing w:line="240" w:lineRule="auto"/>
              <w:ind w:firstLine="0" w:firstLineChars="0"/>
              <w:contextualSpacing/>
              <w:jc w:val="center"/>
              <w:rPr>
                <w:rFonts w:cs="Times New Roman"/>
                <w:sz w:val="21"/>
                <w:szCs w:val="21"/>
              </w:rPr>
            </w:pPr>
            <w:r>
              <w:rPr>
                <w:rFonts w:hint="eastAsia"/>
                <w:color w:val="000000"/>
                <w:sz w:val="22"/>
              </w:rPr>
              <w:t>72</w:t>
            </w:r>
          </w:p>
        </w:tc>
        <w:tc>
          <w:tcPr>
            <w:tcW w:w="973" w:type="pct"/>
            <w:vMerge w:val="continue"/>
            <w:vAlign w:val="center"/>
          </w:tcPr>
          <w:p w14:paraId="7F134E8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2B92D2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铁窑沟</w:t>
            </w:r>
          </w:p>
        </w:tc>
        <w:tc>
          <w:tcPr>
            <w:tcW w:w="973" w:type="pct"/>
          </w:tcPr>
          <w:p w14:paraId="3506C26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F5DE0CF">
            <w:pPr>
              <w:widowControl/>
              <w:adjustRightInd w:val="0"/>
              <w:spacing w:line="240" w:lineRule="auto"/>
              <w:ind w:firstLine="0" w:firstLineChars="0"/>
              <w:contextualSpacing/>
              <w:jc w:val="center"/>
              <w:rPr>
                <w:rFonts w:cs="Times New Roman"/>
                <w:sz w:val="21"/>
                <w:szCs w:val="21"/>
              </w:rPr>
            </w:pPr>
          </w:p>
        </w:tc>
      </w:tr>
      <w:tr w14:paraId="6A28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C49F303">
            <w:pPr>
              <w:widowControl/>
              <w:adjustRightInd w:val="0"/>
              <w:spacing w:line="240" w:lineRule="auto"/>
              <w:ind w:firstLine="0" w:firstLineChars="0"/>
              <w:contextualSpacing/>
              <w:jc w:val="center"/>
              <w:rPr>
                <w:rFonts w:cs="Times New Roman"/>
                <w:sz w:val="21"/>
                <w:szCs w:val="21"/>
              </w:rPr>
            </w:pPr>
            <w:r>
              <w:rPr>
                <w:rFonts w:hint="eastAsia"/>
                <w:color w:val="000000"/>
                <w:sz w:val="22"/>
              </w:rPr>
              <w:t>73</w:t>
            </w:r>
          </w:p>
        </w:tc>
        <w:tc>
          <w:tcPr>
            <w:tcW w:w="973" w:type="pct"/>
            <w:vMerge w:val="continue"/>
            <w:vAlign w:val="center"/>
          </w:tcPr>
          <w:p w14:paraId="4BFC90A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34568D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石灰窑子</w:t>
            </w:r>
          </w:p>
        </w:tc>
        <w:tc>
          <w:tcPr>
            <w:tcW w:w="973" w:type="pct"/>
          </w:tcPr>
          <w:p w14:paraId="08D3358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9BA4654">
            <w:pPr>
              <w:widowControl/>
              <w:adjustRightInd w:val="0"/>
              <w:spacing w:line="240" w:lineRule="auto"/>
              <w:ind w:firstLine="0" w:firstLineChars="0"/>
              <w:contextualSpacing/>
              <w:jc w:val="center"/>
              <w:rPr>
                <w:rFonts w:cs="Times New Roman"/>
                <w:sz w:val="21"/>
                <w:szCs w:val="21"/>
              </w:rPr>
            </w:pPr>
          </w:p>
        </w:tc>
      </w:tr>
      <w:tr w14:paraId="0223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B043075">
            <w:pPr>
              <w:widowControl/>
              <w:adjustRightInd w:val="0"/>
              <w:spacing w:line="240" w:lineRule="auto"/>
              <w:ind w:firstLine="0" w:firstLineChars="0"/>
              <w:contextualSpacing/>
              <w:jc w:val="center"/>
              <w:rPr>
                <w:rFonts w:cs="Times New Roman"/>
                <w:sz w:val="21"/>
                <w:szCs w:val="21"/>
              </w:rPr>
            </w:pPr>
            <w:r>
              <w:rPr>
                <w:rFonts w:hint="eastAsia"/>
                <w:color w:val="000000"/>
                <w:sz w:val="22"/>
              </w:rPr>
              <w:t>74</w:t>
            </w:r>
          </w:p>
        </w:tc>
        <w:tc>
          <w:tcPr>
            <w:tcW w:w="973" w:type="pct"/>
            <w:vMerge w:val="continue"/>
            <w:vAlign w:val="center"/>
          </w:tcPr>
          <w:p w14:paraId="2AC3D3B1">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59D095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铁窑沟门</w:t>
            </w:r>
          </w:p>
        </w:tc>
        <w:tc>
          <w:tcPr>
            <w:tcW w:w="973" w:type="pct"/>
          </w:tcPr>
          <w:p w14:paraId="647B1DF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23ABAF8">
            <w:pPr>
              <w:widowControl/>
              <w:adjustRightInd w:val="0"/>
              <w:spacing w:line="240" w:lineRule="auto"/>
              <w:ind w:firstLine="0" w:firstLineChars="0"/>
              <w:contextualSpacing/>
              <w:jc w:val="center"/>
              <w:rPr>
                <w:rFonts w:cs="Times New Roman"/>
                <w:sz w:val="21"/>
                <w:szCs w:val="21"/>
              </w:rPr>
            </w:pPr>
          </w:p>
        </w:tc>
      </w:tr>
      <w:tr w14:paraId="4D71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A1F04CA">
            <w:pPr>
              <w:widowControl/>
              <w:adjustRightInd w:val="0"/>
              <w:spacing w:line="240" w:lineRule="auto"/>
              <w:ind w:firstLine="0" w:firstLineChars="0"/>
              <w:contextualSpacing/>
              <w:jc w:val="center"/>
              <w:rPr>
                <w:rFonts w:cs="Times New Roman"/>
                <w:sz w:val="21"/>
                <w:szCs w:val="21"/>
              </w:rPr>
            </w:pPr>
            <w:r>
              <w:rPr>
                <w:rFonts w:hint="eastAsia"/>
                <w:color w:val="000000"/>
                <w:sz w:val="22"/>
              </w:rPr>
              <w:t>75</w:t>
            </w:r>
          </w:p>
        </w:tc>
        <w:tc>
          <w:tcPr>
            <w:tcW w:w="973" w:type="pct"/>
            <w:vMerge w:val="continue"/>
            <w:vAlign w:val="center"/>
          </w:tcPr>
          <w:p w14:paraId="030795A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503D63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冯家沟</w:t>
            </w:r>
          </w:p>
        </w:tc>
        <w:tc>
          <w:tcPr>
            <w:tcW w:w="973" w:type="pct"/>
          </w:tcPr>
          <w:p w14:paraId="0F3EEE6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C4DBDA3">
            <w:pPr>
              <w:widowControl/>
              <w:adjustRightInd w:val="0"/>
              <w:spacing w:line="240" w:lineRule="auto"/>
              <w:ind w:firstLine="0" w:firstLineChars="0"/>
              <w:contextualSpacing/>
              <w:jc w:val="center"/>
              <w:rPr>
                <w:rFonts w:cs="Times New Roman"/>
                <w:sz w:val="21"/>
                <w:szCs w:val="21"/>
              </w:rPr>
            </w:pPr>
          </w:p>
        </w:tc>
      </w:tr>
      <w:tr w14:paraId="2789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356BC93">
            <w:pPr>
              <w:widowControl/>
              <w:adjustRightInd w:val="0"/>
              <w:spacing w:line="240" w:lineRule="auto"/>
              <w:ind w:firstLine="0" w:firstLineChars="0"/>
              <w:contextualSpacing/>
              <w:jc w:val="center"/>
              <w:rPr>
                <w:rFonts w:cs="Times New Roman"/>
                <w:sz w:val="21"/>
                <w:szCs w:val="21"/>
              </w:rPr>
            </w:pPr>
            <w:r>
              <w:rPr>
                <w:rFonts w:hint="eastAsia"/>
                <w:color w:val="000000"/>
                <w:sz w:val="22"/>
              </w:rPr>
              <w:t>76</w:t>
            </w:r>
          </w:p>
        </w:tc>
        <w:tc>
          <w:tcPr>
            <w:tcW w:w="973" w:type="pct"/>
            <w:vMerge w:val="continue"/>
            <w:vAlign w:val="center"/>
          </w:tcPr>
          <w:p w14:paraId="318D082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A7E953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南台</w:t>
            </w:r>
          </w:p>
        </w:tc>
        <w:tc>
          <w:tcPr>
            <w:tcW w:w="973" w:type="pct"/>
          </w:tcPr>
          <w:p w14:paraId="352F18A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AD27970">
            <w:pPr>
              <w:widowControl/>
              <w:adjustRightInd w:val="0"/>
              <w:spacing w:line="240" w:lineRule="auto"/>
              <w:ind w:firstLine="0" w:firstLineChars="0"/>
              <w:contextualSpacing/>
              <w:jc w:val="center"/>
              <w:rPr>
                <w:rFonts w:cs="Times New Roman"/>
                <w:sz w:val="21"/>
                <w:szCs w:val="21"/>
              </w:rPr>
            </w:pPr>
          </w:p>
        </w:tc>
      </w:tr>
      <w:tr w14:paraId="1403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AB100B6">
            <w:pPr>
              <w:widowControl/>
              <w:adjustRightInd w:val="0"/>
              <w:spacing w:line="240" w:lineRule="auto"/>
              <w:ind w:firstLine="0" w:firstLineChars="0"/>
              <w:contextualSpacing/>
              <w:jc w:val="center"/>
              <w:rPr>
                <w:rFonts w:cs="Times New Roman"/>
                <w:sz w:val="21"/>
                <w:szCs w:val="21"/>
              </w:rPr>
            </w:pPr>
            <w:r>
              <w:rPr>
                <w:rFonts w:hint="eastAsia"/>
                <w:color w:val="000000"/>
                <w:sz w:val="22"/>
              </w:rPr>
              <w:t>77</w:t>
            </w:r>
          </w:p>
        </w:tc>
        <w:tc>
          <w:tcPr>
            <w:tcW w:w="973" w:type="pct"/>
            <w:vMerge w:val="continue"/>
            <w:vAlign w:val="center"/>
          </w:tcPr>
          <w:p w14:paraId="237546D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52BA88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石灰窑</w:t>
            </w:r>
          </w:p>
        </w:tc>
        <w:tc>
          <w:tcPr>
            <w:tcW w:w="973" w:type="pct"/>
          </w:tcPr>
          <w:p w14:paraId="56EE327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B13DCA0">
            <w:pPr>
              <w:widowControl/>
              <w:adjustRightInd w:val="0"/>
              <w:spacing w:line="240" w:lineRule="auto"/>
              <w:ind w:firstLine="0" w:firstLineChars="0"/>
              <w:contextualSpacing/>
              <w:jc w:val="center"/>
              <w:rPr>
                <w:rFonts w:cs="Times New Roman"/>
                <w:sz w:val="21"/>
                <w:szCs w:val="21"/>
              </w:rPr>
            </w:pPr>
          </w:p>
        </w:tc>
      </w:tr>
      <w:tr w14:paraId="2A94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91A1B43">
            <w:pPr>
              <w:widowControl/>
              <w:adjustRightInd w:val="0"/>
              <w:spacing w:line="240" w:lineRule="auto"/>
              <w:ind w:firstLine="0" w:firstLineChars="0"/>
              <w:contextualSpacing/>
              <w:jc w:val="center"/>
              <w:rPr>
                <w:rFonts w:cs="Times New Roman"/>
                <w:sz w:val="21"/>
                <w:szCs w:val="21"/>
              </w:rPr>
            </w:pPr>
            <w:r>
              <w:rPr>
                <w:rFonts w:hint="eastAsia"/>
                <w:color w:val="000000"/>
                <w:sz w:val="22"/>
              </w:rPr>
              <w:t>78</w:t>
            </w:r>
          </w:p>
        </w:tc>
        <w:tc>
          <w:tcPr>
            <w:tcW w:w="973" w:type="pct"/>
            <w:vMerge w:val="continue"/>
            <w:vAlign w:val="center"/>
          </w:tcPr>
          <w:p w14:paraId="2994C75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BAFFA9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红塘石村</w:t>
            </w:r>
          </w:p>
        </w:tc>
        <w:tc>
          <w:tcPr>
            <w:tcW w:w="973" w:type="pct"/>
          </w:tcPr>
          <w:p w14:paraId="392D7695">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202AF20C">
            <w:pPr>
              <w:widowControl/>
              <w:adjustRightInd w:val="0"/>
              <w:spacing w:line="240" w:lineRule="auto"/>
              <w:ind w:firstLine="0" w:firstLineChars="0"/>
              <w:contextualSpacing/>
              <w:jc w:val="center"/>
              <w:rPr>
                <w:rFonts w:cs="Times New Roman"/>
                <w:sz w:val="21"/>
                <w:szCs w:val="21"/>
              </w:rPr>
            </w:pPr>
          </w:p>
        </w:tc>
      </w:tr>
      <w:tr w14:paraId="06F9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A53EC6D">
            <w:pPr>
              <w:widowControl/>
              <w:adjustRightInd w:val="0"/>
              <w:spacing w:line="240" w:lineRule="auto"/>
              <w:ind w:firstLine="0" w:firstLineChars="0"/>
              <w:contextualSpacing/>
              <w:jc w:val="center"/>
              <w:rPr>
                <w:rFonts w:cs="Times New Roman"/>
                <w:sz w:val="21"/>
                <w:szCs w:val="21"/>
              </w:rPr>
            </w:pPr>
            <w:r>
              <w:rPr>
                <w:rFonts w:hint="eastAsia"/>
                <w:color w:val="000000"/>
                <w:sz w:val="22"/>
              </w:rPr>
              <w:t>79</w:t>
            </w:r>
          </w:p>
        </w:tc>
        <w:tc>
          <w:tcPr>
            <w:tcW w:w="973" w:type="pct"/>
            <w:vMerge w:val="continue"/>
            <w:vAlign w:val="center"/>
          </w:tcPr>
          <w:p w14:paraId="20A1D14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AE6C67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石缝沟</w:t>
            </w:r>
          </w:p>
        </w:tc>
        <w:tc>
          <w:tcPr>
            <w:tcW w:w="973" w:type="pct"/>
          </w:tcPr>
          <w:p w14:paraId="0259BBF9">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478CFE06">
            <w:pPr>
              <w:widowControl/>
              <w:adjustRightInd w:val="0"/>
              <w:spacing w:line="240" w:lineRule="auto"/>
              <w:ind w:firstLine="0" w:firstLineChars="0"/>
              <w:contextualSpacing/>
              <w:jc w:val="center"/>
              <w:rPr>
                <w:rFonts w:cs="Times New Roman"/>
                <w:sz w:val="21"/>
                <w:szCs w:val="21"/>
              </w:rPr>
            </w:pPr>
          </w:p>
        </w:tc>
      </w:tr>
      <w:tr w14:paraId="2DAA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EE00C59">
            <w:pPr>
              <w:widowControl/>
              <w:adjustRightInd w:val="0"/>
              <w:spacing w:line="240" w:lineRule="auto"/>
              <w:ind w:firstLine="0" w:firstLineChars="0"/>
              <w:contextualSpacing/>
              <w:jc w:val="center"/>
              <w:rPr>
                <w:rFonts w:cs="Times New Roman"/>
                <w:sz w:val="21"/>
                <w:szCs w:val="21"/>
              </w:rPr>
            </w:pPr>
            <w:r>
              <w:rPr>
                <w:rFonts w:hint="eastAsia"/>
                <w:color w:val="000000"/>
                <w:sz w:val="22"/>
              </w:rPr>
              <w:t>80</w:t>
            </w:r>
          </w:p>
        </w:tc>
        <w:tc>
          <w:tcPr>
            <w:tcW w:w="973" w:type="pct"/>
            <w:vMerge w:val="continue"/>
            <w:vAlign w:val="center"/>
          </w:tcPr>
          <w:p w14:paraId="3446889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0F24BD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红塘石</w:t>
            </w:r>
          </w:p>
        </w:tc>
        <w:tc>
          <w:tcPr>
            <w:tcW w:w="973" w:type="pct"/>
          </w:tcPr>
          <w:p w14:paraId="3A553CA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3054EB9">
            <w:pPr>
              <w:widowControl/>
              <w:adjustRightInd w:val="0"/>
              <w:spacing w:line="240" w:lineRule="auto"/>
              <w:ind w:firstLine="0" w:firstLineChars="0"/>
              <w:contextualSpacing/>
              <w:jc w:val="center"/>
              <w:rPr>
                <w:rFonts w:cs="Times New Roman"/>
                <w:sz w:val="21"/>
                <w:szCs w:val="21"/>
              </w:rPr>
            </w:pPr>
          </w:p>
        </w:tc>
      </w:tr>
      <w:tr w14:paraId="681E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0577E4D">
            <w:pPr>
              <w:widowControl/>
              <w:adjustRightInd w:val="0"/>
              <w:spacing w:line="240" w:lineRule="auto"/>
              <w:ind w:firstLine="0" w:firstLineChars="0"/>
              <w:contextualSpacing/>
              <w:jc w:val="center"/>
              <w:rPr>
                <w:rFonts w:cs="Times New Roman"/>
                <w:sz w:val="21"/>
                <w:szCs w:val="21"/>
              </w:rPr>
            </w:pPr>
            <w:r>
              <w:rPr>
                <w:rFonts w:hint="eastAsia"/>
                <w:color w:val="000000"/>
                <w:sz w:val="22"/>
              </w:rPr>
              <w:t>81</w:t>
            </w:r>
          </w:p>
        </w:tc>
        <w:tc>
          <w:tcPr>
            <w:tcW w:w="973" w:type="pct"/>
            <w:vMerge w:val="continue"/>
            <w:vAlign w:val="center"/>
          </w:tcPr>
          <w:p w14:paraId="679550F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6513EB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大皮匠沟</w:t>
            </w:r>
          </w:p>
        </w:tc>
        <w:tc>
          <w:tcPr>
            <w:tcW w:w="973" w:type="pct"/>
          </w:tcPr>
          <w:p w14:paraId="55E105B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4A63A7E">
            <w:pPr>
              <w:widowControl/>
              <w:adjustRightInd w:val="0"/>
              <w:spacing w:line="240" w:lineRule="auto"/>
              <w:ind w:firstLine="0" w:firstLineChars="0"/>
              <w:contextualSpacing/>
              <w:jc w:val="center"/>
              <w:rPr>
                <w:rFonts w:cs="Times New Roman"/>
                <w:sz w:val="21"/>
                <w:szCs w:val="21"/>
              </w:rPr>
            </w:pPr>
          </w:p>
        </w:tc>
      </w:tr>
      <w:tr w14:paraId="457F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EB4C95F">
            <w:pPr>
              <w:widowControl/>
              <w:adjustRightInd w:val="0"/>
              <w:spacing w:line="240" w:lineRule="auto"/>
              <w:ind w:firstLine="0" w:firstLineChars="0"/>
              <w:contextualSpacing/>
              <w:jc w:val="center"/>
              <w:rPr>
                <w:rFonts w:cs="Times New Roman"/>
                <w:sz w:val="21"/>
                <w:szCs w:val="21"/>
              </w:rPr>
            </w:pPr>
            <w:r>
              <w:rPr>
                <w:rFonts w:hint="eastAsia"/>
                <w:color w:val="000000"/>
                <w:sz w:val="22"/>
              </w:rPr>
              <w:t>82</w:t>
            </w:r>
          </w:p>
        </w:tc>
        <w:tc>
          <w:tcPr>
            <w:tcW w:w="973" w:type="pct"/>
            <w:vMerge w:val="continue"/>
            <w:vAlign w:val="center"/>
          </w:tcPr>
          <w:p w14:paraId="789E342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84392B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棺材砬子</w:t>
            </w:r>
          </w:p>
        </w:tc>
        <w:tc>
          <w:tcPr>
            <w:tcW w:w="973" w:type="pct"/>
          </w:tcPr>
          <w:p w14:paraId="0360222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A0B7B21">
            <w:pPr>
              <w:widowControl/>
              <w:adjustRightInd w:val="0"/>
              <w:spacing w:line="240" w:lineRule="auto"/>
              <w:ind w:firstLine="0" w:firstLineChars="0"/>
              <w:contextualSpacing/>
              <w:jc w:val="center"/>
              <w:rPr>
                <w:rFonts w:cs="Times New Roman"/>
                <w:sz w:val="21"/>
                <w:szCs w:val="21"/>
              </w:rPr>
            </w:pPr>
          </w:p>
        </w:tc>
      </w:tr>
      <w:tr w14:paraId="0C5E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1C3E04C">
            <w:pPr>
              <w:widowControl/>
              <w:adjustRightInd w:val="0"/>
              <w:spacing w:line="240" w:lineRule="auto"/>
              <w:ind w:firstLine="0" w:firstLineChars="0"/>
              <w:contextualSpacing/>
              <w:jc w:val="center"/>
              <w:rPr>
                <w:rFonts w:cs="Times New Roman"/>
                <w:sz w:val="21"/>
                <w:szCs w:val="21"/>
              </w:rPr>
            </w:pPr>
            <w:r>
              <w:rPr>
                <w:rFonts w:hint="eastAsia"/>
                <w:color w:val="000000"/>
                <w:sz w:val="22"/>
              </w:rPr>
              <w:t>83</w:t>
            </w:r>
          </w:p>
        </w:tc>
        <w:tc>
          <w:tcPr>
            <w:tcW w:w="973" w:type="pct"/>
            <w:vMerge w:val="continue"/>
            <w:vAlign w:val="center"/>
          </w:tcPr>
          <w:p w14:paraId="1280A45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C2D8A8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小皮匠沟</w:t>
            </w:r>
          </w:p>
        </w:tc>
        <w:tc>
          <w:tcPr>
            <w:tcW w:w="973" w:type="pct"/>
          </w:tcPr>
          <w:p w14:paraId="2A29211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6E7F994">
            <w:pPr>
              <w:widowControl/>
              <w:adjustRightInd w:val="0"/>
              <w:spacing w:line="240" w:lineRule="auto"/>
              <w:ind w:firstLine="0" w:firstLineChars="0"/>
              <w:contextualSpacing/>
              <w:jc w:val="center"/>
              <w:rPr>
                <w:rFonts w:cs="Times New Roman"/>
                <w:sz w:val="21"/>
                <w:szCs w:val="21"/>
              </w:rPr>
            </w:pPr>
          </w:p>
        </w:tc>
      </w:tr>
      <w:tr w14:paraId="1BA3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C3EA1C1">
            <w:pPr>
              <w:widowControl/>
              <w:adjustRightInd w:val="0"/>
              <w:spacing w:line="240" w:lineRule="auto"/>
              <w:ind w:firstLine="0" w:firstLineChars="0"/>
              <w:contextualSpacing/>
              <w:jc w:val="center"/>
              <w:rPr>
                <w:rFonts w:cs="Times New Roman"/>
                <w:sz w:val="21"/>
                <w:szCs w:val="21"/>
              </w:rPr>
            </w:pPr>
            <w:r>
              <w:rPr>
                <w:rFonts w:hint="eastAsia"/>
                <w:color w:val="000000"/>
                <w:sz w:val="22"/>
              </w:rPr>
              <w:t>84</w:t>
            </w:r>
          </w:p>
        </w:tc>
        <w:tc>
          <w:tcPr>
            <w:tcW w:w="973" w:type="pct"/>
            <w:vMerge w:val="continue"/>
            <w:vAlign w:val="center"/>
          </w:tcPr>
          <w:p w14:paraId="29D036E4">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3D6912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碱厂沟</w:t>
            </w:r>
          </w:p>
        </w:tc>
        <w:tc>
          <w:tcPr>
            <w:tcW w:w="973" w:type="pct"/>
          </w:tcPr>
          <w:p w14:paraId="498AAA0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7AAB9B8">
            <w:pPr>
              <w:widowControl/>
              <w:adjustRightInd w:val="0"/>
              <w:spacing w:line="240" w:lineRule="auto"/>
              <w:ind w:firstLine="0" w:firstLineChars="0"/>
              <w:contextualSpacing/>
              <w:jc w:val="center"/>
              <w:rPr>
                <w:rFonts w:cs="Times New Roman"/>
                <w:sz w:val="21"/>
                <w:szCs w:val="21"/>
              </w:rPr>
            </w:pPr>
          </w:p>
        </w:tc>
      </w:tr>
      <w:tr w14:paraId="3831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1DD0CF5">
            <w:pPr>
              <w:widowControl/>
              <w:adjustRightInd w:val="0"/>
              <w:spacing w:line="240" w:lineRule="auto"/>
              <w:ind w:firstLine="0" w:firstLineChars="0"/>
              <w:contextualSpacing/>
              <w:jc w:val="center"/>
              <w:rPr>
                <w:rFonts w:cs="Times New Roman"/>
                <w:sz w:val="21"/>
                <w:szCs w:val="21"/>
              </w:rPr>
            </w:pPr>
            <w:r>
              <w:rPr>
                <w:rFonts w:hint="eastAsia"/>
                <w:color w:val="000000"/>
                <w:sz w:val="22"/>
              </w:rPr>
              <w:t>85</w:t>
            </w:r>
          </w:p>
        </w:tc>
        <w:tc>
          <w:tcPr>
            <w:tcW w:w="973" w:type="pct"/>
            <w:vMerge w:val="continue"/>
            <w:vAlign w:val="center"/>
          </w:tcPr>
          <w:p w14:paraId="4846F93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5D336C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老学堂</w:t>
            </w:r>
          </w:p>
        </w:tc>
        <w:tc>
          <w:tcPr>
            <w:tcW w:w="973" w:type="pct"/>
          </w:tcPr>
          <w:p w14:paraId="72EA3A6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ED04D47">
            <w:pPr>
              <w:widowControl/>
              <w:adjustRightInd w:val="0"/>
              <w:spacing w:line="240" w:lineRule="auto"/>
              <w:ind w:firstLine="0" w:firstLineChars="0"/>
              <w:contextualSpacing/>
              <w:jc w:val="center"/>
              <w:rPr>
                <w:rFonts w:cs="Times New Roman"/>
                <w:sz w:val="21"/>
                <w:szCs w:val="21"/>
              </w:rPr>
            </w:pPr>
          </w:p>
        </w:tc>
      </w:tr>
      <w:tr w14:paraId="1BF8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9AFD868">
            <w:pPr>
              <w:widowControl/>
              <w:adjustRightInd w:val="0"/>
              <w:spacing w:line="240" w:lineRule="auto"/>
              <w:ind w:firstLine="0" w:firstLineChars="0"/>
              <w:contextualSpacing/>
              <w:jc w:val="center"/>
              <w:rPr>
                <w:rFonts w:cs="Times New Roman"/>
                <w:sz w:val="21"/>
                <w:szCs w:val="21"/>
              </w:rPr>
            </w:pPr>
            <w:r>
              <w:rPr>
                <w:rFonts w:hint="eastAsia"/>
                <w:color w:val="000000"/>
                <w:sz w:val="22"/>
              </w:rPr>
              <w:t>86</w:t>
            </w:r>
          </w:p>
        </w:tc>
        <w:tc>
          <w:tcPr>
            <w:tcW w:w="973" w:type="pct"/>
            <w:vMerge w:val="continue"/>
            <w:vAlign w:val="center"/>
          </w:tcPr>
          <w:p w14:paraId="4A0DECB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33F07A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东堡村</w:t>
            </w:r>
          </w:p>
        </w:tc>
        <w:tc>
          <w:tcPr>
            <w:tcW w:w="973" w:type="pct"/>
          </w:tcPr>
          <w:p w14:paraId="7414EC4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1B9477E">
            <w:pPr>
              <w:widowControl/>
              <w:adjustRightInd w:val="0"/>
              <w:spacing w:line="240" w:lineRule="auto"/>
              <w:ind w:firstLine="0" w:firstLineChars="0"/>
              <w:contextualSpacing/>
              <w:jc w:val="center"/>
              <w:rPr>
                <w:rFonts w:cs="Times New Roman"/>
                <w:sz w:val="21"/>
                <w:szCs w:val="21"/>
              </w:rPr>
            </w:pPr>
          </w:p>
        </w:tc>
      </w:tr>
      <w:tr w14:paraId="0841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A8FECD8">
            <w:pPr>
              <w:widowControl/>
              <w:adjustRightInd w:val="0"/>
              <w:spacing w:line="240" w:lineRule="auto"/>
              <w:ind w:firstLine="0" w:firstLineChars="0"/>
              <w:contextualSpacing/>
              <w:jc w:val="center"/>
              <w:rPr>
                <w:rFonts w:cs="Times New Roman"/>
                <w:sz w:val="21"/>
                <w:szCs w:val="21"/>
              </w:rPr>
            </w:pPr>
            <w:r>
              <w:rPr>
                <w:rFonts w:hint="eastAsia"/>
                <w:color w:val="000000"/>
                <w:sz w:val="22"/>
              </w:rPr>
              <w:t>87</w:t>
            </w:r>
          </w:p>
        </w:tc>
        <w:tc>
          <w:tcPr>
            <w:tcW w:w="973" w:type="pct"/>
            <w:vMerge w:val="continue"/>
            <w:vAlign w:val="center"/>
          </w:tcPr>
          <w:p w14:paraId="6E7DE14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E382D3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河南小堡</w:t>
            </w:r>
          </w:p>
        </w:tc>
        <w:tc>
          <w:tcPr>
            <w:tcW w:w="973" w:type="pct"/>
          </w:tcPr>
          <w:p w14:paraId="7C2BA1A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0E625B7">
            <w:pPr>
              <w:widowControl/>
              <w:adjustRightInd w:val="0"/>
              <w:spacing w:line="240" w:lineRule="auto"/>
              <w:ind w:firstLine="0" w:firstLineChars="0"/>
              <w:contextualSpacing/>
              <w:jc w:val="center"/>
              <w:rPr>
                <w:rFonts w:cs="Times New Roman"/>
                <w:sz w:val="21"/>
                <w:szCs w:val="21"/>
              </w:rPr>
            </w:pPr>
          </w:p>
        </w:tc>
      </w:tr>
      <w:tr w14:paraId="2806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CE60DAA">
            <w:pPr>
              <w:widowControl/>
              <w:adjustRightInd w:val="0"/>
              <w:spacing w:line="240" w:lineRule="auto"/>
              <w:ind w:firstLine="0" w:firstLineChars="0"/>
              <w:contextualSpacing/>
              <w:jc w:val="center"/>
              <w:rPr>
                <w:rFonts w:cs="Times New Roman"/>
                <w:sz w:val="21"/>
                <w:szCs w:val="21"/>
              </w:rPr>
            </w:pPr>
            <w:r>
              <w:rPr>
                <w:rFonts w:hint="eastAsia"/>
                <w:color w:val="000000"/>
                <w:sz w:val="22"/>
              </w:rPr>
              <w:t>88</w:t>
            </w:r>
          </w:p>
        </w:tc>
        <w:tc>
          <w:tcPr>
            <w:tcW w:w="973" w:type="pct"/>
            <w:vMerge w:val="continue"/>
            <w:vAlign w:val="center"/>
          </w:tcPr>
          <w:p w14:paraId="00A726D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7892DF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南碱厂沟</w:t>
            </w:r>
          </w:p>
        </w:tc>
        <w:tc>
          <w:tcPr>
            <w:tcW w:w="973" w:type="pct"/>
          </w:tcPr>
          <w:p w14:paraId="54B62BB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BB8B50E">
            <w:pPr>
              <w:widowControl/>
              <w:adjustRightInd w:val="0"/>
              <w:spacing w:line="240" w:lineRule="auto"/>
              <w:ind w:firstLine="0" w:firstLineChars="0"/>
              <w:contextualSpacing/>
              <w:jc w:val="center"/>
              <w:rPr>
                <w:rFonts w:cs="Times New Roman"/>
                <w:sz w:val="21"/>
                <w:szCs w:val="21"/>
              </w:rPr>
            </w:pPr>
          </w:p>
        </w:tc>
      </w:tr>
      <w:tr w14:paraId="2884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9478230">
            <w:pPr>
              <w:widowControl/>
              <w:adjustRightInd w:val="0"/>
              <w:spacing w:line="240" w:lineRule="auto"/>
              <w:ind w:firstLine="0" w:firstLineChars="0"/>
              <w:contextualSpacing/>
              <w:jc w:val="center"/>
              <w:rPr>
                <w:rFonts w:cs="Times New Roman"/>
                <w:sz w:val="21"/>
                <w:szCs w:val="21"/>
              </w:rPr>
            </w:pPr>
            <w:r>
              <w:rPr>
                <w:rFonts w:hint="eastAsia"/>
                <w:color w:val="000000"/>
                <w:sz w:val="22"/>
              </w:rPr>
              <w:t>89</w:t>
            </w:r>
          </w:p>
        </w:tc>
        <w:tc>
          <w:tcPr>
            <w:tcW w:w="973" w:type="pct"/>
            <w:vMerge w:val="continue"/>
            <w:vAlign w:val="center"/>
          </w:tcPr>
          <w:p w14:paraId="375A2B6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940D31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铧尖子村</w:t>
            </w:r>
          </w:p>
        </w:tc>
        <w:tc>
          <w:tcPr>
            <w:tcW w:w="973" w:type="pct"/>
          </w:tcPr>
          <w:p w14:paraId="66EEA85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CBCF808">
            <w:pPr>
              <w:widowControl/>
              <w:adjustRightInd w:val="0"/>
              <w:spacing w:line="240" w:lineRule="auto"/>
              <w:ind w:firstLine="0" w:firstLineChars="0"/>
              <w:contextualSpacing/>
              <w:jc w:val="center"/>
              <w:rPr>
                <w:rFonts w:cs="Times New Roman"/>
                <w:sz w:val="21"/>
                <w:szCs w:val="21"/>
              </w:rPr>
            </w:pPr>
          </w:p>
        </w:tc>
      </w:tr>
      <w:tr w14:paraId="66CC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2401129">
            <w:pPr>
              <w:widowControl/>
              <w:adjustRightInd w:val="0"/>
              <w:spacing w:line="240" w:lineRule="auto"/>
              <w:ind w:firstLine="0" w:firstLineChars="0"/>
              <w:contextualSpacing/>
              <w:jc w:val="center"/>
              <w:rPr>
                <w:rFonts w:cs="Times New Roman"/>
                <w:sz w:val="21"/>
                <w:szCs w:val="21"/>
              </w:rPr>
            </w:pPr>
            <w:r>
              <w:rPr>
                <w:rFonts w:hint="eastAsia"/>
                <w:color w:val="000000"/>
                <w:sz w:val="22"/>
              </w:rPr>
              <w:t>90</w:t>
            </w:r>
          </w:p>
        </w:tc>
        <w:tc>
          <w:tcPr>
            <w:tcW w:w="973" w:type="pct"/>
            <w:vMerge w:val="continue"/>
            <w:vAlign w:val="center"/>
          </w:tcPr>
          <w:p w14:paraId="1EDF46A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6A58EB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小洼子沟</w:t>
            </w:r>
          </w:p>
        </w:tc>
        <w:tc>
          <w:tcPr>
            <w:tcW w:w="973" w:type="pct"/>
          </w:tcPr>
          <w:p w14:paraId="485FEDF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3394300">
            <w:pPr>
              <w:widowControl/>
              <w:adjustRightInd w:val="0"/>
              <w:spacing w:line="240" w:lineRule="auto"/>
              <w:ind w:firstLine="0" w:firstLineChars="0"/>
              <w:contextualSpacing/>
              <w:jc w:val="center"/>
              <w:rPr>
                <w:rFonts w:cs="Times New Roman"/>
                <w:sz w:val="21"/>
                <w:szCs w:val="21"/>
              </w:rPr>
            </w:pPr>
          </w:p>
        </w:tc>
      </w:tr>
      <w:tr w14:paraId="0F28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D13D7FC">
            <w:pPr>
              <w:widowControl/>
              <w:adjustRightInd w:val="0"/>
              <w:spacing w:line="240" w:lineRule="auto"/>
              <w:ind w:firstLine="0" w:firstLineChars="0"/>
              <w:contextualSpacing/>
              <w:jc w:val="center"/>
              <w:rPr>
                <w:rFonts w:cs="Times New Roman"/>
                <w:sz w:val="21"/>
                <w:szCs w:val="21"/>
              </w:rPr>
            </w:pPr>
            <w:r>
              <w:rPr>
                <w:rFonts w:hint="eastAsia"/>
                <w:color w:val="000000"/>
                <w:sz w:val="22"/>
              </w:rPr>
              <w:t>91</w:t>
            </w:r>
          </w:p>
        </w:tc>
        <w:tc>
          <w:tcPr>
            <w:tcW w:w="973" w:type="pct"/>
            <w:vMerge w:val="continue"/>
            <w:vAlign w:val="center"/>
          </w:tcPr>
          <w:p w14:paraId="3D51AB4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124764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岭根底</w:t>
            </w:r>
          </w:p>
        </w:tc>
        <w:tc>
          <w:tcPr>
            <w:tcW w:w="973" w:type="pct"/>
          </w:tcPr>
          <w:p w14:paraId="6EDA06B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D415A0D">
            <w:pPr>
              <w:widowControl/>
              <w:adjustRightInd w:val="0"/>
              <w:spacing w:line="240" w:lineRule="auto"/>
              <w:ind w:firstLine="0" w:firstLineChars="0"/>
              <w:contextualSpacing/>
              <w:jc w:val="center"/>
              <w:rPr>
                <w:rFonts w:cs="Times New Roman"/>
                <w:sz w:val="21"/>
                <w:szCs w:val="21"/>
              </w:rPr>
            </w:pPr>
          </w:p>
        </w:tc>
      </w:tr>
      <w:tr w14:paraId="0E6C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F8C2BFD">
            <w:pPr>
              <w:widowControl/>
              <w:adjustRightInd w:val="0"/>
              <w:spacing w:line="240" w:lineRule="auto"/>
              <w:ind w:firstLine="0" w:firstLineChars="0"/>
              <w:contextualSpacing/>
              <w:jc w:val="center"/>
              <w:rPr>
                <w:rFonts w:cs="Times New Roman"/>
                <w:sz w:val="21"/>
                <w:szCs w:val="21"/>
              </w:rPr>
            </w:pPr>
            <w:r>
              <w:rPr>
                <w:rFonts w:hint="eastAsia"/>
                <w:color w:val="000000"/>
                <w:sz w:val="22"/>
              </w:rPr>
              <w:t>92</w:t>
            </w:r>
          </w:p>
        </w:tc>
        <w:tc>
          <w:tcPr>
            <w:tcW w:w="973" w:type="pct"/>
            <w:vMerge w:val="continue"/>
            <w:vAlign w:val="center"/>
          </w:tcPr>
          <w:p w14:paraId="5F803BEF">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5883469">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孤家子</w:t>
            </w:r>
          </w:p>
        </w:tc>
        <w:tc>
          <w:tcPr>
            <w:tcW w:w="973" w:type="pct"/>
          </w:tcPr>
          <w:p w14:paraId="654F9242">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38AAE051">
            <w:pPr>
              <w:widowControl/>
              <w:adjustRightInd w:val="0"/>
              <w:spacing w:line="240" w:lineRule="auto"/>
              <w:ind w:firstLine="0" w:firstLineChars="0"/>
              <w:contextualSpacing/>
              <w:jc w:val="center"/>
              <w:rPr>
                <w:rFonts w:cs="Times New Roman"/>
                <w:sz w:val="21"/>
                <w:szCs w:val="21"/>
              </w:rPr>
            </w:pPr>
          </w:p>
        </w:tc>
      </w:tr>
      <w:tr w14:paraId="796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F50FF37">
            <w:pPr>
              <w:widowControl/>
              <w:adjustRightInd w:val="0"/>
              <w:spacing w:line="240" w:lineRule="auto"/>
              <w:ind w:firstLine="0" w:firstLineChars="0"/>
              <w:contextualSpacing/>
              <w:jc w:val="center"/>
              <w:rPr>
                <w:rFonts w:cs="Times New Roman"/>
                <w:sz w:val="21"/>
                <w:szCs w:val="21"/>
              </w:rPr>
            </w:pPr>
            <w:r>
              <w:rPr>
                <w:rFonts w:hint="eastAsia"/>
                <w:color w:val="000000"/>
                <w:sz w:val="22"/>
              </w:rPr>
              <w:t>93</w:t>
            </w:r>
          </w:p>
        </w:tc>
        <w:tc>
          <w:tcPr>
            <w:tcW w:w="973" w:type="pct"/>
            <w:vMerge w:val="continue"/>
            <w:vAlign w:val="center"/>
          </w:tcPr>
          <w:p w14:paraId="115BDCF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C39A11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新农村</w:t>
            </w:r>
          </w:p>
        </w:tc>
        <w:tc>
          <w:tcPr>
            <w:tcW w:w="973" w:type="pct"/>
          </w:tcPr>
          <w:p w14:paraId="19E4C3C6">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837380D">
            <w:pPr>
              <w:widowControl/>
              <w:adjustRightInd w:val="0"/>
              <w:spacing w:line="240" w:lineRule="auto"/>
              <w:ind w:firstLine="0" w:firstLineChars="0"/>
              <w:contextualSpacing/>
              <w:jc w:val="center"/>
              <w:rPr>
                <w:rFonts w:cs="Times New Roman"/>
                <w:sz w:val="21"/>
                <w:szCs w:val="21"/>
              </w:rPr>
            </w:pPr>
          </w:p>
        </w:tc>
      </w:tr>
      <w:tr w14:paraId="163B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5FE2621">
            <w:pPr>
              <w:widowControl/>
              <w:adjustRightInd w:val="0"/>
              <w:spacing w:line="240" w:lineRule="auto"/>
              <w:ind w:firstLine="0" w:firstLineChars="0"/>
              <w:contextualSpacing/>
              <w:jc w:val="center"/>
              <w:rPr>
                <w:rFonts w:cs="Times New Roman"/>
                <w:sz w:val="21"/>
                <w:szCs w:val="21"/>
              </w:rPr>
            </w:pPr>
            <w:r>
              <w:rPr>
                <w:rFonts w:hint="eastAsia"/>
                <w:color w:val="000000"/>
                <w:sz w:val="22"/>
              </w:rPr>
              <w:t>94</w:t>
            </w:r>
          </w:p>
        </w:tc>
        <w:tc>
          <w:tcPr>
            <w:tcW w:w="973" w:type="pct"/>
            <w:vMerge w:val="continue"/>
            <w:vAlign w:val="center"/>
          </w:tcPr>
          <w:p w14:paraId="5209702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F20F39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小海青伙洛沟</w:t>
            </w:r>
          </w:p>
        </w:tc>
        <w:tc>
          <w:tcPr>
            <w:tcW w:w="973" w:type="pct"/>
          </w:tcPr>
          <w:p w14:paraId="3E2DDD1E">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088AC02">
            <w:pPr>
              <w:widowControl/>
              <w:adjustRightInd w:val="0"/>
              <w:spacing w:line="240" w:lineRule="auto"/>
              <w:ind w:firstLine="0" w:firstLineChars="0"/>
              <w:contextualSpacing/>
              <w:jc w:val="center"/>
              <w:rPr>
                <w:rFonts w:cs="Times New Roman"/>
                <w:sz w:val="21"/>
                <w:szCs w:val="21"/>
              </w:rPr>
            </w:pPr>
          </w:p>
        </w:tc>
      </w:tr>
      <w:tr w14:paraId="6FB7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135BE4B">
            <w:pPr>
              <w:widowControl/>
              <w:adjustRightInd w:val="0"/>
              <w:spacing w:line="240" w:lineRule="auto"/>
              <w:ind w:firstLine="0" w:firstLineChars="0"/>
              <w:contextualSpacing/>
              <w:jc w:val="center"/>
              <w:rPr>
                <w:rFonts w:cs="Times New Roman"/>
                <w:sz w:val="21"/>
                <w:szCs w:val="21"/>
              </w:rPr>
            </w:pPr>
            <w:r>
              <w:rPr>
                <w:rFonts w:hint="eastAsia"/>
                <w:color w:val="000000"/>
                <w:sz w:val="22"/>
              </w:rPr>
              <w:t>95</w:t>
            </w:r>
          </w:p>
        </w:tc>
        <w:tc>
          <w:tcPr>
            <w:tcW w:w="973" w:type="pct"/>
            <w:vMerge w:val="continue"/>
            <w:vAlign w:val="center"/>
          </w:tcPr>
          <w:p w14:paraId="05D2039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4DFE2B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草坑</w:t>
            </w:r>
          </w:p>
        </w:tc>
        <w:tc>
          <w:tcPr>
            <w:tcW w:w="973" w:type="pct"/>
          </w:tcPr>
          <w:p w14:paraId="7C08D4D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9DB5E21">
            <w:pPr>
              <w:widowControl/>
              <w:adjustRightInd w:val="0"/>
              <w:spacing w:line="240" w:lineRule="auto"/>
              <w:ind w:firstLine="0" w:firstLineChars="0"/>
              <w:contextualSpacing/>
              <w:jc w:val="center"/>
              <w:rPr>
                <w:rFonts w:cs="Times New Roman"/>
                <w:sz w:val="21"/>
                <w:szCs w:val="21"/>
              </w:rPr>
            </w:pPr>
          </w:p>
        </w:tc>
      </w:tr>
      <w:tr w14:paraId="6AE8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A900AEE">
            <w:pPr>
              <w:widowControl/>
              <w:adjustRightInd w:val="0"/>
              <w:spacing w:line="240" w:lineRule="auto"/>
              <w:ind w:firstLine="0" w:firstLineChars="0"/>
              <w:contextualSpacing/>
              <w:jc w:val="center"/>
              <w:rPr>
                <w:rFonts w:cs="Times New Roman"/>
                <w:sz w:val="21"/>
                <w:szCs w:val="21"/>
              </w:rPr>
            </w:pPr>
            <w:r>
              <w:rPr>
                <w:rFonts w:hint="eastAsia"/>
                <w:color w:val="000000"/>
                <w:sz w:val="22"/>
              </w:rPr>
              <w:t>96</w:t>
            </w:r>
          </w:p>
        </w:tc>
        <w:tc>
          <w:tcPr>
            <w:tcW w:w="973" w:type="pct"/>
            <w:vMerge w:val="continue"/>
            <w:vAlign w:val="center"/>
          </w:tcPr>
          <w:p w14:paraId="63003B4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AEF057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宋家沟</w:t>
            </w:r>
          </w:p>
        </w:tc>
        <w:tc>
          <w:tcPr>
            <w:tcW w:w="973" w:type="pct"/>
          </w:tcPr>
          <w:p w14:paraId="5EB049B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C08DBE1">
            <w:pPr>
              <w:widowControl/>
              <w:adjustRightInd w:val="0"/>
              <w:spacing w:line="240" w:lineRule="auto"/>
              <w:ind w:firstLine="0" w:firstLineChars="0"/>
              <w:contextualSpacing/>
              <w:jc w:val="center"/>
              <w:rPr>
                <w:rFonts w:cs="Times New Roman"/>
                <w:sz w:val="21"/>
                <w:szCs w:val="21"/>
              </w:rPr>
            </w:pPr>
          </w:p>
        </w:tc>
      </w:tr>
      <w:tr w14:paraId="5231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5CF2417">
            <w:pPr>
              <w:widowControl/>
              <w:adjustRightInd w:val="0"/>
              <w:spacing w:line="240" w:lineRule="auto"/>
              <w:ind w:firstLine="0" w:firstLineChars="0"/>
              <w:contextualSpacing/>
              <w:jc w:val="center"/>
              <w:rPr>
                <w:rFonts w:cs="Times New Roman"/>
                <w:sz w:val="21"/>
                <w:szCs w:val="21"/>
              </w:rPr>
            </w:pPr>
            <w:r>
              <w:rPr>
                <w:rFonts w:hint="eastAsia"/>
                <w:color w:val="000000"/>
                <w:sz w:val="22"/>
              </w:rPr>
              <w:t>97</w:t>
            </w:r>
          </w:p>
        </w:tc>
        <w:tc>
          <w:tcPr>
            <w:tcW w:w="973" w:type="pct"/>
            <w:vMerge w:val="continue"/>
            <w:vAlign w:val="center"/>
          </w:tcPr>
          <w:p w14:paraId="56A8812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96FF6E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海青伙洛</w:t>
            </w:r>
          </w:p>
        </w:tc>
        <w:tc>
          <w:tcPr>
            <w:tcW w:w="973" w:type="pct"/>
          </w:tcPr>
          <w:p w14:paraId="7760FE0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EFE05CB">
            <w:pPr>
              <w:widowControl/>
              <w:adjustRightInd w:val="0"/>
              <w:spacing w:line="240" w:lineRule="auto"/>
              <w:ind w:firstLine="0" w:firstLineChars="0"/>
              <w:contextualSpacing/>
              <w:jc w:val="center"/>
              <w:rPr>
                <w:rFonts w:cs="Times New Roman"/>
                <w:sz w:val="21"/>
                <w:szCs w:val="21"/>
              </w:rPr>
            </w:pPr>
          </w:p>
        </w:tc>
      </w:tr>
      <w:tr w14:paraId="76F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1A0BA21">
            <w:pPr>
              <w:widowControl/>
              <w:adjustRightInd w:val="0"/>
              <w:spacing w:line="240" w:lineRule="auto"/>
              <w:ind w:firstLine="0" w:firstLineChars="0"/>
              <w:contextualSpacing/>
              <w:jc w:val="center"/>
              <w:rPr>
                <w:rFonts w:cs="Times New Roman"/>
                <w:sz w:val="21"/>
                <w:szCs w:val="21"/>
              </w:rPr>
            </w:pPr>
            <w:r>
              <w:rPr>
                <w:rFonts w:hint="eastAsia"/>
                <w:color w:val="000000"/>
                <w:sz w:val="22"/>
              </w:rPr>
              <w:t>98</w:t>
            </w:r>
          </w:p>
        </w:tc>
        <w:tc>
          <w:tcPr>
            <w:tcW w:w="973" w:type="pct"/>
            <w:vMerge w:val="continue"/>
            <w:vAlign w:val="center"/>
          </w:tcPr>
          <w:p w14:paraId="4E11511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960B5A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西岔</w:t>
            </w:r>
          </w:p>
        </w:tc>
        <w:tc>
          <w:tcPr>
            <w:tcW w:w="973" w:type="pct"/>
          </w:tcPr>
          <w:p w14:paraId="5E266AEA">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02E06E46">
            <w:pPr>
              <w:widowControl/>
              <w:adjustRightInd w:val="0"/>
              <w:spacing w:line="240" w:lineRule="auto"/>
              <w:ind w:firstLine="0" w:firstLineChars="0"/>
              <w:contextualSpacing/>
              <w:jc w:val="center"/>
              <w:rPr>
                <w:rFonts w:cs="Times New Roman"/>
                <w:sz w:val="21"/>
                <w:szCs w:val="21"/>
              </w:rPr>
            </w:pPr>
          </w:p>
        </w:tc>
      </w:tr>
      <w:tr w14:paraId="111D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A87142D">
            <w:pPr>
              <w:widowControl/>
              <w:adjustRightInd w:val="0"/>
              <w:spacing w:line="240" w:lineRule="auto"/>
              <w:ind w:firstLine="0" w:firstLineChars="0"/>
              <w:contextualSpacing/>
              <w:jc w:val="center"/>
              <w:rPr>
                <w:rFonts w:cs="Times New Roman"/>
                <w:sz w:val="21"/>
                <w:szCs w:val="21"/>
              </w:rPr>
            </w:pPr>
            <w:r>
              <w:rPr>
                <w:rFonts w:hint="eastAsia"/>
                <w:color w:val="000000"/>
                <w:sz w:val="22"/>
              </w:rPr>
              <w:t>99</w:t>
            </w:r>
          </w:p>
        </w:tc>
        <w:tc>
          <w:tcPr>
            <w:tcW w:w="973" w:type="pct"/>
            <w:vMerge w:val="continue"/>
            <w:vAlign w:val="center"/>
          </w:tcPr>
          <w:p w14:paraId="5B1DEEC4">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65DCF0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正岔</w:t>
            </w:r>
          </w:p>
        </w:tc>
        <w:tc>
          <w:tcPr>
            <w:tcW w:w="973" w:type="pct"/>
          </w:tcPr>
          <w:p w14:paraId="77DC7371">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5F45BAD2">
            <w:pPr>
              <w:widowControl/>
              <w:adjustRightInd w:val="0"/>
              <w:spacing w:line="240" w:lineRule="auto"/>
              <w:ind w:firstLine="0" w:firstLineChars="0"/>
              <w:contextualSpacing/>
              <w:jc w:val="center"/>
              <w:rPr>
                <w:rFonts w:cs="Times New Roman"/>
                <w:sz w:val="21"/>
                <w:szCs w:val="21"/>
              </w:rPr>
            </w:pPr>
          </w:p>
        </w:tc>
      </w:tr>
      <w:tr w14:paraId="1A22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164DE3E">
            <w:pPr>
              <w:widowControl/>
              <w:adjustRightInd w:val="0"/>
              <w:spacing w:line="240" w:lineRule="auto"/>
              <w:ind w:firstLine="0" w:firstLineChars="0"/>
              <w:contextualSpacing/>
              <w:jc w:val="center"/>
              <w:rPr>
                <w:rFonts w:cs="Times New Roman"/>
                <w:sz w:val="21"/>
                <w:szCs w:val="21"/>
              </w:rPr>
            </w:pPr>
            <w:r>
              <w:rPr>
                <w:rFonts w:hint="eastAsia"/>
                <w:color w:val="000000"/>
                <w:sz w:val="22"/>
              </w:rPr>
              <w:t>100</w:t>
            </w:r>
          </w:p>
        </w:tc>
        <w:tc>
          <w:tcPr>
            <w:tcW w:w="973" w:type="pct"/>
            <w:vMerge w:val="continue"/>
            <w:vAlign w:val="center"/>
          </w:tcPr>
          <w:p w14:paraId="35AEAF3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9859247">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东岔</w:t>
            </w:r>
          </w:p>
        </w:tc>
        <w:tc>
          <w:tcPr>
            <w:tcW w:w="973" w:type="pct"/>
          </w:tcPr>
          <w:p w14:paraId="64495C79">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6D6D6E03">
            <w:pPr>
              <w:widowControl/>
              <w:adjustRightInd w:val="0"/>
              <w:spacing w:line="240" w:lineRule="auto"/>
              <w:ind w:firstLine="0" w:firstLineChars="0"/>
              <w:contextualSpacing/>
              <w:jc w:val="center"/>
              <w:rPr>
                <w:rFonts w:cs="Times New Roman"/>
                <w:sz w:val="21"/>
                <w:szCs w:val="21"/>
              </w:rPr>
            </w:pPr>
          </w:p>
        </w:tc>
      </w:tr>
      <w:tr w14:paraId="476C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464FD0C">
            <w:pPr>
              <w:widowControl/>
              <w:adjustRightInd w:val="0"/>
              <w:spacing w:line="240" w:lineRule="auto"/>
              <w:ind w:firstLine="0" w:firstLineChars="0"/>
              <w:contextualSpacing/>
              <w:jc w:val="center"/>
              <w:rPr>
                <w:rFonts w:cs="Times New Roman"/>
                <w:sz w:val="21"/>
                <w:szCs w:val="21"/>
              </w:rPr>
            </w:pPr>
            <w:r>
              <w:rPr>
                <w:rFonts w:hint="eastAsia"/>
                <w:color w:val="000000"/>
                <w:sz w:val="22"/>
              </w:rPr>
              <w:t>101</w:t>
            </w:r>
          </w:p>
        </w:tc>
        <w:tc>
          <w:tcPr>
            <w:tcW w:w="973" w:type="pct"/>
            <w:vMerge w:val="continue"/>
            <w:vAlign w:val="center"/>
          </w:tcPr>
          <w:p w14:paraId="214C834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F555DC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海青伙洛</w:t>
            </w:r>
          </w:p>
        </w:tc>
        <w:tc>
          <w:tcPr>
            <w:tcW w:w="973" w:type="pct"/>
          </w:tcPr>
          <w:p w14:paraId="58FADE4D">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2B2F0F5C">
            <w:pPr>
              <w:widowControl/>
              <w:adjustRightInd w:val="0"/>
              <w:spacing w:line="240" w:lineRule="auto"/>
              <w:ind w:firstLine="0" w:firstLineChars="0"/>
              <w:contextualSpacing/>
              <w:jc w:val="center"/>
              <w:rPr>
                <w:rFonts w:cs="Times New Roman"/>
                <w:sz w:val="21"/>
                <w:szCs w:val="21"/>
              </w:rPr>
            </w:pPr>
          </w:p>
        </w:tc>
      </w:tr>
      <w:tr w14:paraId="535B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A8C6D19">
            <w:pPr>
              <w:widowControl/>
              <w:adjustRightInd w:val="0"/>
              <w:spacing w:line="240" w:lineRule="auto"/>
              <w:ind w:firstLine="0" w:firstLineChars="0"/>
              <w:contextualSpacing/>
              <w:jc w:val="center"/>
              <w:rPr>
                <w:rFonts w:cs="Times New Roman"/>
                <w:sz w:val="21"/>
                <w:szCs w:val="21"/>
              </w:rPr>
            </w:pPr>
            <w:r>
              <w:rPr>
                <w:rFonts w:hint="eastAsia"/>
                <w:color w:val="000000"/>
                <w:sz w:val="22"/>
              </w:rPr>
              <w:t>102</w:t>
            </w:r>
          </w:p>
        </w:tc>
        <w:tc>
          <w:tcPr>
            <w:tcW w:w="973" w:type="pct"/>
            <w:vMerge w:val="restart"/>
            <w:vAlign w:val="center"/>
          </w:tcPr>
          <w:p w14:paraId="38421BAB">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菜娥堡村</w:t>
            </w:r>
          </w:p>
        </w:tc>
        <w:tc>
          <w:tcPr>
            <w:tcW w:w="973" w:type="pct"/>
            <w:vAlign w:val="bottom"/>
          </w:tcPr>
          <w:p w14:paraId="5B2C42D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罗圈沟</w:t>
            </w:r>
          </w:p>
        </w:tc>
        <w:tc>
          <w:tcPr>
            <w:tcW w:w="973" w:type="pct"/>
          </w:tcPr>
          <w:p w14:paraId="4C0C21A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87388FE">
            <w:pPr>
              <w:widowControl/>
              <w:adjustRightInd w:val="0"/>
              <w:spacing w:line="240" w:lineRule="auto"/>
              <w:ind w:firstLine="0" w:firstLineChars="0"/>
              <w:contextualSpacing/>
              <w:jc w:val="center"/>
              <w:rPr>
                <w:rFonts w:cs="Times New Roman"/>
                <w:sz w:val="21"/>
                <w:szCs w:val="21"/>
              </w:rPr>
            </w:pPr>
          </w:p>
        </w:tc>
      </w:tr>
      <w:tr w14:paraId="22BA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6B11DD46">
            <w:pPr>
              <w:widowControl/>
              <w:adjustRightInd w:val="0"/>
              <w:spacing w:line="240" w:lineRule="auto"/>
              <w:ind w:firstLine="0" w:firstLineChars="0"/>
              <w:contextualSpacing/>
              <w:jc w:val="center"/>
              <w:rPr>
                <w:rFonts w:cs="Times New Roman"/>
                <w:sz w:val="21"/>
                <w:szCs w:val="21"/>
              </w:rPr>
            </w:pPr>
            <w:r>
              <w:rPr>
                <w:rFonts w:hint="eastAsia"/>
                <w:color w:val="000000"/>
                <w:sz w:val="22"/>
              </w:rPr>
              <w:t>103</w:t>
            </w:r>
          </w:p>
        </w:tc>
        <w:tc>
          <w:tcPr>
            <w:tcW w:w="973" w:type="pct"/>
            <w:vMerge w:val="continue"/>
            <w:vAlign w:val="center"/>
          </w:tcPr>
          <w:p w14:paraId="2762BA6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1967B9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油瓶沟</w:t>
            </w:r>
          </w:p>
        </w:tc>
        <w:tc>
          <w:tcPr>
            <w:tcW w:w="973" w:type="pct"/>
          </w:tcPr>
          <w:p w14:paraId="5510AFE4">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C389BB6">
            <w:pPr>
              <w:widowControl/>
              <w:adjustRightInd w:val="0"/>
              <w:spacing w:line="240" w:lineRule="auto"/>
              <w:ind w:firstLine="0" w:firstLineChars="0"/>
              <w:contextualSpacing/>
              <w:jc w:val="center"/>
              <w:rPr>
                <w:rFonts w:cs="Times New Roman"/>
                <w:sz w:val="21"/>
                <w:szCs w:val="21"/>
              </w:rPr>
            </w:pPr>
          </w:p>
        </w:tc>
      </w:tr>
      <w:tr w14:paraId="0F30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8AC373B">
            <w:pPr>
              <w:widowControl/>
              <w:adjustRightInd w:val="0"/>
              <w:spacing w:line="240" w:lineRule="auto"/>
              <w:ind w:firstLine="0" w:firstLineChars="0"/>
              <w:contextualSpacing/>
              <w:jc w:val="center"/>
              <w:rPr>
                <w:rFonts w:cs="Times New Roman"/>
                <w:sz w:val="21"/>
                <w:szCs w:val="21"/>
              </w:rPr>
            </w:pPr>
            <w:r>
              <w:rPr>
                <w:rFonts w:hint="eastAsia"/>
                <w:color w:val="000000"/>
                <w:sz w:val="22"/>
              </w:rPr>
              <w:t>104</w:t>
            </w:r>
          </w:p>
        </w:tc>
        <w:tc>
          <w:tcPr>
            <w:tcW w:w="973" w:type="pct"/>
            <w:vMerge w:val="continue"/>
            <w:vAlign w:val="center"/>
          </w:tcPr>
          <w:p w14:paraId="31CFB4E4">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85B5C3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吴家街</w:t>
            </w:r>
          </w:p>
        </w:tc>
        <w:tc>
          <w:tcPr>
            <w:tcW w:w="973" w:type="pct"/>
          </w:tcPr>
          <w:p w14:paraId="33EE0F4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ECC5049">
            <w:pPr>
              <w:widowControl/>
              <w:adjustRightInd w:val="0"/>
              <w:spacing w:line="240" w:lineRule="auto"/>
              <w:ind w:firstLine="0" w:firstLineChars="0"/>
              <w:contextualSpacing/>
              <w:jc w:val="center"/>
              <w:rPr>
                <w:rFonts w:cs="Times New Roman"/>
                <w:sz w:val="21"/>
                <w:szCs w:val="21"/>
              </w:rPr>
            </w:pPr>
          </w:p>
        </w:tc>
      </w:tr>
      <w:tr w14:paraId="5AF8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0A5E80C">
            <w:pPr>
              <w:widowControl/>
              <w:adjustRightInd w:val="0"/>
              <w:spacing w:line="240" w:lineRule="auto"/>
              <w:ind w:firstLine="0" w:firstLineChars="0"/>
              <w:contextualSpacing/>
              <w:jc w:val="center"/>
              <w:rPr>
                <w:rFonts w:cs="Times New Roman"/>
                <w:sz w:val="21"/>
                <w:szCs w:val="21"/>
              </w:rPr>
            </w:pPr>
            <w:r>
              <w:rPr>
                <w:rFonts w:hint="eastAsia"/>
                <w:color w:val="000000"/>
                <w:sz w:val="22"/>
              </w:rPr>
              <w:t>105</w:t>
            </w:r>
          </w:p>
        </w:tc>
        <w:tc>
          <w:tcPr>
            <w:tcW w:w="973" w:type="pct"/>
            <w:vMerge w:val="continue"/>
            <w:vAlign w:val="center"/>
          </w:tcPr>
          <w:p w14:paraId="57C40CD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72D974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大砬子沟</w:t>
            </w:r>
          </w:p>
        </w:tc>
        <w:tc>
          <w:tcPr>
            <w:tcW w:w="973" w:type="pct"/>
          </w:tcPr>
          <w:p w14:paraId="4B12673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C0DDD88">
            <w:pPr>
              <w:widowControl/>
              <w:adjustRightInd w:val="0"/>
              <w:spacing w:line="240" w:lineRule="auto"/>
              <w:ind w:firstLine="0" w:firstLineChars="0"/>
              <w:contextualSpacing/>
              <w:jc w:val="center"/>
              <w:rPr>
                <w:rFonts w:cs="Times New Roman"/>
                <w:sz w:val="21"/>
                <w:szCs w:val="21"/>
              </w:rPr>
            </w:pPr>
          </w:p>
        </w:tc>
      </w:tr>
      <w:tr w14:paraId="49B2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5B7D2F5">
            <w:pPr>
              <w:widowControl/>
              <w:adjustRightInd w:val="0"/>
              <w:spacing w:line="240" w:lineRule="auto"/>
              <w:ind w:firstLine="0" w:firstLineChars="0"/>
              <w:contextualSpacing/>
              <w:jc w:val="center"/>
              <w:rPr>
                <w:rFonts w:cs="Times New Roman"/>
                <w:sz w:val="21"/>
                <w:szCs w:val="21"/>
              </w:rPr>
            </w:pPr>
            <w:r>
              <w:rPr>
                <w:rFonts w:hint="eastAsia"/>
                <w:color w:val="000000"/>
                <w:sz w:val="22"/>
              </w:rPr>
              <w:t>106</w:t>
            </w:r>
          </w:p>
        </w:tc>
        <w:tc>
          <w:tcPr>
            <w:tcW w:w="973" w:type="pct"/>
            <w:vMerge w:val="continue"/>
            <w:vAlign w:val="center"/>
          </w:tcPr>
          <w:p w14:paraId="7824BA6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40FBA2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蔡俄堡村</w:t>
            </w:r>
          </w:p>
        </w:tc>
        <w:tc>
          <w:tcPr>
            <w:tcW w:w="973" w:type="pct"/>
          </w:tcPr>
          <w:p w14:paraId="5A64BDE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5D579E4">
            <w:pPr>
              <w:widowControl/>
              <w:adjustRightInd w:val="0"/>
              <w:spacing w:line="240" w:lineRule="auto"/>
              <w:ind w:firstLine="0" w:firstLineChars="0"/>
              <w:contextualSpacing/>
              <w:jc w:val="center"/>
              <w:rPr>
                <w:rFonts w:cs="Times New Roman"/>
                <w:sz w:val="21"/>
                <w:szCs w:val="21"/>
              </w:rPr>
            </w:pPr>
          </w:p>
        </w:tc>
      </w:tr>
      <w:tr w14:paraId="4242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D5654B0">
            <w:pPr>
              <w:widowControl/>
              <w:adjustRightInd w:val="0"/>
              <w:spacing w:line="240" w:lineRule="auto"/>
              <w:ind w:firstLine="0" w:firstLineChars="0"/>
              <w:contextualSpacing/>
              <w:jc w:val="center"/>
              <w:rPr>
                <w:rFonts w:cs="Times New Roman"/>
                <w:sz w:val="21"/>
                <w:szCs w:val="21"/>
              </w:rPr>
            </w:pPr>
            <w:r>
              <w:rPr>
                <w:rFonts w:hint="eastAsia"/>
                <w:color w:val="000000"/>
                <w:sz w:val="22"/>
              </w:rPr>
              <w:t>107</w:t>
            </w:r>
          </w:p>
        </w:tc>
        <w:tc>
          <w:tcPr>
            <w:tcW w:w="973" w:type="pct"/>
            <w:vMerge w:val="continue"/>
            <w:vAlign w:val="center"/>
          </w:tcPr>
          <w:p w14:paraId="03FBBBD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B61905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蔡窝堡村</w:t>
            </w:r>
          </w:p>
        </w:tc>
        <w:tc>
          <w:tcPr>
            <w:tcW w:w="973" w:type="pct"/>
          </w:tcPr>
          <w:p w14:paraId="18EAB7F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FA04349">
            <w:pPr>
              <w:widowControl/>
              <w:adjustRightInd w:val="0"/>
              <w:spacing w:line="240" w:lineRule="auto"/>
              <w:ind w:firstLine="0" w:firstLineChars="0"/>
              <w:contextualSpacing/>
              <w:jc w:val="center"/>
              <w:rPr>
                <w:rFonts w:cs="Times New Roman"/>
                <w:sz w:val="21"/>
                <w:szCs w:val="21"/>
              </w:rPr>
            </w:pPr>
          </w:p>
        </w:tc>
      </w:tr>
      <w:tr w14:paraId="43D5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4EE68B6">
            <w:pPr>
              <w:widowControl/>
              <w:adjustRightInd w:val="0"/>
              <w:spacing w:line="240" w:lineRule="auto"/>
              <w:ind w:firstLine="0" w:firstLineChars="0"/>
              <w:contextualSpacing/>
              <w:jc w:val="center"/>
              <w:rPr>
                <w:rFonts w:cs="Times New Roman"/>
                <w:sz w:val="21"/>
                <w:szCs w:val="21"/>
              </w:rPr>
            </w:pPr>
            <w:r>
              <w:rPr>
                <w:rFonts w:hint="eastAsia"/>
                <w:color w:val="000000"/>
                <w:sz w:val="22"/>
              </w:rPr>
              <w:t>108</w:t>
            </w:r>
          </w:p>
        </w:tc>
        <w:tc>
          <w:tcPr>
            <w:tcW w:w="973" w:type="pct"/>
            <w:vMerge w:val="continue"/>
            <w:vAlign w:val="center"/>
          </w:tcPr>
          <w:p w14:paraId="4933CC9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33D42E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小砬子沟</w:t>
            </w:r>
          </w:p>
        </w:tc>
        <w:tc>
          <w:tcPr>
            <w:tcW w:w="973" w:type="pct"/>
          </w:tcPr>
          <w:p w14:paraId="403B9325">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888D160">
            <w:pPr>
              <w:widowControl/>
              <w:adjustRightInd w:val="0"/>
              <w:spacing w:line="240" w:lineRule="auto"/>
              <w:ind w:firstLine="0" w:firstLineChars="0"/>
              <w:contextualSpacing/>
              <w:jc w:val="center"/>
              <w:rPr>
                <w:rFonts w:cs="Times New Roman"/>
                <w:sz w:val="21"/>
                <w:szCs w:val="21"/>
              </w:rPr>
            </w:pPr>
          </w:p>
        </w:tc>
      </w:tr>
      <w:tr w14:paraId="205D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47A39F8">
            <w:pPr>
              <w:widowControl/>
              <w:adjustRightInd w:val="0"/>
              <w:spacing w:line="240" w:lineRule="auto"/>
              <w:ind w:firstLine="0" w:firstLineChars="0"/>
              <w:contextualSpacing/>
              <w:jc w:val="center"/>
              <w:rPr>
                <w:rFonts w:cs="Times New Roman"/>
                <w:sz w:val="21"/>
                <w:szCs w:val="21"/>
              </w:rPr>
            </w:pPr>
            <w:r>
              <w:rPr>
                <w:rFonts w:hint="eastAsia"/>
                <w:color w:val="000000"/>
                <w:sz w:val="22"/>
              </w:rPr>
              <w:t>109</w:t>
            </w:r>
          </w:p>
        </w:tc>
        <w:tc>
          <w:tcPr>
            <w:tcW w:w="973" w:type="pct"/>
            <w:vMerge w:val="continue"/>
            <w:vAlign w:val="center"/>
          </w:tcPr>
          <w:p w14:paraId="400EC6C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1ED429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宫家崴子</w:t>
            </w:r>
          </w:p>
        </w:tc>
        <w:tc>
          <w:tcPr>
            <w:tcW w:w="973" w:type="pct"/>
          </w:tcPr>
          <w:p w14:paraId="561FB94C">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A1485C8">
            <w:pPr>
              <w:widowControl/>
              <w:adjustRightInd w:val="0"/>
              <w:spacing w:line="240" w:lineRule="auto"/>
              <w:ind w:firstLine="0" w:firstLineChars="0"/>
              <w:contextualSpacing/>
              <w:jc w:val="center"/>
              <w:rPr>
                <w:rFonts w:cs="Times New Roman"/>
                <w:sz w:val="21"/>
                <w:szCs w:val="21"/>
              </w:rPr>
            </w:pPr>
          </w:p>
        </w:tc>
      </w:tr>
      <w:tr w14:paraId="173B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E2507F6">
            <w:pPr>
              <w:widowControl/>
              <w:adjustRightInd w:val="0"/>
              <w:spacing w:line="240" w:lineRule="auto"/>
              <w:ind w:firstLine="0" w:firstLineChars="0"/>
              <w:contextualSpacing/>
              <w:jc w:val="center"/>
              <w:rPr>
                <w:rFonts w:cs="Times New Roman"/>
                <w:sz w:val="21"/>
                <w:szCs w:val="21"/>
              </w:rPr>
            </w:pPr>
            <w:r>
              <w:rPr>
                <w:rFonts w:hint="eastAsia"/>
                <w:color w:val="000000"/>
                <w:sz w:val="22"/>
              </w:rPr>
              <w:t>110</w:t>
            </w:r>
          </w:p>
        </w:tc>
        <w:tc>
          <w:tcPr>
            <w:tcW w:w="973" w:type="pct"/>
            <w:vMerge w:val="restart"/>
            <w:vAlign w:val="center"/>
          </w:tcPr>
          <w:p w14:paraId="5DAF2429">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木盂子村</w:t>
            </w:r>
          </w:p>
        </w:tc>
        <w:tc>
          <w:tcPr>
            <w:tcW w:w="973" w:type="pct"/>
            <w:vAlign w:val="bottom"/>
          </w:tcPr>
          <w:p w14:paraId="230B10C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南干沟</w:t>
            </w:r>
          </w:p>
        </w:tc>
        <w:tc>
          <w:tcPr>
            <w:tcW w:w="973" w:type="pct"/>
          </w:tcPr>
          <w:p w14:paraId="7A8FCB54">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9784D53">
            <w:pPr>
              <w:widowControl/>
              <w:adjustRightInd w:val="0"/>
              <w:spacing w:line="240" w:lineRule="auto"/>
              <w:ind w:firstLine="0" w:firstLineChars="0"/>
              <w:contextualSpacing/>
              <w:jc w:val="center"/>
              <w:rPr>
                <w:rFonts w:cs="Times New Roman"/>
                <w:sz w:val="21"/>
                <w:szCs w:val="21"/>
              </w:rPr>
            </w:pPr>
          </w:p>
        </w:tc>
      </w:tr>
      <w:tr w14:paraId="2228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A153E88">
            <w:pPr>
              <w:widowControl/>
              <w:adjustRightInd w:val="0"/>
              <w:spacing w:line="240" w:lineRule="auto"/>
              <w:ind w:firstLine="0" w:firstLineChars="0"/>
              <w:contextualSpacing/>
              <w:jc w:val="center"/>
              <w:rPr>
                <w:rFonts w:cs="Times New Roman"/>
                <w:sz w:val="21"/>
                <w:szCs w:val="21"/>
              </w:rPr>
            </w:pPr>
            <w:r>
              <w:rPr>
                <w:rFonts w:hint="eastAsia"/>
                <w:color w:val="000000"/>
                <w:sz w:val="22"/>
              </w:rPr>
              <w:t>111</w:t>
            </w:r>
          </w:p>
        </w:tc>
        <w:tc>
          <w:tcPr>
            <w:tcW w:w="973" w:type="pct"/>
            <w:vMerge w:val="continue"/>
            <w:vAlign w:val="center"/>
          </w:tcPr>
          <w:p w14:paraId="7C0CDB3E">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443D2A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三个顶子</w:t>
            </w:r>
          </w:p>
        </w:tc>
        <w:tc>
          <w:tcPr>
            <w:tcW w:w="973" w:type="pct"/>
          </w:tcPr>
          <w:p w14:paraId="08F6527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CC6D00F">
            <w:pPr>
              <w:widowControl/>
              <w:adjustRightInd w:val="0"/>
              <w:spacing w:line="240" w:lineRule="auto"/>
              <w:ind w:firstLine="0" w:firstLineChars="0"/>
              <w:contextualSpacing/>
              <w:jc w:val="center"/>
              <w:rPr>
                <w:rFonts w:cs="Times New Roman"/>
                <w:sz w:val="21"/>
                <w:szCs w:val="21"/>
              </w:rPr>
            </w:pPr>
          </w:p>
        </w:tc>
      </w:tr>
      <w:tr w14:paraId="2312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0D02125">
            <w:pPr>
              <w:widowControl/>
              <w:adjustRightInd w:val="0"/>
              <w:spacing w:line="240" w:lineRule="auto"/>
              <w:ind w:firstLine="0" w:firstLineChars="0"/>
              <w:contextualSpacing/>
              <w:jc w:val="center"/>
              <w:rPr>
                <w:rFonts w:cs="Times New Roman"/>
                <w:sz w:val="21"/>
                <w:szCs w:val="21"/>
              </w:rPr>
            </w:pPr>
            <w:r>
              <w:rPr>
                <w:rFonts w:hint="eastAsia"/>
                <w:color w:val="000000"/>
                <w:sz w:val="22"/>
              </w:rPr>
              <w:t>112</w:t>
            </w:r>
          </w:p>
        </w:tc>
        <w:tc>
          <w:tcPr>
            <w:tcW w:w="973" w:type="pct"/>
            <w:vMerge w:val="continue"/>
            <w:vAlign w:val="center"/>
          </w:tcPr>
          <w:p w14:paraId="1B94443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20A89B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木盂子村</w:t>
            </w:r>
          </w:p>
        </w:tc>
        <w:tc>
          <w:tcPr>
            <w:tcW w:w="973" w:type="pct"/>
          </w:tcPr>
          <w:p w14:paraId="0951014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3A9C5B3">
            <w:pPr>
              <w:widowControl/>
              <w:adjustRightInd w:val="0"/>
              <w:spacing w:line="240" w:lineRule="auto"/>
              <w:ind w:firstLine="0" w:firstLineChars="0"/>
              <w:contextualSpacing/>
              <w:jc w:val="center"/>
              <w:rPr>
                <w:rFonts w:cs="Times New Roman"/>
                <w:sz w:val="21"/>
                <w:szCs w:val="21"/>
              </w:rPr>
            </w:pPr>
          </w:p>
        </w:tc>
      </w:tr>
      <w:tr w14:paraId="7121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AA9042F">
            <w:pPr>
              <w:widowControl/>
              <w:adjustRightInd w:val="0"/>
              <w:spacing w:line="240" w:lineRule="auto"/>
              <w:ind w:firstLine="0" w:firstLineChars="0"/>
              <w:contextualSpacing/>
              <w:jc w:val="center"/>
              <w:rPr>
                <w:rFonts w:cs="Times New Roman"/>
                <w:sz w:val="21"/>
                <w:szCs w:val="21"/>
              </w:rPr>
            </w:pPr>
            <w:r>
              <w:rPr>
                <w:rFonts w:hint="eastAsia"/>
                <w:color w:val="000000"/>
                <w:sz w:val="22"/>
              </w:rPr>
              <w:t>113</w:t>
            </w:r>
          </w:p>
        </w:tc>
        <w:tc>
          <w:tcPr>
            <w:tcW w:w="973" w:type="pct"/>
            <w:vMerge w:val="continue"/>
            <w:vAlign w:val="center"/>
          </w:tcPr>
          <w:p w14:paraId="1112235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FE2972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北干沟</w:t>
            </w:r>
          </w:p>
        </w:tc>
        <w:tc>
          <w:tcPr>
            <w:tcW w:w="973" w:type="pct"/>
          </w:tcPr>
          <w:p w14:paraId="32CD5EC7">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BB9C759">
            <w:pPr>
              <w:widowControl/>
              <w:adjustRightInd w:val="0"/>
              <w:spacing w:line="240" w:lineRule="auto"/>
              <w:ind w:firstLine="0" w:firstLineChars="0"/>
              <w:contextualSpacing/>
              <w:jc w:val="center"/>
              <w:rPr>
                <w:rFonts w:cs="Times New Roman"/>
                <w:sz w:val="21"/>
                <w:szCs w:val="21"/>
              </w:rPr>
            </w:pPr>
          </w:p>
        </w:tc>
      </w:tr>
      <w:tr w14:paraId="78D6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4A01351">
            <w:pPr>
              <w:widowControl/>
              <w:adjustRightInd w:val="0"/>
              <w:spacing w:line="240" w:lineRule="auto"/>
              <w:ind w:firstLine="0" w:firstLineChars="0"/>
              <w:contextualSpacing/>
              <w:jc w:val="center"/>
              <w:rPr>
                <w:rFonts w:cs="Times New Roman"/>
                <w:sz w:val="21"/>
                <w:szCs w:val="21"/>
              </w:rPr>
            </w:pPr>
            <w:r>
              <w:rPr>
                <w:rFonts w:hint="eastAsia"/>
                <w:color w:val="000000"/>
                <w:sz w:val="22"/>
              </w:rPr>
              <w:t>114</w:t>
            </w:r>
          </w:p>
        </w:tc>
        <w:tc>
          <w:tcPr>
            <w:tcW w:w="973" w:type="pct"/>
            <w:vMerge w:val="continue"/>
            <w:vAlign w:val="center"/>
          </w:tcPr>
          <w:p w14:paraId="2C11C924">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15E453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马圈子沟</w:t>
            </w:r>
          </w:p>
        </w:tc>
        <w:tc>
          <w:tcPr>
            <w:tcW w:w="973" w:type="pct"/>
          </w:tcPr>
          <w:p w14:paraId="58913DD8">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6FE6787">
            <w:pPr>
              <w:widowControl/>
              <w:adjustRightInd w:val="0"/>
              <w:spacing w:line="240" w:lineRule="auto"/>
              <w:ind w:firstLine="0" w:firstLineChars="0"/>
              <w:contextualSpacing/>
              <w:jc w:val="center"/>
              <w:rPr>
                <w:rFonts w:cs="Times New Roman"/>
                <w:sz w:val="21"/>
                <w:szCs w:val="21"/>
              </w:rPr>
            </w:pPr>
          </w:p>
        </w:tc>
      </w:tr>
      <w:tr w14:paraId="216A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72B9BD3">
            <w:pPr>
              <w:widowControl/>
              <w:adjustRightInd w:val="0"/>
              <w:spacing w:line="240" w:lineRule="auto"/>
              <w:ind w:firstLine="0" w:firstLineChars="0"/>
              <w:contextualSpacing/>
              <w:jc w:val="center"/>
              <w:rPr>
                <w:rFonts w:cs="Times New Roman"/>
                <w:sz w:val="21"/>
                <w:szCs w:val="21"/>
              </w:rPr>
            </w:pPr>
            <w:r>
              <w:rPr>
                <w:rFonts w:hint="eastAsia"/>
                <w:color w:val="000000"/>
                <w:sz w:val="22"/>
              </w:rPr>
              <w:t>115</w:t>
            </w:r>
          </w:p>
        </w:tc>
        <w:tc>
          <w:tcPr>
            <w:tcW w:w="973" w:type="pct"/>
            <w:vMerge w:val="restart"/>
            <w:vAlign w:val="center"/>
          </w:tcPr>
          <w:p w14:paraId="3F05DAF9">
            <w:pPr>
              <w:widowControl/>
              <w:adjustRightInd w:val="0"/>
              <w:spacing w:line="240" w:lineRule="auto"/>
              <w:ind w:firstLine="0" w:firstLineChars="0"/>
              <w:contextualSpacing/>
              <w:jc w:val="center"/>
              <w:rPr>
                <w:rFonts w:cs="Times New Roman"/>
                <w:color w:val="000000"/>
                <w:sz w:val="21"/>
                <w:szCs w:val="21"/>
              </w:rPr>
            </w:pPr>
            <w:r>
              <w:rPr>
                <w:rFonts w:hint="eastAsia" w:cs="Times New Roman"/>
                <w:color w:val="000000"/>
                <w:sz w:val="21"/>
                <w:szCs w:val="21"/>
              </w:rPr>
              <w:t>仙人洞村</w:t>
            </w:r>
          </w:p>
        </w:tc>
        <w:tc>
          <w:tcPr>
            <w:tcW w:w="973" w:type="pct"/>
            <w:vAlign w:val="bottom"/>
          </w:tcPr>
          <w:p w14:paraId="5EAE5CD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小围子</w:t>
            </w:r>
          </w:p>
        </w:tc>
        <w:tc>
          <w:tcPr>
            <w:tcW w:w="973" w:type="pct"/>
          </w:tcPr>
          <w:p w14:paraId="622BC060">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38005C8">
            <w:pPr>
              <w:widowControl/>
              <w:adjustRightInd w:val="0"/>
              <w:spacing w:line="240" w:lineRule="auto"/>
              <w:ind w:firstLine="0" w:firstLineChars="0"/>
              <w:contextualSpacing/>
              <w:jc w:val="center"/>
              <w:rPr>
                <w:rFonts w:cs="Times New Roman"/>
                <w:sz w:val="21"/>
                <w:szCs w:val="21"/>
              </w:rPr>
            </w:pPr>
          </w:p>
        </w:tc>
      </w:tr>
      <w:tr w14:paraId="0757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1B62055">
            <w:pPr>
              <w:widowControl/>
              <w:adjustRightInd w:val="0"/>
              <w:spacing w:line="240" w:lineRule="auto"/>
              <w:ind w:firstLine="0" w:firstLineChars="0"/>
              <w:contextualSpacing/>
              <w:jc w:val="center"/>
              <w:rPr>
                <w:rFonts w:cs="Times New Roman"/>
                <w:sz w:val="21"/>
                <w:szCs w:val="21"/>
              </w:rPr>
            </w:pPr>
            <w:r>
              <w:rPr>
                <w:rFonts w:hint="eastAsia"/>
                <w:color w:val="000000"/>
                <w:sz w:val="22"/>
              </w:rPr>
              <w:t>116</w:t>
            </w:r>
          </w:p>
        </w:tc>
        <w:tc>
          <w:tcPr>
            <w:tcW w:w="973" w:type="pct"/>
            <w:vMerge w:val="continue"/>
            <w:vAlign w:val="center"/>
          </w:tcPr>
          <w:p w14:paraId="13030BB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6E50CB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仙人洞村</w:t>
            </w:r>
          </w:p>
        </w:tc>
        <w:tc>
          <w:tcPr>
            <w:tcW w:w="973" w:type="pct"/>
          </w:tcPr>
          <w:p w14:paraId="4C26EE1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C8938E2">
            <w:pPr>
              <w:widowControl/>
              <w:adjustRightInd w:val="0"/>
              <w:spacing w:line="240" w:lineRule="auto"/>
              <w:ind w:firstLine="0" w:firstLineChars="0"/>
              <w:contextualSpacing/>
              <w:jc w:val="center"/>
              <w:rPr>
                <w:rFonts w:cs="Times New Roman"/>
                <w:sz w:val="21"/>
                <w:szCs w:val="21"/>
              </w:rPr>
            </w:pPr>
          </w:p>
        </w:tc>
      </w:tr>
      <w:tr w14:paraId="2119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73" w:type="pct"/>
            <w:vAlign w:val="center"/>
          </w:tcPr>
          <w:p w14:paraId="559122F1">
            <w:pPr>
              <w:widowControl/>
              <w:adjustRightInd w:val="0"/>
              <w:spacing w:line="240" w:lineRule="auto"/>
              <w:ind w:firstLine="0" w:firstLineChars="0"/>
              <w:contextualSpacing/>
              <w:jc w:val="center"/>
              <w:rPr>
                <w:rFonts w:cs="Times New Roman"/>
                <w:sz w:val="21"/>
                <w:szCs w:val="21"/>
              </w:rPr>
            </w:pPr>
            <w:r>
              <w:rPr>
                <w:rFonts w:hint="eastAsia"/>
                <w:color w:val="000000"/>
                <w:sz w:val="22"/>
              </w:rPr>
              <w:t>117</w:t>
            </w:r>
          </w:p>
        </w:tc>
        <w:tc>
          <w:tcPr>
            <w:tcW w:w="973" w:type="pct"/>
            <w:vMerge w:val="restart"/>
            <w:vAlign w:val="center"/>
          </w:tcPr>
          <w:p w14:paraId="3BF657C2">
            <w:pPr>
              <w:widowControl/>
              <w:spacing w:line="240" w:lineRule="auto"/>
              <w:ind w:firstLine="0" w:firstLineChars="0"/>
              <w:jc w:val="center"/>
              <w:rPr>
                <w:rFonts w:cs="Times New Roman"/>
                <w:color w:val="000000"/>
                <w:sz w:val="21"/>
                <w:szCs w:val="21"/>
              </w:rPr>
            </w:pPr>
            <w:r>
              <w:rPr>
                <w:rFonts w:ascii="Arial" w:hAnsi="Arial" w:cs="Arial"/>
                <w:color w:val="000000"/>
                <w:sz w:val="20"/>
                <w:szCs w:val="20"/>
              </w:rPr>
              <w:t>暖河子村</w:t>
            </w:r>
          </w:p>
        </w:tc>
        <w:tc>
          <w:tcPr>
            <w:tcW w:w="973" w:type="pct"/>
            <w:vAlign w:val="bottom"/>
          </w:tcPr>
          <w:p w14:paraId="7491900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正沟</w:t>
            </w:r>
          </w:p>
        </w:tc>
        <w:tc>
          <w:tcPr>
            <w:tcW w:w="973" w:type="pct"/>
          </w:tcPr>
          <w:p w14:paraId="0F4E711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F5593F0">
            <w:pPr>
              <w:widowControl/>
              <w:adjustRightInd w:val="0"/>
              <w:spacing w:line="240" w:lineRule="auto"/>
              <w:ind w:firstLine="0" w:firstLineChars="0"/>
              <w:contextualSpacing/>
              <w:jc w:val="center"/>
              <w:rPr>
                <w:rFonts w:cs="Times New Roman"/>
                <w:sz w:val="21"/>
                <w:szCs w:val="21"/>
              </w:rPr>
            </w:pPr>
          </w:p>
        </w:tc>
      </w:tr>
      <w:tr w14:paraId="2D7E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0A3C969">
            <w:pPr>
              <w:widowControl/>
              <w:adjustRightInd w:val="0"/>
              <w:spacing w:line="240" w:lineRule="auto"/>
              <w:ind w:firstLine="0" w:firstLineChars="0"/>
              <w:contextualSpacing/>
              <w:jc w:val="center"/>
              <w:rPr>
                <w:rFonts w:cs="Times New Roman"/>
                <w:sz w:val="21"/>
                <w:szCs w:val="21"/>
              </w:rPr>
            </w:pPr>
            <w:r>
              <w:rPr>
                <w:rFonts w:hint="eastAsia"/>
                <w:color w:val="000000"/>
                <w:sz w:val="22"/>
              </w:rPr>
              <w:t>118</w:t>
            </w:r>
          </w:p>
        </w:tc>
        <w:tc>
          <w:tcPr>
            <w:tcW w:w="973" w:type="pct"/>
            <w:vMerge w:val="continue"/>
            <w:vAlign w:val="center"/>
          </w:tcPr>
          <w:p w14:paraId="0672A88D">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7B8CFC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马家沟</w:t>
            </w:r>
          </w:p>
        </w:tc>
        <w:tc>
          <w:tcPr>
            <w:tcW w:w="973" w:type="pct"/>
          </w:tcPr>
          <w:p w14:paraId="080926F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227D75F">
            <w:pPr>
              <w:widowControl/>
              <w:adjustRightInd w:val="0"/>
              <w:spacing w:line="240" w:lineRule="auto"/>
              <w:ind w:firstLine="0" w:firstLineChars="0"/>
              <w:contextualSpacing/>
              <w:jc w:val="center"/>
              <w:rPr>
                <w:rFonts w:cs="Times New Roman"/>
                <w:sz w:val="21"/>
                <w:szCs w:val="21"/>
              </w:rPr>
            </w:pPr>
          </w:p>
        </w:tc>
      </w:tr>
      <w:tr w14:paraId="41CF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F68A226">
            <w:pPr>
              <w:widowControl/>
              <w:adjustRightInd w:val="0"/>
              <w:spacing w:line="240" w:lineRule="auto"/>
              <w:ind w:firstLine="0" w:firstLineChars="0"/>
              <w:contextualSpacing/>
              <w:jc w:val="center"/>
              <w:rPr>
                <w:rFonts w:cs="Times New Roman"/>
                <w:sz w:val="21"/>
                <w:szCs w:val="21"/>
              </w:rPr>
            </w:pPr>
            <w:r>
              <w:rPr>
                <w:rFonts w:hint="eastAsia"/>
                <w:color w:val="000000"/>
                <w:sz w:val="22"/>
              </w:rPr>
              <w:t>119</w:t>
            </w:r>
          </w:p>
        </w:tc>
        <w:tc>
          <w:tcPr>
            <w:tcW w:w="973" w:type="pct"/>
            <w:vMerge w:val="continue"/>
            <w:vAlign w:val="center"/>
          </w:tcPr>
          <w:p w14:paraId="4C216737">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88199E6">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暖河子</w:t>
            </w:r>
          </w:p>
        </w:tc>
        <w:tc>
          <w:tcPr>
            <w:tcW w:w="973" w:type="pct"/>
          </w:tcPr>
          <w:p w14:paraId="5EF9DC2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27EB415">
            <w:pPr>
              <w:widowControl/>
              <w:adjustRightInd w:val="0"/>
              <w:spacing w:line="240" w:lineRule="auto"/>
              <w:ind w:firstLine="0" w:firstLineChars="0"/>
              <w:contextualSpacing/>
              <w:jc w:val="center"/>
              <w:rPr>
                <w:rFonts w:cs="Times New Roman"/>
                <w:sz w:val="21"/>
                <w:szCs w:val="21"/>
              </w:rPr>
            </w:pPr>
          </w:p>
        </w:tc>
      </w:tr>
      <w:tr w14:paraId="4DFF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A75B7CB">
            <w:pPr>
              <w:widowControl/>
              <w:adjustRightInd w:val="0"/>
              <w:spacing w:line="240" w:lineRule="auto"/>
              <w:ind w:firstLine="0" w:firstLineChars="0"/>
              <w:contextualSpacing/>
              <w:jc w:val="center"/>
              <w:rPr>
                <w:rFonts w:cs="Times New Roman"/>
                <w:sz w:val="21"/>
                <w:szCs w:val="21"/>
              </w:rPr>
            </w:pPr>
            <w:r>
              <w:rPr>
                <w:rFonts w:hint="eastAsia"/>
                <w:color w:val="000000"/>
                <w:sz w:val="22"/>
              </w:rPr>
              <w:t>120</w:t>
            </w:r>
          </w:p>
        </w:tc>
        <w:tc>
          <w:tcPr>
            <w:tcW w:w="973" w:type="pct"/>
            <w:vMerge w:val="continue"/>
            <w:vAlign w:val="center"/>
          </w:tcPr>
          <w:p w14:paraId="2118C89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ED49E5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煤东沟</w:t>
            </w:r>
          </w:p>
        </w:tc>
        <w:tc>
          <w:tcPr>
            <w:tcW w:w="973" w:type="pct"/>
          </w:tcPr>
          <w:p w14:paraId="4DCAC2F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6A5B439">
            <w:pPr>
              <w:widowControl/>
              <w:adjustRightInd w:val="0"/>
              <w:spacing w:line="240" w:lineRule="auto"/>
              <w:ind w:firstLine="0" w:firstLineChars="0"/>
              <w:contextualSpacing/>
              <w:jc w:val="center"/>
              <w:rPr>
                <w:rFonts w:cs="Times New Roman"/>
                <w:sz w:val="21"/>
                <w:szCs w:val="21"/>
              </w:rPr>
            </w:pPr>
          </w:p>
        </w:tc>
      </w:tr>
      <w:tr w14:paraId="7B84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6D665F02">
            <w:pPr>
              <w:widowControl/>
              <w:adjustRightInd w:val="0"/>
              <w:spacing w:line="240" w:lineRule="auto"/>
              <w:ind w:firstLine="0" w:firstLineChars="0"/>
              <w:contextualSpacing/>
              <w:jc w:val="center"/>
              <w:rPr>
                <w:rFonts w:cs="Times New Roman"/>
                <w:sz w:val="21"/>
                <w:szCs w:val="21"/>
              </w:rPr>
            </w:pPr>
            <w:r>
              <w:rPr>
                <w:rFonts w:hint="eastAsia"/>
                <w:color w:val="000000"/>
                <w:sz w:val="22"/>
              </w:rPr>
              <w:t>121</w:t>
            </w:r>
          </w:p>
        </w:tc>
        <w:tc>
          <w:tcPr>
            <w:tcW w:w="973" w:type="pct"/>
            <w:vMerge w:val="continue"/>
            <w:vAlign w:val="center"/>
          </w:tcPr>
          <w:p w14:paraId="0B57C72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1805E6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于家堡子</w:t>
            </w:r>
          </w:p>
        </w:tc>
        <w:tc>
          <w:tcPr>
            <w:tcW w:w="973" w:type="pct"/>
          </w:tcPr>
          <w:p w14:paraId="74B2DF46">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0D2C674F">
            <w:pPr>
              <w:widowControl/>
              <w:adjustRightInd w:val="0"/>
              <w:spacing w:line="240" w:lineRule="auto"/>
              <w:ind w:firstLine="0" w:firstLineChars="0"/>
              <w:contextualSpacing/>
              <w:jc w:val="center"/>
              <w:rPr>
                <w:rFonts w:cs="Times New Roman"/>
                <w:sz w:val="21"/>
                <w:szCs w:val="21"/>
              </w:rPr>
            </w:pPr>
          </w:p>
        </w:tc>
      </w:tr>
      <w:tr w14:paraId="4DAB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2A636E6">
            <w:pPr>
              <w:widowControl/>
              <w:adjustRightInd w:val="0"/>
              <w:spacing w:line="240" w:lineRule="auto"/>
              <w:ind w:firstLine="0" w:firstLineChars="0"/>
              <w:contextualSpacing/>
              <w:jc w:val="center"/>
              <w:rPr>
                <w:rFonts w:cs="Times New Roman"/>
                <w:sz w:val="21"/>
                <w:szCs w:val="21"/>
              </w:rPr>
            </w:pPr>
            <w:r>
              <w:rPr>
                <w:rFonts w:hint="eastAsia"/>
                <w:color w:val="000000"/>
                <w:sz w:val="22"/>
              </w:rPr>
              <w:t>122</w:t>
            </w:r>
          </w:p>
        </w:tc>
        <w:tc>
          <w:tcPr>
            <w:tcW w:w="973" w:type="pct"/>
            <w:vMerge w:val="continue"/>
            <w:vAlign w:val="center"/>
          </w:tcPr>
          <w:p w14:paraId="0D94D420">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19A767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干沟</w:t>
            </w:r>
          </w:p>
        </w:tc>
        <w:tc>
          <w:tcPr>
            <w:tcW w:w="973" w:type="pct"/>
          </w:tcPr>
          <w:p w14:paraId="3DBE83F9">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50D9C6C4">
            <w:pPr>
              <w:widowControl/>
              <w:adjustRightInd w:val="0"/>
              <w:spacing w:line="240" w:lineRule="auto"/>
              <w:ind w:firstLine="0" w:firstLineChars="0"/>
              <w:contextualSpacing/>
              <w:jc w:val="center"/>
              <w:rPr>
                <w:rFonts w:cs="Times New Roman"/>
                <w:sz w:val="21"/>
                <w:szCs w:val="21"/>
              </w:rPr>
            </w:pPr>
          </w:p>
        </w:tc>
      </w:tr>
      <w:tr w14:paraId="67EB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A4A9F91">
            <w:pPr>
              <w:widowControl/>
              <w:adjustRightInd w:val="0"/>
              <w:spacing w:line="240" w:lineRule="auto"/>
              <w:ind w:firstLine="0" w:firstLineChars="0"/>
              <w:contextualSpacing/>
              <w:jc w:val="center"/>
              <w:rPr>
                <w:rFonts w:cs="Times New Roman"/>
                <w:sz w:val="21"/>
                <w:szCs w:val="21"/>
              </w:rPr>
            </w:pPr>
            <w:r>
              <w:rPr>
                <w:rFonts w:hint="eastAsia"/>
                <w:color w:val="000000"/>
                <w:sz w:val="22"/>
              </w:rPr>
              <w:t>123</w:t>
            </w:r>
          </w:p>
        </w:tc>
        <w:tc>
          <w:tcPr>
            <w:tcW w:w="973" w:type="pct"/>
            <w:vMerge w:val="continue"/>
            <w:vAlign w:val="center"/>
          </w:tcPr>
          <w:p w14:paraId="5BD840E3">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23E1BA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金坑沟</w:t>
            </w:r>
          </w:p>
        </w:tc>
        <w:tc>
          <w:tcPr>
            <w:tcW w:w="973" w:type="pct"/>
          </w:tcPr>
          <w:p w14:paraId="73B8CC88">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138B73F2">
            <w:pPr>
              <w:widowControl/>
              <w:adjustRightInd w:val="0"/>
              <w:spacing w:line="240" w:lineRule="auto"/>
              <w:ind w:firstLine="0" w:firstLineChars="0"/>
              <w:contextualSpacing/>
              <w:jc w:val="center"/>
              <w:rPr>
                <w:rFonts w:cs="Times New Roman"/>
                <w:sz w:val="21"/>
                <w:szCs w:val="21"/>
              </w:rPr>
            </w:pPr>
          </w:p>
        </w:tc>
      </w:tr>
      <w:tr w14:paraId="6D67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5C04BC34">
            <w:pPr>
              <w:widowControl/>
              <w:adjustRightInd w:val="0"/>
              <w:spacing w:line="240" w:lineRule="auto"/>
              <w:ind w:firstLine="0" w:firstLineChars="0"/>
              <w:contextualSpacing/>
              <w:jc w:val="center"/>
              <w:rPr>
                <w:rFonts w:cs="Times New Roman"/>
                <w:sz w:val="21"/>
                <w:szCs w:val="21"/>
              </w:rPr>
            </w:pPr>
            <w:r>
              <w:rPr>
                <w:rFonts w:hint="eastAsia"/>
                <w:color w:val="000000"/>
                <w:sz w:val="22"/>
              </w:rPr>
              <w:t>124</w:t>
            </w:r>
          </w:p>
        </w:tc>
        <w:tc>
          <w:tcPr>
            <w:tcW w:w="973" w:type="pct"/>
            <w:vMerge w:val="continue"/>
            <w:vAlign w:val="center"/>
          </w:tcPr>
          <w:p w14:paraId="3CB4F946">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05CBB8DE">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暖河子村</w:t>
            </w:r>
          </w:p>
        </w:tc>
        <w:tc>
          <w:tcPr>
            <w:tcW w:w="973" w:type="pct"/>
          </w:tcPr>
          <w:p w14:paraId="737FC63B">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07E4BE5F">
            <w:pPr>
              <w:widowControl/>
              <w:adjustRightInd w:val="0"/>
              <w:spacing w:line="240" w:lineRule="auto"/>
              <w:ind w:firstLine="0" w:firstLineChars="0"/>
              <w:contextualSpacing/>
              <w:jc w:val="center"/>
              <w:rPr>
                <w:rFonts w:cs="Times New Roman"/>
                <w:sz w:val="21"/>
                <w:szCs w:val="21"/>
              </w:rPr>
            </w:pPr>
          </w:p>
        </w:tc>
      </w:tr>
      <w:tr w14:paraId="17AF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3" w:type="pct"/>
            <w:vAlign w:val="center"/>
          </w:tcPr>
          <w:p w14:paraId="4951B133">
            <w:pPr>
              <w:widowControl/>
              <w:adjustRightInd w:val="0"/>
              <w:spacing w:line="240" w:lineRule="auto"/>
              <w:ind w:firstLine="0" w:firstLineChars="0"/>
              <w:contextualSpacing/>
              <w:jc w:val="center"/>
              <w:rPr>
                <w:rFonts w:cs="Times New Roman"/>
                <w:sz w:val="21"/>
                <w:szCs w:val="21"/>
              </w:rPr>
            </w:pPr>
            <w:r>
              <w:rPr>
                <w:rFonts w:hint="eastAsia"/>
                <w:color w:val="000000"/>
                <w:sz w:val="22"/>
              </w:rPr>
              <w:t>125</w:t>
            </w:r>
          </w:p>
        </w:tc>
        <w:tc>
          <w:tcPr>
            <w:tcW w:w="973" w:type="pct"/>
            <w:vMerge w:val="continue"/>
            <w:vAlign w:val="center"/>
          </w:tcPr>
          <w:p w14:paraId="5E07E00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F2B0320">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大坎子</w:t>
            </w:r>
          </w:p>
        </w:tc>
        <w:tc>
          <w:tcPr>
            <w:tcW w:w="973" w:type="pct"/>
          </w:tcPr>
          <w:p w14:paraId="6023C980">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57F61C79">
            <w:pPr>
              <w:widowControl/>
              <w:adjustRightInd w:val="0"/>
              <w:spacing w:line="240" w:lineRule="auto"/>
              <w:ind w:firstLine="0" w:firstLineChars="0"/>
              <w:contextualSpacing/>
              <w:jc w:val="center"/>
              <w:rPr>
                <w:rFonts w:cs="Times New Roman"/>
                <w:sz w:val="21"/>
                <w:szCs w:val="21"/>
              </w:rPr>
            </w:pPr>
          </w:p>
        </w:tc>
      </w:tr>
      <w:tr w14:paraId="4261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856CF19">
            <w:pPr>
              <w:widowControl/>
              <w:adjustRightInd w:val="0"/>
              <w:spacing w:line="240" w:lineRule="auto"/>
              <w:ind w:firstLine="0" w:firstLineChars="0"/>
              <w:contextualSpacing/>
              <w:jc w:val="center"/>
              <w:rPr>
                <w:rFonts w:cs="Times New Roman"/>
                <w:sz w:val="21"/>
                <w:szCs w:val="21"/>
              </w:rPr>
            </w:pPr>
            <w:r>
              <w:rPr>
                <w:rFonts w:hint="eastAsia"/>
                <w:color w:val="000000"/>
                <w:sz w:val="22"/>
              </w:rPr>
              <w:t>126</w:t>
            </w:r>
          </w:p>
        </w:tc>
        <w:tc>
          <w:tcPr>
            <w:tcW w:w="973" w:type="pct"/>
            <w:vMerge w:val="restart"/>
            <w:vAlign w:val="center"/>
          </w:tcPr>
          <w:p w14:paraId="7553BF41">
            <w:pPr>
              <w:widowControl/>
              <w:adjustRightInd w:val="0"/>
              <w:spacing w:line="240" w:lineRule="auto"/>
              <w:ind w:firstLine="0" w:firstLineChars="0"/>
              <w:contextualSpacing/>
              <w:jc w:val="center"/>
              <w:rPr>
                <w:rFonts w:cs="Times New Roman"/>
                <w:color w:val="000000"/>
                <w:sz w:val="21"/>
                <w:szCs w:val="21"/>
              </w:rPr>
            </w:pPr>
            <w:r>
              <w:rPr>
                <w:rFonts w:ascii="Arial" w:hAnsi="Arial" w:cs="Arial"/>
                <w:color w:val="000000"/>
                <w:sz w:val="20"/>
                <w:szCs w:val="20"/>
              </w:rPr>
              <w:t>高俭地村</w:t>
            </w:r>
          </w:p>
        </w:tc>
        <w:tc>
          <w:tcPr>
            <w:tcW w:w="973" w:type="pct"/>
            <w:vAlign w:val="bottom"/>
          </w:tcPr>
          <w:p w14:paraId="28DD244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西岔</w:t>
            </w:r>
          </w:p>
        </w:tc>
        <w:tc>
          <w:tcPr>
            <w:tcW w:w="973" w:type="pct"/>
          </w:tcPr>
          <w:p w14:paraId="46C4FDB9">
            <w:pPr>
              <w:widowControl/>
              <w:adjustRightInd w:val="0"/>
              <w:spacing w:line="240" w:lineRule="auto"/>
              <w:ind w:firstLine="0" w:firstLineChars="0"/>
              <w:contextualSpacing/>
              <w:jc w:val="center"/>
              <w:rPr>
                <w:rFonts w:eastAsia="仿宋" w:cs="Times New Roman"/>
                <w:color w:val="000000"/>
                <w:kern w:val="0"/>
                <w:sz w:val="21"/>
                <w:szCs w:val="21"/>
              </w:rPr>
            </w:pPr>
            <w:r>
              <w:rPr>
                <w:rFonts w:hint="eastAsia" w:eastAsia="仿宋" w:cs="Times New Roman"/>
                <w:color w:val="000000"/>
                <w:kern w:val="0"/>
                <w:sz w:val="21"/>
                <w:szCs w:val="21"/>
              </w:rPr>
              <w:t>减量型</w:t>
            </w:r>
          </w:p>
        </w:tc>
        <w:tc>
          <w:tcPr>
            <w:tcW w:w="973" w:type="pct"/>
            <w:vAlign w:val="center"/>
          </w:tcPr>
          <w:p w14:paraId="0E4684D1">
            <w:pPr>
              <w:widowControl/>
              <w:adjustRightInd w:val="0"/>
              <w:spacing w:line="240" w:lineRule="auto"/>
              <w:ind w:firstLine="0" w:firstLineChars="0"/>
              <w:contextualSpacing/>
              <w:jc w:val="center"/>
              <w:rPr>
                <w:rFonts w:cs="Times New Roman"/>
                <w:sz w:val="21"/>
                <w:szCs w:val="21"/>
              </w:rPr>
            </w:pPr>
          </w:p>
        </w:tc>
      </w:tr>
      <w:tr w14:paraId="062A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3E33381">
            <w:pPr>
              <w:widowControl/>
              <w:adjustRightInd w:val="0"/>
              <w:spacing w:line="240" w:lineRule="auto"/>
              <w:ind w:firstLine="0" w:firstLineChars="0"/>
              <w:contextualSpacing/>
              <w:jc w:val="center"/>
              <w:rPr>
                <w:rFonts w:cs="Times New Roman"/>
                <w:sz w:val="21"/>
                <w:szCs w:val="21"/>
              </w:rPr>
            </w:pPr>
            <w:r>
              <w:rPr>
                <w:rFonts w:hint="eastAsia"/>
                <w:color w:val="000000"/>
                <w:sz w:val="22"/>
              </w:rPr>
              <w:t>127</w:t>
            </w:r>
          </w:p>
        </w:tc>
        <w:tc>
          <w:tcPr>
            <w:tcW w:w="973" w:type="pct"/>
            <w:vMerge w:val="continue"/>
            <w:vAlign w:val="center"/>
          </w:tcPr>
          <w:p w14:paraId="7E3BAF8E">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52CAD6AB">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刁家沟</w:t>
            </w:r>
          </w:p>
        </w:tc>
        <w:tc>
          <w:tcPr>
            <w:tcW w:w="973" w:type="pct"/>
          </w:tcPr>
          <w:p w14:paraId="4A9A302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836B77E">
            <w:pPr>
              <w:widowControl/>
              <w:adjustRightInd w:val="0"/>
              <w:spacing w:line="240" w:lineRule="auto"/>
              <w:ind w:firstLine="0" w:firstLineChars="0"/>
              <w:contextualSpacing/>
              <w:jc w:val="center"/>
              <w:rPr>
                <w:rFonts w:cs="Times New Roman"/>
                <w:sz w:val="21"/>
                <w:szCs w:val="21"/>
              </w:rPr>
            </w:pPr>
          </w:p>
        </w:tc>
      </w:tr>
      <w:tr w14:paraId="2D94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7A9EE52">
            <w:pPr>
              <w:widowControl/>
              <w:adjustRightInd w:val="0"/>
              <w:spacing w:line="240" w:lineRule="auto"/>
              <w:ind w:firstLine="0" w:firstLineChars="0"/>
              <w:contextualSpacing/>
              <w:jc w:val="center"/>
              <w:rPr>
                <w:rFonts w:cs="Times New Roman"/>
                <w:sz w:val="21"/>
                <w:szCs w:val="21"/>
              </w:rPr>
            </w:pPr>
            <w:r>
              <w:rPr>
                <w:rFonts w:hint="eastAsia"/>
                <w:color w:val="000000"/>
                <w:sz w:val="22"/>
              </w:rPr>
              <w:t>128</w:t>
            </w:r>
          </w:p>
        </w:tc>
        <w:tc>
          <w:tcPr>
            <w:tcW w:w="973" w:type="pct"/>
            <w:vMerge w:val="continue"/>
            <w:vAlign w:val="center"/>
          </w:tcPr>
          <w:p w14:paraId="6D287A2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4E33D7A">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钓鱼台</w:t>
            </w:r>
          </w:p>
        </w:tc>
        <w:tc>
          <w:tcPr>
            <w:tcW w:w="973" w:type="pct"/>
          </w:tcPr>
          <w:p w14:paraId="5CBA4F5B">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2832E52">
            <w:pPr>
              <w:widowControl/>
              <w:adjustRightInd w:val="0"/>
              <w:spacing w:line="240" w:lineRule="auto"/>
              <w:ind w:firstLine="0" w:firstLineChars="0"/>
              <w:contextualSpacing/>
              <w:jc w:val="center"/>
              <w:rPr>
                <w:rFonts w:cs="Times New Roman"/>
                <w:sz w:val="21"/>
                <w:szCs w:val="21"/>
              </w:rPr>
            </w:pPr>
          </w:p>
        </w:tc>
      </w:tr>
      <w:tr w14:paraId="2398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80546D5">
            <w:pPr>
              <w:widowControl/>
              <w:adjustRightInd w:val="0"/>
              <w:spacing w:line="240" w:lineRule="auto"/>
              <w:ind w:firstLine="0" w:firstLineChars="0"/>
              <w:contextualSpacing/>
              <w:jc w:val="center"/>
              <w:rPr>
                <w:rFonts w:cs="Times New Roman"/>
                <w:sz w:val="21"/>
                <w:szCs w:val="21"/>
              </w:rPr>
            </w:pPr>
            <w:r>
              <w:rPr>
                <w:rFonts w:hint="eastAsia"/>
                <w:color w:val="000000"/>
                <w:sz w:val="22"/>
              </w:rPr>
              <w:t>129</w:t>
            </w:r>
          </w:p>
        </w:tc>
        <w:tc>
          <w:tcPr>
            <w:tcW w:w="973" w:type="pct"/>
            <w:vMerge w:val="continue"/>
            <w:vAlign w:val="center"/>
          </w:tcPr>
          <w:p w14:paraId="0D7B26B5">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888B29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杨木顶子</w:t>
            </w:r>
          </w:p>
        </w:tc>
        <w:tc>
          <w:tcPr>
            <w:tcW w:w="973" w:type="pct"/>
          </w:tcPr>
          <w:p w14:paraId="3F39081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09F8A9D6">
            <w:pPr>
              <w:widowControl/>
              <w:adjustRightInd w:val="0"/>
              <w:spacing w:line="240" w:lineRule="auto"/>
              <w:ind w:firstLine="0" w:firstLineChars="0"/>
              <w:contextualSpacing/>
              <w:jc w:val="center"/>
              <w:rPr>
                <w:rFonts w:cs="Times New Roman"/>
                <w:sz w:val="21"/>
                <w:szCs w:val="21"/>
              </w:rPr>
            </w:pPr>
          </w:p>
        </w:tc>
      </w:tr>
      <w:tr w14:paraId="348A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F61DA7A">
            <w:pPr>
              <w:widowControl/>
              <w:adjustRightInd w:val="0"/>
              <w:spacing w:line="240" w:lineRule="auto"/>
              <w:ind w:firstLine="0" w:firstLineChars="0"/>
              <w:contextualSpacing/>
              <w:jc w:val="center"/>
              <w:rPr>
                <w:rFonts w:cs="Times New Roman"/>
                <w:sz w:val="21"/>
                <w:szCs w:val="21"/>
              </w:rPr>
            </w:pPr>
            <w:r>
              <w:rPr>
                <w:rFonts w:hint="eastAsia"/>
                <w:color w:val="000000"/>
                <w:sz w:val="22"/>
              </w:rPr>
              <w:t>130</w:t>
            </w:r>
          </w:p>
        </w:tc>
        <w:tc>
          <w:tcPr>
            <w:tcW w:w="973" w:type="pct"/>
            <w:vMerge w:val="continue"/>
            <w:vAlign w:val="center"/>
          </w:tcPr>
          <w:p w14:paraId="08072EE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69FDAD8">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马家沟</w:t>
            </w:r>
          </w:p>
        </w:tc>
        <w:tc>
          <w:tcPr>
            <w:tcW w:w="973" w:type="pct"/>
          </w:tcPr>
          <w:p w14:paraId="0D9B5269">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AB533A1">
            <w:pPr>
              <w:widowControl/>
              <w:adjustRightInd w:val="0"/>
              <w:spacing w:line="240" w:lineRule="auto"/>
              <w:ind w:firstLine="0" w:firstLineChars="0"/>
              <w:contextualSpacing/>
              <w:jc w:val="center"/>
              <w:rPr>
                <w:rFonts w:cs="Times New Roman"/>
                <w:sz w:val="21"/>
                <w:szCs w:val="21"/>
              </w:rPr>
            </w:pPr>
          </w:p>
        </w:tc>
      </w:tr>
      <w:tr w14:paraId="492F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3C491676">
            <w:pPr>
              <w:widowControl/>
              <w:adjustRightInd w:val="0"/>
              <w:spacing w:line="240" w:lineRule="auto"/>
              <w:ind w:firstLine="0" w:firstLineChars="0"/>
              <w:contextualSpacing/>
              <w:jc w:val="center"/>
              <w:rPr>
                <w:rFonts w:cs="Times New Roman"/>
                <w:sz w:val="21"/>
                <w:szCs w:val="21"/>
              </w:rPr>
            </w:pPr>
            <w:r>
              <w:rPr>
                <w:rFonts w:hint="eastAsia"/>
                <w:color w:val="000000"/>
                <w:sz w:val="22"/>
              </w:rPr>
              <w:t>131</w:t>
            </w:r>
          </w:p>
        </w:tc>
        <w:tc>
          <w:tcPr>
            <w:tcW w:w="973" w:type="pct"/>
            <w:vMerge w:val="continue"/>
            <w:vAlign w:val="center"/>
          </w:tcPr>
          <w:p w14:paraId="5AEF837C">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19404FD">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老营沟</w:t>
            </w:r>
          </w:p>
        </w:tc>
        <w:tc>
          <w:tcPr>
            <w:tcW w:w="973" w:type="pct"/>
          </w:tcPr>
          <w:p w14:paraId="169028B1">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3375CC6B">
            <w:pPr>
              <w:widowControl/>
              <w:adjustRightInd w:val="0"/>
              <w:spacing w:line="240" w:lineRule="auto"/>
              <w:ind w:firstLine="0" w:firstLineChars="0"/>
              <w:contextualSpacing/>
              <w:jc w:val="center"/>
              <w:rPr>
                <w:rFonts w:cs="Times New Roman"/>
                <w:sz w:val="21"/>
                <w:szCs w:val="21"/>
              </w:rPr>
            </w:pPr>
          </w:p>
        </w:tc>
      </w:tr>
      <w:tr w14:paraId="4E97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EE15998">
            <w:pPr>
              <w:widowControl/>
              <w:adjustRightInd w:val="0"/>
              <w:spacing w:line="240" w:lineRule="auto"/>
              <w:ind w:firstLine="0" w:firstLineChars="0"/>
              <w:contextualSpacing/>
              <w:jc w:val="center"/>
              <w:rPr>
                <w:rFonts w:cs="Times New Roman"/>
                <w:sz w:val="21"/>
                <w:szCs w:val="21"/>
              </w:rPr>
            </w:pPr>
            <w:r>
              <w:rPr>
                <w:rFonts w:hint="eastAsia"/>
                <w:color w:val="000000"/>
                <w:sz w:val="22"/>
              </w:rPr>
              <w:t>132</w:t>
            </w:r>
          </w:p>
        </w:tc>
        <w:tc>
          <w:tcPr>
            <w:tcW w:w="973" w:type="pct"/>
            <w:vMerge w:val="continue"/>
            <w:vAlign w:val="center"/>
          </w:tcPr>
          <w:p w14:paraId="3636F948">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7606098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高俭地村</w:t>
            </w:r>
          </w:p>
        </w:tc>
        <w:tc>
          <w:tcPr>
            <w:tcW w:w="973" w:type="pct"/>
          </w:tcPr>
          <w:p w14:paraId="60A99AF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5AA3A9C">
            <w:pPr>
              <w:widowControl/>
              <w:adjustRightInd w:val="0"/>
              <w:spacing w:line="240" w:lineRule="auto"/>
              <w:ind w:firstLine="0" w:firstLineChars="0"/>
              <w:contextualSpacing/>
              <w:jc w:val="center"/>
              <w:rPr>
                <w:rFonts w:cs="Times New Roman"/>
                <w:sz w:val="21"/>
                <w:szCs w:val="21"/>
              </w:rPr>
            </w:pPr>
          </w:p>
        </w:tc>
      </w:tr>
      <w:tr w14:paraId="2C46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15001DF">
            <w:pPr>
              <w:widowControl/>
              <w:adjustRightInd w:val="0"/>
              <w:spacing w:line="240" w:lineRule="auto"/>
              <w:ind w:firstLine="0" w:firstLineChars="0"/>
              <w:contextualSpacing/>
              <w:jc w:val="center"/>
              <w:rPr>
                <w:rFonts w:cs="Times New Roman"/>
                <w:sz w:val="21"/>
                <w:szCs w:val="21"/>
              </w:rPr>
            </w:pPr>
            <w:r>
              <w:rPr>
                <w:rFonts w:hint="eastAsia"/>
                <w:color w:val="000000"/>
                <w:sz w:val="22"/>
              </w:rPr>
              <w:t>133</w:t>
            </w:r>
          </w:p>
        </w:tc>
        <w:tc>
          <w:tcPr>
            <w:tcW w:w="973" w:type="pct"/>
            <w:vMerge w:val="continue"/>
            <w:vAlign w:val="center"/>
          </w:tcPr>
          <w:p w14:paraId="1564865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4C83095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三道沟</w:t>
            </w:r>
          </w:p>
        </w:tc>
        <w:tc>
          <w:tcPr>
            <w:tcW w:w="973" w:type="pct"/>
          </w:tcPr>
          <w:p w14:paraId="5A09C52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43DDBA71">
            <w:pPr>
              <w:widowControl/>
              <w:adjustRightInd w:val="0"/>
              <w:spacing w:line="240" w:lineRule="auto"/>
              <w:ind w:firstLine="0" w:firstLineChars="0"/>
              <w:contextualSpacing/>
              <w:jc w:val="center"/>
              <w:rPr>
                <w:rFonts w:cs="Times New Roman"/>
                <w:sz w:val="21"/>
                <w:szCs w:val="21"/>
              </w:rPr>
            </w:pPr>
          </w:p>
        </w:tc>
      </w:tr>
      <w:tr w14:paraId="655F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23F3F92A">
            <w:pPr>
              <w:widowControl/>
              <w:adjustRightInd w:val="0"/>
              <w:spacing w:line="240" w:lineRule="auto"/>
              <w:ind w:firstLine="0" w:firstLineChars="0"/>
              <w:contextualSpacing/>
              <w:jc w:val="center"/>
              <w:rPr>
                <w:rFonts w:cs="Times New Roman"/>
                <w:sz w:val="21"/>
                <w:szCs w:val="21"/>
              </w:rPr>
            </w:pPr>
            <w:r>
              <w:rPr>
                <w:rFonts w:hint="eastAsia"/>
                <w:color w:val="000000"/>
                <w:sz w:val="22"/>
              </w:rPr>
              <w:t>134</w:t>
            </w:r>
          </w:p>
        </w:tc>
        <w:tc>
          <w:tcPr>
            <w:tcW w:w="973" w:type="pct"/>
            <w:vMerge w:val="continue"/>
            <w:vAlign w:val="center"/>
          </w:tcPr>
          <w:p w14:paraId="61AA7DD9">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64AAD382">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夹板沟</w:t>
            </w:r>
          </w:p>
        </w:tc>
        <w:tc>
          <w:tcPr>
            <w:tcW w:w="973" w:type="pct"/>
          </w:tcPr>
          <w:p w14:paraId="08810EB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A1EA9A5">
            <w:pPr>
              <w:widowControl/>
              <w:adjustRightInd w:val="0"/>
              <w:spacing w:line="240" w:lineRule="auto"/>
              <w:ind w:firstLine="0" w:firstLineChars="0"/>
              <w:contextualSpacing/>
              <w:jc w:val="center"/>
              <w:rPr>
                <w:rFonts w:cs="Times New Roman"/>
                <w:sz w:val="21"/>
                <w:szCs w:val="21"/>
              </w:rPr>
            </w:pPr>
          </w:p>
        </w:tc>
      </w:tr>
      <w:tr w14:paraId="7F1C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08DC726D">
            <w:pPr>
              <w:widowControl/>
              <w:adjustRightInd w:val="0"/>
              <w:spacing w:line="240" w:lineRule="auto"/>
              <w:ind w:firstLine="0" w:firstLineChars="0"/>
              <w:contextualSpacing/>
              <w:jc w:val="center"/>
              <w:rPr>
                <w:rFonts w:cs="Times New Roman"/>
                <w:sz w:val="21"/>
                <w:szCs w:val="21"/>
              </w:rPr>
            </w:pPr>
            <w:r>
              <w:rPr>
                <w:rFonts w:hint="eastAsia"/>
                <w:color w:val="000000"/>
                <w:sz w:val="22"/>
              </w:rPr>
              <w:t>135</w:t>
            </w:r>
          </w:p>
        </w:tc>
        <w:tc>
          <w:tcPr>
            <w:tcW w:w="973" w:type="pct"/>
            <w:vMerge w:val="continue"/>
            <w:vAlign w:val="center"/>
          </w:tcPr>
          <w:p w14:paraId="0C1E6A76">
            <w:pPr>
              <w:widowControl/>
              <w:spacing w:line="240" w:lineRule="auto"/>
              <w:ind w:firstLine="0" w:firstLineChars="0"/>
              <w:jc w:val="center"/>
              <w:rPr>
                <w:rFonts w:cs="Times New Roman"/>
                <w:color w:val="000000"/>
                <w:sz w:val="21"/>
                <w:szCs w:val="21"/>
              </w:rPr>
            </w:pPr>
          </w:p>
        </w:tc>
        <w:tc>
          <w:tcPr>
            <w:tcW w:w="973" w:type="pct"/>
            <w:vAlign w:val="bottom"/>
          </w:tcPr>
          <w:p w14:paraId="05E6E073">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腰段</w:t>
            </w:r>
          </w:p>
        </w:tc>
        <w:tc>
          <w:tcPr>
            <w:tcW w:w="973" w:type="pct"/>
          </w:tcPr>
          <w:p w14:paraId="053D5C5F">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1E0D4BA8">
            <w:pPr>
              <w:widowControl/>
              <w:adjustRightInd w:val="0"/>
              <w:spacing w:line="240" w:lineRule="auto"/>
              <w:ind w:firstLine="0" w:firstLineChars="0"/>
              <w:contextualSpacing/>
              <w:jc w:val="center"/>
              <w:rPr>
                <w:rFonts w:cs="Times New Roman"/>
                <w:sz w:val="21"/>
                <w:szCs w:val="21"/>
              </w:rPr>
            </w:pPr>
          </w:p>
        </w:tc>
      </w:tr>
      <w:tr w14:paraId="127F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7608635A">
            <w:pPr>
              <w:widowControl/>
              <w:adjustRightInd w:val="0"/>
              <w:spacing w:line="240" w:lineRule="auto"/>
              <w:ind w:firstLine="0" w:firstLineChars="0"/>
              <w:contextualSpacing/>
              <w:jc w:val="center"/>
              <w:rPr>
                <w:rFonts w:cs="Times New Roman"/>
                <w:sz w:val="21"/>
                <w:szCs w:val="21"/>
              </w:rPr>
            </w:pPr>
            <w:r>
              <w:rPr>
                <w:rFonts w:hint="eastAsia"/>
                <w:color w:val="000000"/>
                <w:sz w:val="22"/>
              </w:rPr>
              <w:t>136</w:t>
            </w:r>
          </w:p>
        </w:tc>
        <w:tc>
          <w:tcPr>
            <w:tcW w:w="973" w:type="pct"/>
            <w:vMerge w:val="continue"/>
            <w:vAlign w:val="center"/>
          </w:tcPr>
          <w:p w14:paraId="3AD8636A">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1A6AACC1">
            <w:pPr>
              <w:widowControl/>
              <w:adjustRightInd w:val="0"/>
              <w:spacing w:line="240" w:lineRule="auto"/>
              <w:ind w:firstLine="400"/>
              <w:contextualSpacing/>
              <w:rPr>
                <w:rFonts w:ascii="Arial" w:hAnsi="Arial" w:cs="Arial"/>
                <w:color w:val="000000"/>
                <w:sz w:val="20"/>
                <w:szCs w:val="20"/>
              </w:rPr>
            </w:pPr>
            <w:r>
              <w:rPr>
                <w:rFonts w:ascii="Arial" w:hAnsi="Arial" w:cs="Arial"/>
                <w:color w:val="000000"/>
                <w:sz w:val="20"/>
                <w:szCs w:val="20"/>
              </w:rPr>
              <w:t>头道沟门</w:t>
            </w:r>
          </w:p>
        </w:tc>
        <w:tc>
          <w:tcPr>
            <w:tcW w:w="973" w:type="pct"/>
          </w:tcPr>
          <w:p w14:paraId="09723A63">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7E36AC5F">
            <w:pPr>
              <w:widowControl/>
              <w:adjustRightInd w:val="0"/>
              <w:spacing w:line="240" w:lineRule="auto"/>
              <w:ind w:firstLine="0" w:firstLineChars="0"/>
              <w:contextualSpacing/>
              <w:jc w:val="center"/>
              <w:rPr>
                <w:rFonts w:cs="Times New Roman"/>
                <w:sz w:val="21"/>
                <w:szCs w:val="21"/>
              </w:rPr>
            </w:pPr>
          </w:p>
        </w:tc>
      </w:tr>
      <w:tr w14:paraId="23B9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47EF80E3">
            <w:pPr>
              <w:widowControl/>
              <w:adjustRightInd w:val="0"/>
              <w:spacing w:line="240" w:lineRule="auto"/>
              <w:ind w:firstLine="0" w:firstLineChars="0"/>
              <w:contextualSpacing/>
              <w:jc w:val="center"/>
              <w:rPr>
                <w:rFonts w:cs="Times New Roman"/>
                <w:sz w:val="21"/>
                <w:szCs w:val="21"/>
              </w:rPr>
            </w:pPr>
            <w:r>
              <w:rPr>
                <w:rFonts w:hint="eastAsia"/>
                <w:color w:val="000000"/>
                <w:sz w:val="22"/>
              </w:rPr>
              <w:t>137</w:t>
            </w:r>
          </w:p>
        </w:tc>
        <w:tc>
          <w:tcPr>
            <w:tcW w:w="973" w:type="pct"/>
            <w:vMerge w:val="continue"/>
            <w:vAlign w:val="center"/>
          </w:tcPr>
          <w:p w14:paraId="4A305AA2">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3C11CE58">
            <w:pPr>
              <w:widowControl/>
              <w:adjustRightInd w:val="0"/>
              <w:spacing w:line="240" w:lineRule="auto"/>
              <w:ind w:firstLine="400"/>
              <w:contextualSpacing/>
              <w:rPr>
                <w:rFonts w:ascii="Arial" w:hAnsi="Arial" w:cs="Arial"/>
                <w:color w:val="000000"/>
                <w:sz w:val="20"/>
                <w:szCs w:val="20"/>
              </w:rPr>
            </w:pPr>
            <w:r>
              <w:rPr>
                <w:rFonts w:ascii="Arial" w:hAnsi="Arial" w:cs="Arial"/>
                <w:color w:val="000000"/>
                <w:sz w:val="20"/>
                <w:szCs w:val="20"/>
              </w:rPr>
              <w:t>二道沟</w:t>
            </w:r>
          </w:p>
        </w:tc>
        <w:tc>
          <w:tcPr>
            <w:tcW w:w="973" w:type="pct"/>
          </w:tcPr>
          <w:p w14:paraId="1225E97A">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537AA930">
            <w:pPr>
              <w:widowControl/>
              <w:adjustRightInd w:val="0"/>
              <w:spacing w:line="240" w:lineRule="auto"/>
              <w:ind w:firstLine="0" w:firstLineChars="0"/>
              <w:contextualSpacing/>
              <w:jc w:val="center"/>
              <w:rPr>
                <w:rFonts w:cs="Times New Roman"/>
                <w:sz w:val="21"/>
                <w:szCs w:val="21"/>
              </w:rPr>
            </w:pPr>
          </w:p>
        </w:tc>
      </w:tr>
      <w:tr w14:paraId="7379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 w:type="pct"/>
            <w:vAlign w:val="center"/>
          </w:tcPr>
          <w:p w14:paraId="1CD5BCCD">
            <w:pPr>
              <w:widowControl/>
              <w:adjustRightInd w:val="0"/>
              <w:spacing w:line="240" w:lineRule="auto"/>
              <w:ind w:firstLine="0" w:firstLineChars="0"/>
              <w:contextualSpacing/>
              <w:jc w:val="center"/>
              <w:rPr>
                <w:rFonts w:cs="Times New Roman"/>
                <w:sz w:val="21"/>
                <w:szCs w:val="21"/>
              </w:rPr>
            </w:pPr>
            <w:r>
              <w:rPr>
                <w:rFonts w:hint="eastAsia"/>
                <w:color w:val="000000"/>
                <w:sz w:val="22"/>
              </w:rPr>
              <w:t>138</w:t>
            </w:r>
          </w:p>
        </w:tc>
        <w:tc>
          <w:tcPr>
            <w:tcW w:w="973" w:type="pct"/>
            <w:vMerge w:val="continue"/>
            <w:vAlign w:val="center"/>
          </w:tcPr>
          <w:p w14:paraId="4EB8D64B">
            <w:pPr>
              <w:widowControl/>
              <w:adjustRightInd w:val="0"/>
              <w:spacing w:line="240" w:lineRule="auto"/>
              <w:ind w:firstLine="0" w:firstLineChars="0"/>
              <w:contextualSpacing/>
              <w:jc w:val="center"/>
              <w:rPr>
                <w:rFonts w:cs="Times New Roman"/>
                <w:color w:val="000000"/>
                <w:sz w:val="21"/>
                <w:szCs w:val="21"/>
              </w:rPr>
            </w:pPr>
          </w:p>
        </w:tc>
        <w:tc>
          <w:tcPr>
            <w:tcW w:w="973" w:type="pct"/>
            <w:vAlign w:val="bottom"/>
          </w:tcPr>
          <w:p w14:paraId="2401E293">
            <w:pPr>
              <w:widowControl/>
              <w:adjustRightInd w:val="0"/>
              <w:spacing w:line="240" w:lineRule="auto"/>
              <w:ind w:firstLine="400"/>
              <w:contextualSpacing/>
              <w:rPr>
                <w:rFonts w:ascii="Arial" w:hAnsi="Arial" w:cs="Arial"/>
                <w:color w:val="000000"/>
                <w:sz w:val="20"/>
                <w:szCs w:val="20"/>
              </w:rPr>
            </w:pPr>
            <w:r>
              <w:rPr>
                <w:rFonts w:ascii="Arial" w:hAnsi="Arial" w:cs="Arial"/>
                <w:color w:val="000000"/>
                <w:sz w:val="20"/>
                <w:szCs w:val="20"/>
              </w:rPr>
              <w:t>头道沟</w:t>
            </w:r>
          </w:p>
        </w:tc>
        <w:tc>
          <w:tcPr>
            <w:tcW w:w="973" w:type="pct"/>
          </w:tcPr>
          <w:p w14:paraId="775DE762">
            <w:pPr>
              <w:widowControl/>
              <w:adjustRightInd w:val="0"/>
              <w:spacing w:line="240" w:lineRule="auto"/>
              <w:ind w:firstLine="0" w:firstLineChars="0"/>
              <w:contextualSpacing/>
              <w:jc w:val="center"/>
              <w:rPr>
                <w:rFonts w:eastAsia="仿宋" w:cs="Times New Roman"/>
                <w:color w:val="000000"/>
                <w:kern w:val="0"/>
                <w:sz w:val="21"/>
                <w:szCs w:val="21"/>
              </w:rPr>
            </w:pPr>
            <w:r>
              <w:rPr>
                <w:rFonts w:eastAsia="仿宋" w:cs="Times New Roman"/>
                <w:color w:val="000000"/>
                <w:kern w:val="0"/>
                <w:sz w:val="21"/>
                <w:szCs w:val="21"/>
              </w:rPr>
              <w:t>等量型</w:t>
            </w:r>
          </w:p>
        </w:tc>
        <w:tc>
          <w:tcPr>
            <w:tcW w:w="973" w:type="pct"/>
            <w:vAlign w:val="center"/>
          </w:tcPr>
          <w:p w14:paraId="68828D77">
            <w:pPr>
              <w:widowControl/>
              <w:adjustRightInd w:val="0"/>
              <w:spacing w:line="240" w:lineRule="auto"/>
              <w:ind w:firstLine="0" w:firstLineChars="0"/>
              <w:contextualSpacing/>
              <w:jc w:val="center"/>
              <w:rPr>
                <w:rFonts w:cs="Times New Roman"/>
                <w:sz w:val="21"/>
                <w:szCs w:val="21"/>
              </w:rPr>
            </w:pPr>
          </w:p>
        </w:tc>
      </w:tr>
    </w:tbl>
    <w:p w14:paraId="29696DF3">
      <w:pPr>
        <w:widowControl/>
        <w:adjustRightInd w:val="0"/>
        <w:snapToGrid w:val="0"/>
        <w:ind w:firstLine="640"/>
        <w:rPr>
          <w:rFonts w:cs="Times New Roman"/>
        </w:rPr>
      </w:pPr>
    </w:p>
    <w:p w14:paraId="4CABD76C">
      <w:pPr>
        <w:pStyle w:val="3"/>
        <w:rPr>
          <w:rFonts w:ascii="Times New Roman" w:hAnsi="Times New Roman" w:cs="Times New Roman"/>
        </w:rPr>
      </w:pPr>
      <w:bookmarkStart w:id="96" w:name="_Toc19099"/>
      <w:bookmarkStart w:id="97" w:name="_Toc185931308"/>
      <w:bookmarkStart w:id="98" w:name="_Toc20468"/>
      <w:bookmarkStart w:id="99" w:name="_Toc2252"/>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节 产业布局</w:t>
      </w:r>
      <w:bookmarkEnd w:id="96"/>
      <w:bookmarkEnd w:id="97"/>
      <w:bookmarkEnd w:id="98"/>
      <w:bookmarkEnd w:id="99"/>
    </w:p>
    <w:p w14:paraId="77742365">
      <w:pPr>
        <w:pStyle w:val="4"/>
        <w:numPr>
          <w:ilvl w:val="0"/>
          <w:numId w:val="18"/>
        </w:numPr>
        <w:ind w:left="420" w:firstLine="361" w:firstLineChars="113"/>
      </w:pPr>
      <w:r>
        <w:t>产业发展策略</w:t>
      </w:r>
    </w:p>
    <w:p w14:paraId="3D7EDFBD">
      <w:pPr>
        <w:ind w:firstLine="640"/>
        <w:rPr>
          <w:rFonts w:cs="Times New Roman"/>
        </w:rPr>
      </w:pPr>
      <w:r>
        <w:rPr>
          <w:rFonts w:cs="Times New Roman"/>
        </w:rPr>
        <w:t>把握乡村振兴的契机，以生态旅游为根基，以三产融合为目标，充分利用农业资源，发展壮大特色农业产业，加快工业结构优化升级，推动绿色矿山发展；在保护好山水资源的基础上，大力发展乡村旅游业，挖掘生态资源、农耕文化、红色文化和民俗文化资源，发展全域旅游。</w:t>
      </w:r>
    </w:p>
    <w:p w14:paraId="475A2DDA">
      <w:pPr>
        <w:pStyle w:val="4"/>
        <w:numPr>
          <w:ilvl w:val="0"/>
          <w:numId w:val="1"/>
        </w:numPr>
        <w:ind w:left="860" w:firstLine="361" w:firstLineChars="113"/>
      </w:pPr>
      <w:r>
        <w:t>推动特色农业高质量发展</w:t>
      </w:r>
    </w:p>
    <w:p w14:paraId="699DD604">
      <w:pPr>
        <w:ind w:firstLine="640"/>
      </w:pPr>
      <w:r>
        <w:t>发挥华来镇生态优良、农产品资源丰富的优势，推进农业绿色化、优质化、特色化、品牌化建设。以各村的特色农业产业为基础，</w:t>
      </w:r>
      <w:r>
        <w:rPr>
          <w:rFonts w:hint="eastAsia"/>
        </w:rPr>
        <w:t xml:space="preserve">巩固提升华来镇人参、稻米等特色农产品种植优势以及白羽肉鸡、梅花鹿等畜牧业的养殖优势。 </w:t>
      </w:r>
    </w:p>
    <w:p w14:paraId="67283EC7">
      <w:pPr>
        <w:pStyle w:val="4"/>
        <w:numPr>
          <w:ilvl w:val="0"/>
          <w:numId w:val="1"/>
        </w:numPr>
        <w:ind w:left="860" w:firstLine="361" w:firstLineChars="113"/>
      </w:pPr>
      <w:r>
        <w:t>加快工业结构优化升级</w:t>
      </w:r>
    </w:p>
    <w:p w14:paraId="0DFD44A5">
      <w:pPr>
        <w:widowControl/>
        <w:adjustRightInd w:val="0"/>
        <w:snapToGrid w:val="0"/>
        <w:ind w:firstLine="640"/>
        <w:rPr>
          <w:rFonts w:cs="Times New Roman"/>
          <w:color w:val="000000"/>
        </w:rPr>
      </w:pPr>
      <w:r>
        <w:rPr>
          <w:rFonts w:hint="eastAsia" w:cs="Times New Roman"/>
          <w:color w:val="000000"/>
        </w:rPr>
        <w:t>发展农产品深加工产业，延长产业链条，增加农产品附加值，在推广人参道地药材、优质稻米标准化种植，确保农产品质量的基础上，积极引进、扶持深加工企业。在人参加工、优质稻米等每个优势特色产业重点扶持全产业链的标杆型龙头企业，提升农产品加工转化率。充分利用现有闲置宅基地进行盘活，为人参加工车间等提供要素保障。</w:t>
      </w:r>
    </w:p>
    <w:p w14:paraId="483F1414">
      <w:pPr>
        <w:pStyle w:val="4"/>
        <w:numPr>
          <w:ilvl w:val="0"/>
          <w:numId w:val="1"/>
        </w:numPr>
        <w:ind w:left="860" w:firstLine="361" w:firstLineChars="113"/>
      </w:pPr>
      <w:r>
        <w:t>大力发展乡村旅游业</w:t>
      </w:r>
    </w:p>
    <w:p w14:paraId="36F22E90">
      <w:pPr>
        <w:ind w:firstLine="640"/>
        <w:rPr>
          <w:rFonts w:cs="Times New Roman"/>
        </w:rPr>
      </w:pPr>
      <w:r>
        <w:rPr>
          <w:rFonts w:hint="eastAsia" w:cs="Times New Roman"/>
        </w:rPr>
        <w:t>深入挖掘农业农村的生态涵养、休闲观光、文化体验、健康养老等多种功能和多重价值，推进农业与旅游、教育、文化、康养等产业深度融合。鼓励实施休闲农业和乡村旅游精品工程，建设农业观光采摘园、优质稻米认养基地。依托生态资源和特色文化资源，开发“温泉+”，发展生态观光、历史文化、民俗文化、健康养生、休闲度假、农家田园等旅游项目，拓展镇域旅游发展空间。围绕新消费新需求，规划华来镇以暖河子村温泉为引擎，整合泛旅游产业，形成休闲产业链及康复疗养产业链的双产业交织、多业态联动发展格局。针对不同人群，提供定制温泉旅游系列产品。</w:t>
      </w:r>
    </w:p>
    <w:p w14:paraId="03F1285A">
      <w:pPr>
        <w:pStyle w:val="4"/>
        <w:numPr>
          <w:ilvl w:val="0"/>
          <w:numId w:val="1"/>
        </w:numPr>
        <w:ind w:left="860" w:firstLine="361" w:firstLineChars="113"/>
      </w:pPr>
      <w:bookmarkStart w:id="100" w:name="_Hlk131008380"/>
      <w:r>
        <w:t>产业用地保障</w:t>
      </w:r>
    </w:p>
    <w:p w14:paraId="55A5B699">
      <w:pPr>
        <w:widowControl/>
        <w:adjustRightInd w:val="0"/>
        <w:snapToGrid w:val="0"/>
        <w:ind w:firstLine="640"/>
        <w:rPr>
          <w:rFonts w:cs="Times New Roman"/>
        </w:rPr>
      </w:pPr>
      <w:r>
        <w:rPr>
          <w:rFonts w:cs="Times New Roman"/>
        </w:rPr>
        <w:t>持续推进农村一二三产业融合发展，以农业为依托延伸产业链。引导农产品初加工、产地直销等产业在村庄区位优势区域合理布局、适度集中。品牌化</w:t>
      </w:r>
      <w:r>
        <w:rPr>
          <w:rFonts w:hint="eastAsia" w:cs="Times New Roman"/>
        </w:rPr>
        <w:t>中药材、食用菌、红松籽、苗木、杂粮等特色产业，促进绿色矿山转型升级，加快发展文旅融合业态，推动生态发展与新型城镇化有机结合。</w:t>
      </w:r>
      <w:r>
        <w:rPr>
          <w:rFonts w:cs="Times New Roman"/>
        </w:rPr>
        <w:t>合理保障农产品加工流通、电子商务、冷链物流、乡村旅游、休闲农业、民宿经济等新产业、新业态用地需求。根据年度新增用地指标计划情况，在县本级和</w:t>
      </w:r>
      <w:r>
        <w:rPr>
          <w:rFonts w:hint="eastAsia" w:cs="Times New Roman"/>
        </w:rPr>
        <w:t>乡镇</w:t>
      </w:r>
      <w:r>
        <w:rPr>
          <w:rFonts w:cs="Times New Roman"/>
        </w:rPr>
        <w:t>级国土空间总体规划中安排至少10%的建设用地指标，用于支持乡村振兴发展。</w:t>
      </w:r>
    </w:p>
    <w:p w14:paraId="515AE45F">
      <w:pPr>
        <w:widowControl/>
        <w:adjustRightInd w:val="0"/>
        <w:snapToGrid w:val="0"/>
        <w:ind w:firstLine="640"/>
        <w:rPr>
          <w:rFonts w:cs="Times New Roman"/>
        </w:rPr>
      </w:pPr>
      <w:r>
        <w:rPr>
          <w:rFonts w:cs="Times New Roman"/>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w:t>
      </w:r>
    </w:p>
    <w:bookmarkEnd w:id="100"/>
    <w:p w14:paraId="26F7F3B8">
      <w:pPr>
        <w:pStyle w:val="3"/>
        <w:rPr>
          <w:rFonts w:ascii="Times New Roman" w:hAnsi="Times New Roman" w:cs="Times New Roman"/>
        </w:rPr>
      </w:pPr>
      <w:bookmarkStart w:id="101" w:name="_Toc2881"/>
      <w:bookmarkStart w:id="102" w:name="_Toc1552"/>
      <w:bookmarkStart w:id="103" w:name="_Toc18867"/>
      <w:bookmarkStart w:id="104" w:name="_Toc185931309"/>
      <w:r>
        <w:rPr>
          <w:rFonts w:ascii="Times New Roman" w:hAnsi="Times New Roman" w:cs="Times New Roman"/>
        </w:rPr>
        <w:t>第</w:t>
      </w:r>
      <w:r>
        <w:rPr>
          <w:rFonts w:hint="eastAsia" w:ascii="Times New Roman" w:hAnsi="Times New Roman" w:cs="Times New Roman"/>
        </w:rPr>
        <w:t>五</w:t>
      </w:r>
      <w:r>
        <w:rPr>
          <w:rFonts w:ascii="Times New Roman" w:hAnsi="Times New Roman" w:cs="Times New Roman"/>
        </w:rPr>
        <w:t>节 景观风貌</w:t>
      </w:r>
      <w:bookmarkEnd w:id="101"/>
      <w:bookmarkEnd w:id="102"/>
      <w:bookmarkEnd w:id="103"/>
      <w:bookmarkEnd w:id="104"/>
    </w:p>
    <w:p w14:paraId="114DA034">
      <w:pPr>
        <w:pStyle w:val="4"/>
        <w:numPr>
          <w:ilvl w:val="0"/>
          <w:numId w:val="19"/>
        </w:numPr>
        <w:ind w:left="420" w:firstLine="641" w:firstLineChars="0"/>
      </w:pPr>
      <w:r>
        <w:t>凸显</w:t>
      </w:r>
      <w:r>
        <w:rPr>
          <w:rFonts w:hint="eastAsia"/>
        </w:rPr>
        <w:t>桓仁</w:t>
      </w:r>
      <w:r>
        <w:t>生态山水人文景观风貌</w:t>
      </w:r>
    </w:p>
    <w:p w14:paraId="6A07B3DE">
      <w:pPr>
        <w:widowControl/>
        <w:adjustRightInd w:val="0"/>
        <w:snapToGrid w:val="0"/>
        <w:ind w:firstLine="640"/>
        <w:rPr>
          <w:rFonts w:cs="Times New Roman"/>
        </w:rPr>
      </w:pPr>
      <w:bookmarkStart w:id="105" w:name="_Hlk184402703"/>
      <w:r>
        <w:rPr>
          <w:rFonts w:cs="Times New Roman"/>
        </w:rPr>
        <w:t>开展水生态修复工程，打造生态宜居的滨水环境。合理规划绿地系统，推广绿色建筑，加强环境保护。华来镇作为风貌格局塑造和管控的重点地区，遵循“聚团化、多元化”的原则，推动组团式、链条式发展，各组团应注重保护空间特色，维护组团聚集性，融入民俗文化、红色文化，形成多元化的人文空间，严格控制新建超高层建筑</w:t>
      </w:r>
      <w:r>
        <w:rPr>
          <w:rFonts w:hint="eastAsia" w:cs="Times New Roman"/>
        </w:rPr>
        <w:t>，为城市风貌引导提供支撑</w:t>
      </w:r>
      <w:r>
        <w:rPr>
          <w:rFonts w:cs="Times New Roman"/>
        </w:rPr>
        <w:t>。</w:t>
      </w:r>
    </w:p>
    <w:bookmarkEnd w:id="105"/>
    <w:p w14:paraId="448C48B4">
      <w:pPr>
        <w:pStyle w:val="4"/>
        <w:numPr>
          <w:ilvl w:val="0"/>
          <w:numId w:val="1"/>
        </w:numPr>
        <w:ind w:left="860" w:firstLine="361" w:firstLineChars="113"/>
      </w:pPr>
      <w:r>
        <w:t>塑造辽东山区民居特色风貌</w:t>
      </w:r>
    </w:p>
    <w:p w14:paraId="54CE014C">
      <w:pPr>
        <w:widowControl/>
        <w:adjustRightInd w:val="0"/>
        <w:snapToGrid w:val="0"/>
        <w:ind w:firstLine="640"/>
        <w:rPr>
          <w:rFonts w:cs="Times New Roman"/>
        </w:rPr>
      </w:pPr>
      <w:r>
        <w:rPr>
          <w:rFonts w:cs="Times New Roman"/>
        </w:rPr>
        <w:t>建筑风格、色彩设计总体上应体现新乡镇的现代性和勃勃生机，应通过总体的设计加以适度的引导和规定，使乡镇整体建筑空间健康有序。建筑风格、色彩的选择和运用应注重人工色与自然色的协调，兼顾乡镇的整体功能和分区功能，围绕街道、节点等公共空间，构成生动、活泼的乡镇景观。建筑风貌整体协调，新建商业、工业企业、游客接待建筑主要为现代建筑风格</w:t>
      </w:r>
      <w:r>
        <w:rPr>
          <w:rFonts w:hint="eastAsia" w:cs="Times New Roman"/>
        </w:rPr>
        <w:t>。</w:t>
      </w:r>
    </w:p>
    <w:p w14:paraId="7E14ADA0">
      <w:pPr>
        <w:widowControl/>
        <w:adjustRightInd w:val="0"/>
        <w:snapToGrid w:val="0"/>
        <w:ind w:firstLine="640"/>
        <w:rPr>
          <w:rFonts w:cs="Times New Roman"/>
        </w:rPr>
      </w:pPr>
      <w:r>
        <w:rPr>
          <w:rFonts w:cs="Times New Roman"/>
        </w:rPr>
        <w:t>村庄色彩规划控制主要在现状基础上提取色彩元素，确定村庄建筑主体色彩，包括墙面色彩、屋顶色彩以及辅助色彩。村庄整体色彩控制按照单体建筑色彩以暖色调、低亮度色彩为主，并与周围的山水环境和建筑相协调。商业建筑选用较为明亮的色彩，公共建筑以淡黄色墙体红瓦为主，突出其功能性。墙体材料以石料、面砖或涂料为主，限制具有反光效果的材料的运用。注重运用自由灵活的布局、本土的建筑材料、具有乡村特色和地域风格的建筑形式和图案、绿树掩映的方式做出和谐统一、美丽而有特色的建筑风貌。加强农村建筑风貌、色彩和层高的管控，对建筑屋顶、墙面以及门窗等附属设施制定统一的改造方案。积极清除影响村容村貌的临时搭建的简易构筑物。</w:t>
      </w:r>
    </w:p>
    <w:p w14:paraId="7A55DE57">
      <w:pPr>
        <w:pStyle w:val="4"/>
        <w:numPr>
          <w:ilvl w:val="0"/>
          <w:numId w:val="1"/>
        </w:numPr>
        <w:ind w:left="860" w:firstLine="361" w:firstLineChars="113"/>
      </w:pPr>
      <w:r>
        <w:t>人居环境引导</w:t>
      </w:r>
    </w:p>
    <w:p w14:paraId="4B3F9C53">
      <w:pPr>
        <w:widowControl/>
        <w:adjustRightInd w:val="0"/>
        <w:snapToGrid w:val="0"/>
        <w:ind w:firstLine="640"/>
        <w:rPr>
          <w:rFonts w:cs="Times New Roman"/>
        </w:rPr>
      </w:pPr>
      <w:r>
        <w:rPr>
          <w:rFonts w:cs="Times New Roman"/>
        </w:rPr>
        <w:t>落实辽宁省推动美丽乡村建设相关要求，重点推进</w:t>
      </w:r>
      <w:r>
        <w:rPr>
          <w:rFonts w:hint="eastAsia" w:cs="Times New Roman"/>
        </w:rPr>
        <w:t>仙人洞村、高俭地村、瓦尔喀什寨村等</w:t>
      </w:r>
      <w:r>
        <w:rPr>
          <w:rFonts w:cs="Times New Roman"/>
        </w:rPr>
        <w:t>旅游重点村的创建，推动宜居宜业和美乡村建设。促进城乡基础设施互联互通，推动农村基础设施提档升级。加快补齐农村基础设施短板，深入推进农村人居环境整治，重点对村内道路、农房改造、环境卫生、村容村貌等要素开展整治提升。完善农村公共服务配套，促进公共教育、医疗卫生、社会保障等资源向农村倾斜，逐步建立健全全民覆盖、普惠共享、城乡一体的基本公共服务体系，推进城乡基本公共服务均等化。</w:t>
      </w:r>
    </w:p>
    <w:p w14:paraId="625D0B92">
      <w:pPr>
        <w:pStyle w:val="2"/>
        <w:spacing w:before="312" w:after="312"/>
        <w:rPr>
          <w:rFonts w:ascii="Times New Roman" w:hAnsi="Times New Roman" w:cs="Times New Roman"/>
        </w:rPr>
      </w:pPr>
      <w:bookmarkStart w:id="106" w:name="_Toc17888"/>
      <w:bookmarkStart w:id="107" w:name="_Toc31238"/>
      <w:bookmarkStart w:id="108" w:name="_Toc185931310"/>
      <w:bookmarkStart w:id="109" w:name="_Toc5028"/>
      <w:r>
        <w:rPr>
          <w:rFonts w:ascii="Times New Roman" w:hAnsi="Times New Roman" w:cs="Times New Roman"/>
        </w:rPr>
        <w:t>第六章 生态修复和国土综合整治</w:t>
      </w:r>
      <w:bookmarkEnd w:id="106"/>
      <w:bookmarkEnd w:id="107"/>
      <w:bookmarkEnd w:id="108"/>
      <w:bookmarkEnd w:id="109"/>
    </w:p>
    <w:p w14:paraId="2691BDB4">
      <w:pPr>
        <w:pStyle w:val="3"/>
        <w:rPr>
          <w:rFonts w:ascii="Times New Roman" w:hAnsi="Times New Roman" w:cs="Times New Roman"/>
        </w:rPr>
      </w:pPr>
      <w:bookmarkStart w:id="110" w:name="_Toc7928"/>
      <w:bookmarkStart w:id="111" w:name="_Toc4434"/>
      <w:bookmarkStart w:id="112" w:name="_Toc16053"/>
      <w:bookmarkStart w:id="113" w:name="_Toc185931311"/>
      <w:r>
        <w:rPr>
          <w:rFonts w:ascii="Times New Roman" w:hAnsi="Times New Roman" w:cs="Times New Roman"/>
        </w:rPr>
        <w:t>第一节 生态修复</w:t>
      </w:r>
      <w:bookmarkEnd w:id="110"/>
      <w:bookmarkEnd w:id="111"/>
      <w:bookmarkEnd w:id="112"/>
      <w:bookmarkEnd w:id="113"/>
    </w:p>
    <w:p w14:paraId="402757D1">
      <w:pPr>
        <w:pStyle w:val="4"/>
        <w:numPr>
          <w:ilvl w:val="0"/>
          <w:numId w:val="20"/>
        </w:numPr>
        <w:ind w:left="420" w:firstLine="361" w:firstLineChars="113"/>
      </w:pPr>
      <w:r>
        <w:t>山水林田湖草一体化生态修复</w:t>
      </w:r>
    </w:p>
    <w:p w14:paraId="4060B3F5">
      <w:pPr>
        <w:widowControl/>
        <w:adjustRightInd w:val="0"/>
        <w:snapToGrid w:val="0"/>
        <w:ind w:firstLine="640"/>
        <w:rPr>
          <w:rFonts w:cs="Times New Roman"/>
        </w:rPr>
      </w:pPr>
      <w:r>
        <w:rPr>
          <w:rFonts w:cs="Times New Roman"/>
        </w:rPr>
        <w:t>为解决山水林田湖草各自然要素存在的问题，使生态环境质量得到有效改善，生态功能支撑和生态涵养明显增强，生态系统服务与保障功能、生态廊道系统功能得到提升，设置山水林田湖草一体化生态修复重点工程。</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55C1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5000" w:type="pct"/>
          </w:tcPr>
          <w:p w14:paraId="58E49F56">
            <w:pPr>
              <w:pStyle w:val="7"/>
              <w:numPr>
                <w:ilvl w:val="0"/>
                <w:numId w:val="0"/>
              </w:numPr>
              <w:rPr>
                <w:rFonts w:ascii="Times New Roman" w:hAnsi="Times New Roman" w:cs="Times New Roman"/>
                <w:kern w:val="0"/>
              </w:rPr>
            </w:pPr>
            <w:r>
              <w:rPr>
                <w:rFonts w:ascii="Times New Roman" w:hAnsi="Times New Roman" w:cs="Times New Roman"/>
                <w:kern w:val="0"/>
              </w:rPr>
              <w:t>专栏2 山水林田湖草沙一体化生态修复工程</w:t>
            </w:r>
          </w:p>
        </w:tc>
      </w:tr>
      <w:tr w14:paraId="2C4E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00" w:type="pct"/>
          </w:tcPr>
          <w:p w14:paraId="7B139A88">
            <w:pPr>
              <w:pStyle w:val="35"/>
              <w:spacing w:line="500" w:lineRule="exact"/>
              <w:ind w:firstLine="560"/>
              <w:jc w:val="both"/>
              <w:rPr>
                <w:rFonts w:cs="Times New Roman"/>
                <w:kern w:val="0"/>
                <w:sz w:val="28"/>
                <w:szCs w:val="21"/>
              </w:rPr>
            </w:pPr>
            <w:r>
              <w:rPr>
                <w:rFonts w:cs="Times New Roman"/>
                <w:kern w:val="0"/>
                <w:sz w:val="28"/>
                <w:szCs w:val="21"/>
              </w:rPr>
              <w:t>1.森林生态修复工程</w:t>
            </w:r>
          </w:p>
          <w:p w14:paraId="3A1C4719">
            <w:pPr>
              <w:pStyle w:val="35"/>
              <w:spacing w:line="500" w:lineRule="exact"/>
              <w:ind w:firstLine="560"/>
              <w:jc w:val="both"/>
              <w:rPr>
                <w:rFonts w:cs="Times New Roman"/>
                <w:kern w:val="0"/>
                <w:sz w:val="28"/>
                <w:szCs w:val="21"/>
              </w:rPr>
            </w:pPr>
            <w:r>
              <w:rPr>
                <w:rFonts w:hint="eastAsia" w:cs="Times New Roman"/>
                <w:kern w:val="0"/>
                <w:sz w:val="28"/>
                <w:szCs w:val="21"/>
              </w:rPr>
              <w:t>以保护森林物种多样性和森林生态系统的生态稳定性为重点，大力推进森林生态修复工程</w:t>
            </w:r>
            <w:r>
              <w:rPr>
                <w:rFonts w:cs="Times New Roman"/>
                <w:kern w:val="0"/>
                <w:sz w:val="28"/>
                <w:szCs w:val="21"/>
              </w:rPr>
              <w:t>。</w:t>
            </w:r>
          </w:p>
          <w:p w14:paraId="69E04EF0">
            <w:pPr>
              <w:pStyle w:val="35"/>
              <w:spacing w:line="500" w:lineRule="exact"/>
              <w:ind w:firstLine="560"/>
              <w:jc w:val="both"/>
              <w:rPr>
                <w:rFonts w:cs="Times New Roman"/>
                <w:kern w:val="0"/>
                <w:sz w:val="28"/>
                <w:szCs w:val="21"/>
              </w:rPr>
            </w:pPr>
            <w:r>
              <w:rPr>
                <w:rFonts w:cs="Times New Roman"/>
                <w:kern w:val="0"/>
                <w:sz w:val="28"/>
                <w:szCs w:val="21"/>
              </w:rPr>
              <w:t>2.</w:t>
            </w:r>
            <w:r>
              <w:rPr>
                <w:rFonts w:hint="eastAsia"/>
                <w:sz w:val="32"/>
                <w:szCs w:val="22"/>
              </w:rPr>
              <w:t xml:space="preserve"> </w:t>
            </w:r>
            <w:r>
              <w:rPr>
                <w:rFonts w:hint="eastAsia" w:cs="Times New Roman"/>
                <w:kern w:val="0"/>
                <w:sz w:val="28"/>
                <w:szCs w:val="21"/>
              </w:rPr>
              <w:t>水环境和水生态修复工程</w:t>
            </w:r>
          </w:p>
          <w:p w14:paraId="5D414A9E">
            <w:pPr>
              <w:pStyle w:val="35"/>
              <w:spacing w:line="500" w:lineRule="exact"/>
              <w:ind w:firstLine="560"/>
              <w:jc w:val="both"/>
              <w:rPr>
                <w:rFonts w:cs="Times New Roman"/>
                <w:kern w:val="0"/>
                <w:sz w:val="28"/>
                <w:szCs w:val="21"/>
              </w:rPr>
            </w:pPr>
            <w:r>
              <w:rPr>
                <w:rFonts w:hint="eastAsia" w:cs="Times New Roman"/>
                <w:kern w:val="0"/>
                <w:sz w:val="28"/>
                <w:szCs w:val="21"/>
              </w:rPr>
              <w:t>加强河道治理工程，实施农田防护林建设，河道及堤防岸坡治理、人工湿地建设等治理措施，推进水系连通及农村水系综合整治，保障河道水质达标，促进生态修复，保障农村灌溉安全。</w:t>
            </w:r>
          </w:p>
          <w:p w14:paraId="2CD86BC9">
            <w:pPr>
              <w:pStyle w:val="35"/>
              <w:spacing w:line="500" w:lineRule="exact"/>
              <w:ind w:firstLine="560"/>
              <w:jc w:val="both"/>
              <w:rPr>
                <w:rFonts w:cs="Times New Roman"/>
                <w:kern w:val="0"/>
                <w:sz w:val="28"/>
                <w:szCs w:val="21"/>
              </w:rPr>
            </w:pPr>
            <w:r>
              <w:rPr>
                <w:rFonts w:cs="Times New Roman"/>
                <w:kern w:val="0"/>
                <w:sz w:val="28"/>
                <w:szCs w:val="21"/>
              </w:rPr>
              <w:t>3.湿地生态修复工程</w:t>
            </w:r>
          </w:p>
          <w:p w14:paraId="05ABD670">
            <w:pPr>
              <w:pStyle w:val="35"/>
              <w:spacing w:line="500" w:lineRule="exact"/>
              <w:ind w:firstLine="560"/>
              <w:jc w:val="both"/>
              <w:rPr>
                <w:rFonts w:cs="Times New Roman"/>
                <w:kern w:val="0"/>
                <w:szCs w:val="28"/>
              </w:rPr>
            </w:pPr>
            <w:r>
              <w:rPr>
                <w:rFonts w:hint="eastAsia" w:cs="Times New Roman"/>
                <w:kern w:val="0"/>
                <w:sz w:val="28"/>
                <w:szCs w:val="21"/>
              </w:rPr>
              <w:t>加强对湿地生态系统保护修复，通过实施湿地恢复与综合治理工程，改善湿地生态质量，提高湿地生态系统完整性和稳定性。推进小微湿地建设，开展湿地公园建设，打造生态景观水系，改善河流水质。</w:t>
            </w:r>
          </w:p>
        </w:tc>
      </w:tr>
    </w:tbl>
    <w:p w14:paraId="520898AF">
      <w:pPr>
        <w:pStyle w:val="4"/>
        <w:numPr>
          <w:ilvl w:val="0"/>
          <w:numId w:val="1"/>
        </w:numPr>
        <w:ind w:left="860" w:firstLine="361" w:firstLineChars="113"/>
      </w:pPr>
      <w:r>
        <w:t>土壤污染生态修复</w:t>
      </w:r>
    </w:p>
    <w:p w14:paraId="2ED65F0C">
      <w:pPr>
        <w:widowControl/>
        <w:adjustRightInd w:val="0"/>
        <w:snapToGrid w:val="0"/>
        <w:ind w:firstLine="640"/>
        <w:rPr>
          <w:rFonts w:cs="Times New Roman"/>
          <w:color w:val="000000"/>
        </w:rPr>
      </w:pPr>
      <w:r>
        <w:rPr>
          <w:rFonts w:cs="Times New Roman"/>
          <w:color w:val="000000"/>
        </w:rPr>
        <w:t>加强土壤污染防治，积极推进污染土壤阻控修复，在土壤污染地区内实施土壤污染生态修复工程，建设农田生态沟渠、污水净化池等设施，净化地表径流及农田灌排水，优化种植结构，改善土壤环境，提升土壤质量。</w:t>
      </w:r>
    </w:p>
    <w:p w14:paraId="7109114B">
      <w:pPr>
        <w:pStyle w:val="4"/>
        <w:numPr>
          <w:ilvl w:val="0"/>
          <w:numId w:val="1"/>
        </w:numPr>
        <w:ind w:left="860" w:firstLine="361" w:firstLineChars="113"/>
      </w:pPr>
      <w:r>
        <w:t>矿山生态修复</w:t>
      </w:r>
    </w:p>
    <w:p w14:paraId="03E96475">
      <w:pPr>
        <w:widowControl/>
        <w:adjustRightInd w:val="0"/>
        <w:snapToGrid w:val="0"/>
        <w:ind w:firstLine="640"/>
        <w:rPr>
          <w:rFonts w:cs="Times New Roman"/>
        </w:rPr>
      </w:pPr>
      <w:r>
        <w:rPr>
          <w:rFonts w:cs="Times New Roman"/>
        </w:rPr>
        <w:t>积极推进矿山生态修复工程，</w:t>
      </w:r>
      <w:r>
        <w:rPr>
          <w:rFonts w:cs="Times New Roman"/>
          <w:color w:val="000000"/>
        </w:rPr>
        <w:t>重点解决地面塌陷和固体废弃物堆积等问题。以生态重塑加自然恢复相结合的模式进行综合治理，治理后基本消除地面塌陷、地裂缝、崩塌、泥石流等地质灾害隐患，矿山固体废弃物得到有效治理，植被复绿，解除塌陷区居民的生命财产安全隐患，恢复生态环境和土地使用功能。</w:t>
      </w:r>
      <w:r>
        <w:rPr>
          <w:rFonts w:cs="Times New Roman"/>
        </w:rPr>
        <w:t>引导生产矿山向绿色矿山转型，鼓励新建矿山按绿色矿山标准建设。</w:t>
      </w:r>
    </w:p>
    <w:p w14:paraId="2BBF99DF">
      <w:pPr>
        <w:pStyle w:val="4"/>
        <w:numPr>
          <w:ilvl w:val="0"/>
          <w:numId w:val="1"/>
        </w:numPr>
        <w:ind w:left="860" w:firstLine="361" w:firstLineChars="113"/>
      </w:pPr>
      <w:r>
        <w:t>重大自然灾害生态修复</w:t>
      </w:r>
    </w:p>
    <w:p w14:paraId="707ED0C8">
      <w:pPr>
        <w:widowControl/>
        <w:adjustRightInd w:val="0"/>
        <w:snapToGrid w:val="0"/>
        <w:ind w:firstLine="640"/>
        <w:rPr>
          <w:rFonts w:cs="Times New Roman"/>
        </w:rPr>
      </w:pPr>
      <w:r>
        <w:rPr>
          <w:rFonts w:cs="Times New Roman"/>
        </w:rPr>
        <w:t>对重大自然灾害损毁土地进行评价并分类，对可复垦利用的土地，实施复垦工程。加强耕地抗灾能力建设，减少耕地灾毁数量。采取工程措施对损毁土地内的田、水、路、林及受损的生态环境等进行整治和恢复，使损毁土地恢复生态功能。</w:t>
      </w:r>
    </w:p>
    <w:p w14:paraId="4C1C8184">
      <w:pPr>
        <w:pStyle w:val="3"/>
        <w:rPr>
          <w:rFonts w:ascii="Times New Roman" w:hAnsi="Times New Roman" w:cs="Times New Roman"/>
        </w:rPr>
      </w:pPr>
      <w:bookmarkStart w:id="114" w:name="_Toc19785"/>
      <w:bookmarkStart w:id="115" w:name="_Toc12855"/>
      <w:bookmarkStart w:id="116" w:name="_Toc185931312"/>
      <w:bookmarkStart w:id="117" w:name="_Toc9055"/>
      <w:r>
        <w:rPr>
          <w:rFonts w:ascii="Times New Roman" w:hAnsi="Times New Roman" w:cs="Times New Roman"/>
        </w:rPr>
        <w:t>第二节 国土综合整治</w:t>
      </w:r>
      <w:bookmarkEnd w:id="114"/>
      <w:bookmarkEnd w:id="115"/>
      <w:bookmarkEnd w:id="116"/>
      <w:bookmarkEnd w:id="117"/>
    </w:p>
    <w:p w14:paraId="7CA17E57">
      <w:pPr>
        <w:pStyle w:val="4"/>
        <w:numPr>
          <w:ilvl w:val="0"/>
          <w:numId w:val="21"/>
        </w:numPr>
        <w:ind w:left="420" w:firstLine="361" w:firstLineChars="113"/>
        <w:rPr>
          <w:rFonts w:eastAsia="楷体"/>
        </w:rPr>
      </w:pPr>
      <w:r>
        <w:t>建设用地综合整治</w:t>
      </w:r>
    </w:p>
    <w:p w14:paraId="5A78C431">
      <w:pPr>
        <w:widowControl/>
        <w:adjustRightInd w:val="0"/>
        <w:snapToGrid w:val="0"/>
        <w:ind w:firstLine="640"/>
        <w:rPr>
          <w:rFonts w:cs="Times New Roman"/>
        </w:rPr>
      </w:pPr>
      <w:r>
        <w:rPr>
          <w:rFonts w:cs="Times New Roman"/>
        </w:rPr>
        <w:t>实施“严控总量、盘活存量、精准调控、提质增效”的建设用地优化策略，推进城镇更新治理进程，促进低效建设用地开发再利用，以旧居住用地、旧产业用地、旧村用地、其他用地等为重点对象，促进低效建设用地重新利用，推动城镇分类整治、盘活低效、存量建设用地、违法建设综合治理机制，增加流量建设用地面积，提升土地节约集约利用率，提高建设用地地均产值。</w:t>
      </w:r>
    </w:p>
    <w:p w14:paraId="660B7DEA">
      <w:pPr>
        <w:widowControl/>
        <w:adjustRightInd w:val="0"/>
        <w:snapToGrid w:val="0"/>
        <w:ind w:firstLine="640"/>
        <w:rPr>
          <w:rFonts w:cs="Times New Roman"/>
        </w:rPr>
      </w:pPr>
      <w:r>
        <w:rPr>
          <w:rFonts w:cs="Times New Roman"/>
        </w:rPr>
        <w:t>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w:t>
      </w:r>
      <w:bookmarkStart w:id="216" w:name="_GoBack"/>
      <w:bookmarkEnd w:id="216"/>
      <w:r>
        <w:rPr>
          <w:rFonts w:cs="Times New Roman"/>
        </w:rPr>
        <w:t>乡一体化融合发展。</w:t>
      </w:r>
    </w:p>
    <w:p w14:paraId="61EA6C59">
      <w:pPr>
        <w:pStyle w:val="4"/>
        <w:numPr>
          <w:ilvl w:val="0"/>
          <w:numId w:val="1"/>
        </w:numPr>
        <w:ind w:left="860" w:firstLine="361" w:firstLineChars="113"/>
      </w:pPr>
      <w:r>
        <w:t>农村土地综合整治</w:t>
      </w:r>
    </w:p>
    <w:p w14:paraId="794B7336">
      <w:pPr>
        <w:widowControl/>
        <w:adjustRightInd w:val="0"/>
        <w:snapToGrid w:val="0"/>
        <w:ind w:firstLine="640"/>
        <w:rPr>
          <w:rFonts w:cs="Times New Roman"/>
          <w:szCs w:val="28"/>
        </w:rPr>
      </w:pPr>
      <w:bookmarkStart w:id="118" w:name="_Hlk151908821"/>
      <w:r>
        <w:rPr>
          <w:rFonts w:cs="Times New Roman"/>
        </w:rPr>
        <w:t>统筹推进华来镇全域全要素的国土综合整治及生态系统</w:t>
      </w:r>
      <w:del w:id="2" w:author="杨起" w:date="2026-03-24T15:28:43Z">
        <w:r>
          <w:rPr>
            <w:rFonts w:cs="Times New Roman"/>
          </w:rPr>
          <w:delText>性</w:delText>
        </w:r>
      </w:del>
      <w:r>
        <w:rPr>
          <w:rFonts w:cs="Times New Roman"/>
        </w:rPr>
        <w:t>保护和修复</w:t>
      </w:r>
      <w:bookmarkEnd w:id="118"/>
      <w:r>
        <w:rPr>
          <w:rFonts w:cs="Times New Roman"/>
        </w:rPr>
        <w:t>工作，布置农用地整理、乡村建设用地整理、乡村生态保护修复的重点建设工程</w:t>
      </w:r>
      <w:r>
        <w:rPr>
          <w:rFonts w:cs="Times New Roman"/>
          <w:szCs w:val="28"/>
        </w:rPr>
        <w:t>，整体推进乡村地区耕地质量提升、建设用地集约利用、山水林田湖草系统保护修复工作实施。</w:t>
      </w:r>
    </w:p>
    <w:p w14:paraId="5E8FD97F">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——农用地整理</w:t>
      </w:r>
    </w:p>
    <w:p w14:paraId="4F97D924">
      <w:pPr>
        <w:widowControl/>
        <w:adjustRightInd w:val="0"/>
        <w:snapToGrid w:val="0"/>
        <w:ind w:firstLine="640"/>
        <w:rPr>
          <w:rFonts w:cs="Times New Roman"/>
          <w:szCs w:val="28"/>
        </w:rPr>
      </w:pPr>
      <w:r>
        <w:rPr>
          <w:rFonts w:cs="Times New Roman"/>
          <w:szCs w:val="28"/>
        </w:rPr>
        <w:t>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w:t>
      </w:r>
    </w:p>
    <w:p w14:paraId="0F722B86">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——农村建设用地整理</w:t>
      </w:r>
    </w:p>
    <w:p w14:paraId="29FC674F">
      <w:pPr>
        <w:widowControl/>
        <w:adjustRightInd w:val="0"/>
        <w:snapToGrid w:val="0"/>
        <w:ind w:firstLine="640"/>
        <w:rPr>
          <w:rFonts w:cs="Times New Roman"/>
        </w:rPr>
      </w:pPr>
      <w:r>
        <w:rPr>
          <w:rFonts w:cs="Times New Roman"/>
        </w:rPr>
        <w:t>充分尊重农民意愿，开展农村建设用地整理，推进城乡建设用地增减挂钩，优先配套和完善村庄的道路交通、给水排水、电力电讯、污水及垃圾处理等基础设施和教育、医疗卫生、文化等公共服务设施，保障人居环境建设。腾出的建设用地指标优先用于支持农村一二三产业融合发展，并因地制宜，适度增加耕地面积。规划期内在全域范围内重点挖潜村庄内部低效、闲置建设用地，提高建设用地节约集约利用程度，提升农村建设用地质量。</w:t>
      </w:r>
    </w:p>
    <w:p w14:paraId="5313FAF2">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——宜耕后备土地资源开发</w:t>
      </w:r>
    </w:p>
    <w:p w14:paraId="408EE710">
      <w:pPr>
        <w:widowControl/>
        <w:adjustRightInd w:val="0"/>
        <w:snapToGrid w:val="0"/>
        <w:ind w:firstLine="640"/>
        <w:rPr>
          <w:rFonts w:cs="Times New Roman"/>
        </w:rPr>
      </w:pPr>
      <w:r>
        <w:rPr>
          <w:rFonts w:cs="Times New Roman"/>
        </w:rPr>
        <w:t>在保护和改善生态环境的前提下，依据土地适宜性条件，有序推进宜耕后备资源开发，通过工程措施，将项目区开垦成为高产田、稳产田，以增加有效耕地面积，适当增加园地、林地等农用地面积，提升粮食产量，保障粮食安全，控制土壤退化现象，涵养水源、防止水土流失，促进生态环境的可持续发展。</w:t>
      </w:r>
    </w:p>
    <w:p w14:paraId="45431FC9">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——农村生态环境修复</w:t>
      </w:r>
    </w:p>
    <w:p w14:paraId="3B274D18">
      <w:pPr>
        <w:widowControl/>
        <w:adjustRightInd w:val="0"/>
        <w:snapToGrid w:val="0"/>
        <w:ind w:firstLine="640"/>
        <w:jc w:val="left"/>
        <w:rPr>
          <w:rFonts w:cs="Times New Roman"/>
        </w:rPr>
      </w:pPr>
      <w:r>
        <w:rPr>
          <w:rFonts w:cs="Times New Roman"/>
        </w:rPr>
        <w:t>尊重和保护村域内原有的地形地貌，全面推进农村环境整治，加强农村面源污染整治力度。完善交通两侧生态廊道体系，实施道路绿化工程，实施中小河流治理工程，推进安全饮水工程，优化农村水系、林网、绿道等生态空间，促进人与自然和谐共生。</w:t>
      </w:r>
    </w:p>
    <w:p w14:paraId="6DC55AD9">
      <w:pPr>
        <w:widowControl/>
        <w:adjustRightInd w:val="0"/>
        <w:snapToGrid w:val="0"/>
        <w:ind w:firstLine="640"/>
        <w:rPr>
          <w:rFonts w:cs="Times New Roman"/>
        </w:rPr>
      </w:pPr>
    </w:p>
    <w:p w14:paraId="473B1B76">
      <w:pPr>
        <w:widowControl/>
        <w:adjustRightInd w:val="0"/>
        <w:snapToGrid w:val="0"/>
        <w:ind w:firstLine="640"/>
        <w:rPr>
          <w:rFonts w:cs="Times New Roman"/>
        </w:rPr>
      </w:pPr>
    </w:p>
    <w:p w14:paraId="4199559C">
      <w:pPr>
        <w:pStyle w:val="2"/>
        <w:spacing w:before="312" w:after="312"/>
        <w:rPr>
          <w:rFonts w:ascii="Times New Roman" w:hAnsi="Times New Roman" w:cs="Times New Roman"/>
        </w:rPr>
      </w:pPr>
      <w:bookmarkStart w:id="119" w:name="_Toc19445"/>
      <w:bookmarkStart w:id="120" w:name="_Toc15467"/>
      <w:bookmarkStart w:id="121" w:name="_Toc27692"/>
      <w:bookmarkStart w:id="122" w:name="_Toc185931313"/>
      <w:r>
        <w:rPr>
          <w:rFonts w:ascii="Times New Roman" w:hAnsi="Times New Roman" w:cs="Times New Roman"/>
        </w:rPr>
        <w:t>第七章 镇区功能布局与规划管控</w:t>
      </w:r>
      <w:bookmarkEnd w:id="119"/>
      <w:bookmarkEnd w:id="120"/>
      <w:bookmarkEnd w:id="121"/>
      <w:bookmarkEnd w:id="122"/>
      <w:r>
        <w:rPr>
          <w:rFonts w:ascii="Times New Roman" w:hAnsi="Times New Roman" w:cs="Times New Roman"/>
        </w:rPr>
        <w:t xml:space="preserve"> </w:t>
      </w:r>
    </w:p>
    <w:p w14:paraId="01D3A4C0">
      <w:pPr>
        <w:pStyle w:val="3"/>
        <w:rPr>
          <w:rFonts w:ascii="Times New Roman" w:hAnsi="Times New Roman" w:cs="Times New Roman"/>
        </w:rPr>
      </w:pPr>
      <w:bookmarkStart w:id="123" w:name="_Toc175064683"/>
      <w:bookmarkStart w:id="124" w:name="_Toc16534"/>
      <w:bookmarkStart w:id="125" w:name="_Toc20419"/>
      <w:bookmarkStart w:id="126" w:name="_Toc26389"/>
      <w:bookmarkStart w:id="127" w:name="_Toc185931315"/>
      <w:r>
        <w:rPr>
          <w:rFonts w:ascii="Times New Roman" w:hAnsi="Times New Roman" w:cs="Times New Roman"/>
        </w:rPr>
        <w:t>第</w:t>
      </w:r>
      <w:r>
        <w:rPr>
          <w:rFonts w:hint="eastAsia" w:ascii="Times New Roman" w:hAnsi="Times New Roman" w:cs="Times New Roman"/>
        </w:rPr>
        <w:t>一</w:t>
      </w:r>
      <w:r>
        <w:rPr>
          <w:rFonts w:ascii="Times New Roman" w:hAnsi="Times New Roman" w:cs="Times New Roman"/>
        </w:rPr>
        <w:t>节 用地结构和布局</w:t>
      </w:r>
      <w:bookmarkEnd w:id="123"/>
      <w:bookmarkEnd w:id="124"/>
      <w:bookmarkEnd w:id="125"/>
      <w:bookmarkEnd w:id="126"/>
      <w:bookmarkEnd w:id="127"/>
    </w:p>
    <w:p w14:paraId="2F641026">
      <w:pPr>
        <w:pStyle w:val="4"/>
        <w:numPr>
          <w:ilvl w:val="0"/>
          <w:numId w:val="22"/>
        </w:numPr>
        <w:ind w:left="420" w:firstLine="361" w:firstLineChars="113"/>
      </w:pPr>
      <w:r>
        <w:t>用地结构</w:t>
      </w:r>
    </w:p>
    <w:p w14:paraId="2CCC56B4">
      <w:pPr>
        <w:ind w:firstLine="640"/>
        <w:rPr>
          <w:rFonts w:cs="Times New Roman"/>
        </w:rPr>
      </w:pPr>
      <w:bookmarkStart w:id="128" w:name="OLE_LINK23"/>
      <w:r>
        <w:rPr>
          <w:rFonts w:hint="eastAsia" w:cs="Times New Roman"/>
        </w:rPr>
        <w:t>空间结构采用“两廊三心、点轴并举”的镇中心区用地空间的扩展方式，依托贯穿生活区的中心街和龙兴路构成的两个城镇发展走廊，构建镇区三心双带的城镇空间形态，统筹生活区；相应完善市场物流、行政中心、商业中心等相关建设功能，完善镇中心区用地功能布局。</w:t>
      </w:r>
    </w:p>
    <w:bookmarkEnd w:id="128"/>
    <w:p w14:paraId="3626FA27">
      <w:pPr>
        <w:pStyle w:val="4"/>
        <w:numPr>
          <w:ilvl w:val="0"/>
          <w:numId w:val="1"/>
        </w:numPr>
        <w:ind w:left="860" w:firstLine="361" w:firstLineChars="113"/>
      </w:pPr>
      <w:r>
        <w:t>用地布局</w:t>
      </w:r>
    </w:p>
    <w:p w14:paraId="10577DF1">
      <w:pPr>
        <w:ind w:firstLine="640"/>
        <w:rPr>
          <w:rFonts w:cs="Times New Roman"/>
        </w:rPr>
      </w:pPr>
      <w:bookmarkStart w:id="129" w:name="_Hlk131089488"/>
      <w:r>
        <w:rPr>
          <w:rFonts w:cs="Times New Roman"/>
        </w:rPr>
        <w:t>规划至2035年，镇区建设用地总计</w:t>
      </w:r>
      <w:r>
        <w:rPr>
          <w:rFonts w:hint="eastAsia" w:cs="Times New Roman"/>
        </w:rPr>
        <w:t>190.65</w:t>
      </w:r>
      <w:r>
        <w:rPr>
          <w:rFonts w:cs="Times New Roman"/>
        </w:rPr>
        <w:t>公顷，其中：</w:t>
      </w:r>
    </w:p>
    <w:p w14:paraId="07873CE1">
      <w:pPr>
        <w:ind w:firstLine="640"/>
        <w:rPr>
          <w:rFonts w:cs="Times New Roman"/>
        </w:rPr>
      </w:pPr>
      <w:bookmarkStart w:id="130" w:name="_Hlk184372822"/>
      <w:r>
        <w:rPr>
          <w:rFonts w:cs="Times New Roman"/>
        </w:rPr>
        <w:t>1.居住用地。</w:t>
      </w:r>
      <w:bookmarkStart w:id="131" w:name="_Hlk131087510"/>
      <w:r>
        <w:rPr>
          <w:rFonts w:cs="Times New Roman"/>
        </w:rPr>
        <w:t>新增城镇居住用地规模，保障性住房用地供给，新增住房用地重点向中部居住生活组团倾斜。规划至2035年，居住用地规模控制在</w:t>
      </w:r>
      <w:r>
        <w:rPr>
          <w:rFonts w:hint="eastAsia" w:cs="Times New Roman"/>
        </w:rPr>
        <w:t>111.08</w:t>
      </w:r>
      <w:r>
        <w:rPr>
          <w:rFonts w:cs="Times New Roman"/>
        </w:rPr>
        <w:t>公顷，占建设用地的</w:t>
      </w:r>
      <w:r>
        <w:rPr>
          <w:rFonts w:hint="eastAsia" w:cs="Times New Roman"/>
        </w:rPr>
        <w:t>58.26</w:t>
      </w:r>
      <w:r>
        <w:rPr>
          <w:rFonts w:cs="Times New Roman"/>
        </w:rPr>
        <w:t>%。</w:t>
      </w:r>
      <w:bookmarkEnd w:id="131"/>
    </w:p>
    <w:p w14:paraId="6A372B4C">
      <w:pPr>
        <w:ind w:firstLine="640"/>
        <w:rPr>
          <w:rFonts w:cs="Times New Roman"/>
        </w:rPr>
      </w:pPr>
      <w:r>
        <w:rPr>
          <w:rFonts w:cs="Times New Roman"/>
        </w:rPr>
        <w:t>2.公共管理与公共服务用地。</w:t>
      </w:r>
      <w:bookmarkStart w:id="132" w:name="_Hlk131087620"/>
      <w:r>
        <w:rPr>
          <w:rFonts w:cs="Times New Roman"/>
        </w:rPr>
        <w:t>存量与增量供给相结合，增加公共管理与公共服务用地，提升公共服务品质。规划至2035年，公共管理与公共服务用地</w:t>
      </w:r>
      <w:r>
        <w:rPr>
          <w:rFonts w:hint="eastAsia" w:cs="Times New Roman"/>
        </w:rPr>
        <w:t>11.57</w:t>
      </w:r>
      <w:r>
        <w:rPr>
          <w:rFonts w:cs="Times New Roman"/>
        </w:rPr>
        <w:t>公顷，占建设用地的</w:t>
      </w:r>
      <w:r>
        <w:rPr>
          <w:rFonts w:hint="eastAsia" w:cs="Times New Roman"/>
        </w:rPr>
        <w:t>6.07</w:t>
      </w:r>
      <w:r>
        <w:rPr>
          <w:rFonts w:cs="Times New Roman"/>
        </w:rPr>
        <w:t>%。</w:t>
      </w:r>
      <w:bookmarkEnd w:id="132"/>
    </w:p>
    <w:p w14:paraId="6184FF37">
      <w:pPr>
        <w:ind w:firstLine="640"/>
        <w:rPr>
          <w:rFonts w:cs="Times New Roman"/>
        </w:rPr>
      </w:pPr>
      <w:r>
        <w:rPr>
          <w:rFonts w:cs="Times New Roman"/>
        </w:rPr>
        <w:t>3.商业服务业用地。增加商业服务业设施用地，吸引人口集聚。规划至2035年，商业服务业用地规模</w:t>
      </w:r>
      <w:r>
        <w:rPr>
          <w:rFonts w:hint="eastAsia" w:cs="Times New Roman"/>
        </w:rPr>
        <w:t>5.90</w:t>
      </w:r>
      <w:r>
        <w:rPr>
          <w:rFonts w:cs="Times New Roman"/>
        </w:rPr>
        <w:t>公顷，占建设用地的</w:t>
      </w:r>
      <w:r>
        <w:rPr>
          <w:rFonts w:hint="eastAsia" w:cs="Times New Roman"/>
        </w:rPr>
        <w:t>3.09</w:t>
      </w:r>
      <w:r>
        <w:rPr>
          <w:rFonts w:cs="Times New Roman"/>
        </w:rPr>
        <w:t>%。</w:t>
      </w:r>
    </w:p>
    <w:p w14:paraId="463FBD71">
      <w:pPr>
        <w:ind w:firstLine="640"/>
        <w:rPr>
          <w:rFonts w:cs="Times New Roman"/>
        </w:rPr>
      </w:pPr>
      <w:r>
        <w:rPr>
          <w:rFonts w:cs="Times New Roman"/>
        </w:rPr>
        <w:t>4.工矿用地。</w:t>
      </w:r>
      <w:bookmarkStart w:id="133" w:name="_Hlk131087713"/>
      <w:r>
        <w:rPr>
          <w:rFonts w:cs="Times New Roman"/>
        </w:rPr>
        <w:t>引导新增工矿用地向产业园区集中布局，促进工矿用地集约高效发展，提高工矿用地效率。大力推进园区建设，逐步腾退和改造与功能不符的工矿用地，特别是零星、低效的工矿用地。规划至2035年，工矿用地</w:t>
      </w:r>
      <w:r>
        <w:rPr>
          <w:rFonts w:hint="eastAsia" w:cs="Times New Roman"/>
        </w:rPr>
        <w:t>33.30</w:t>
      </w:r>
      <w:r>
        <w:rPr>
          <w:rFonts w:cs="Times New Roman"/>
        </w:rPr>
        <w:t>公顷，占建设用地的</w:t>
      </w:r>
      <w:r>
        <w:rPr>
          <w:rFonts w:hint="eastAsia" w:cs="Times New Roman"/>
        </w:rPr>
        <w:t>17.47%</w:t>
      </w:r>
      <w:r>
        <w:rPr>
          <w:rFonts w:cs="Times New Roman"/>
        </w:rPr>
        <w:t>。</w:t>
      </w:r>
      <w:bookmarkEnd w:id="133"/>
    </w:p>
    <w:p w14:paraId="16537770">
      <w:pPr>
        <w:ind w:firstLine="640"/>
        <w:rPr>
          <w:rFonts w:cs="Times New Roman"/>
        </w:rPr>
      </w:pPr>
      <w:r>
        <w:rPr>
          <w:rFonts w:cs="Times New Roman"/>
        </w:rPr>
        <w:t>5.交通运输用地。规划至2035年，交通运输用地</w:t>
      </w:r>
      <w:r>
        <w:rPr>
          <w:rFonts w:hint="eastAsia" w:cs="Times New Roman"/>
        </w:rPr>
        <w:t>19.12</w:t>
      </w:r>
      <w:r>
        <w:rPr>
          <w:rFonts w:cs="Times New Roman"/>
        </w:rPr>
        <w:t>公顷，占建设用地的</w:t>
      </w:r>
      <w:r>
        <w:rPr>
          <w:rFonts w:hint="eastAsia" w:cs="Times New Roman"/>
        </w:rPr>
        <w:t>10.03%</w:t>
      </w:r>
      <w:r>
        <w:rPr>
          <w:rFonts w:cs="Times New Roman"/>
        </w:rPr>
        <w:t>。</w:t>
      </w:r>
    </w:p>
    <w:p w14:paraId="1B19BFEF">
      <w:pPr>
        <w:ind w:firstLine="640"/>
        <w:rPr>
          <w:rFonts w:cs="Times New Roman"/>
        </w:rPr>
      </w:pPr>
      <w:r>
        <w:rPr>
          <w:rFonts w:cs="Times New Roman"/>
        </w:rPr>
        <w:t>7.公用设施用地。规划至2035年，公用设施用地</w:t>
      </w:r>
      <w:r>
        <w:rPr>
          <w:rFonts w:hint="eastAsia" w:cs="Times New Roman"/>
        </w:rPr>
        <w:t>6.63</w:t>
      </w:r>
      <w:r>
        <w:rPr>
          <w:rFonts w:cs="Times New Roman"/>
        </w:rPr>
        <w:t>公顷，占建设用地的</w:t>
      </w:r>
      <w:r>
        <w:rPr>
          <w:rFonts w:hint="eastAsia" w:cs="Times New Roman"/>
        </w:rPr>
        <w:t>3.48%</w:t>
      </w:r>
      <w:r>
        <w:rPr>
          <w:rFonts w:cs="Times New Roman"/>
        </w:rPr>
        <w:t>。</w:t>
      </w:r>
    </w:p>
    <w:p w14:paraId="45E4E8CC">
      <w:pPr>
        <w:ind w:firstLine="640"/>
        <w:rPr>
          <w:rFonts w:cs="Times New Roman"/>
        </w:rPr>
      </w:pPr>
      <w:r>
        <w:rPr>
          <w:rFonts w:cs="Times New Roman"/>
        </w:rPr>
        <w:t>8.绿地与开敞空间用地。增加绿地和开敞空间用地，增补社区级公园，建设绿地和公园体系。规划至2035年，绿地与开敞空间用地</w:t>
      </w:r>
      <w:r>
        <w:rPr>
          <w:rFonts w:hint="eastAsia" w:cs="Times New Roman"/>
        </w:rPr>
        <w:t>2.15</w:t>
      </w:r>
      <w:r>
        <w:rPr>
          <w:rFonts w:cs="Times New Roman"/>
        </w:rPr>
        <w:t>公顷，占建设用地的</w:t>
      </w:r>
      <w:r>
        <w:rPr>
          <w:rFonts w:hint="eastAsia" w:cs="Times New Roman"/>
        </w:rPr>
        <w:t>1.13%</w:t>
      </w:r>
      <w:r>
        <w:rPr>
          <w:rFonts w:cs="Times New Roman"/>
        </w:rPr>
        <w:t>。</w:t>
      </w:r>
    </w:p>
    <w:p w14:paraId="79C3C40E">
      <w:pPr>
        <w:ind w:firstLine="640"/>
        <w:rPr>
          <w:rFonts w:cs="Times New Roman"/>
        </w:rPr>
      </w:pPr>
      <w:r>
        <w:rPr>
          <w:rFonts w:hint="eastAsia" w:cs="Times New Roman"/>
        </w:rPr>
        <w:t>9.特殊用地。</w:t>
      </w:r>
      <w:r>
        <w:rPr>
          <w:rFonts w:cs="Times New Roman"/>
        </w:rPr>
        <w:t>规划至2035年，</w:t>
      </w:r>
      <w:r>
        <w:rPr>
          <w:rFonts w:hint="eastAsia" w:cs="Times New Roman"/>
        </w:rPr>
        <w:t>特殊</w:t>
      </w:r>
      <w:r>
        <w:rPr>
          <w:rFonts w:cs="Times New Roman"/>
        </w:rPr>
        <w:t>用地0.</w:t>
      </w:r>
      <w:r>
        <w:rPr>
          <w:rFonts w:hint="eastAsia" w:cs="Times New Roman"/>
        </w:rPr>
        <w:t>83</w:t>
      </w:r>
      <w:r>
        <w:rPr>
          <w:rFonts w:cs="Times New Roman"/>
        </w:rPr>
        <w:t>公顷，占建设用地的0.</w:t>
      </w:r>
      <w:r>
        <w:rPr>
          <w:rFonts w:hint="eastAsia" w:cs="Times New Roman"/>
        </w:rPr>
        <w:t>44</w:t>
      </w:r>
      <w:r>
        <w:rPr>
          <w:rFonts w:cs="Times New Roman"/>
        </w:rPr>
        <w:t>%。</w:t>
      </w:r>
    </w:p>
    <w:p w14:paraId="0AC72C3D">
      <w:pPr>
        <w:ind w:firstLine="640"/>
        <w:rPr>
          <w:rFonts w:cs="Times New Roman"/>
          <w:color w:val="C00000"/>
        </w:rPr>
      </w:pPr>
      <w:r>
        <w:rPr>
          <w:rFonts w:hint="eastAsia" w:cs="Times New Roman"/>
        </w:rPr>
        <w:t>10.物流仓储用地。</w:t>
      </w:r>
      <w:r>
        <w:rPr>
          <w:rFonts w:cs="Times New Roman"/>
        </w:rPr>
        <w:t>规划至2035年，</w:t>
      </w:r>
      <w:r>
        <w:rPr>
          <w:rFonts w:hint="eastAsia" w:cs="Times New Roman"/>
        </w:rPr>
        <w:t>物流仓储</w:t>
      </w:r>
      <w:r>
        <w:rPr>
          <w:rFonts w:cs="Times New Roman"/>
        </w:rPr>
        <w:t>用地0.</w:t>
      </w:r>
      <w:r>
        <w:rPr>
          <w:rFonts w:hint="eastAsia" w:cs="Times New Roman"/>
        </w:rPr>
        <w:t>0</w:t>
      </w:r>
      <w:r>
        <w:rPr>
          <w:rFonts w:cs="Times New Roman"/>
        </w:rPr>
        <w:t>6公顷，占建设用地的</w:t>
      </w:r>
      <w:r>
        <w:rPr>
          <w:rFonts w:hint="eastAsia" w:cs="Times New Roman"/>
        </w:rPr>
        <w:t>0.03%</w:t>
      </w:r>
      <w:r>
        <w:rPr>
          <w:rFonts w:cs="Times New Roman"/>
        </w:rPr>
        <w:t>。</w:t>
      </w:r>
    </w:p>
    <w:bookmarkEnd w:id="129"/>
    <w:bookmarkEnd w:id="130"/>
    <w:p w14:paraId="15F8D2D1">
      <w:pPr>
        <w:pStyle w:val="4"/>
        <w:numPr>
          <w:ilvl w:val="0"/>
          <w:numId w:val="1"/>
        </w:numPr>
        <w:ind w:left="860" w:firstLine="361" w:firstLineChars="113"/>
      </w:pPr>
      <w:r>
        <w:t>用地兼容性控制</w:t>
      </w:r>
    </w:p>
    <w:p w14:paraId="05BC4750">
      <w:pPr>
        <w:widowControl/>
        <w:adjustRightInd w:val="0"/>
        <w:snapToGrid w:val="0"/>
        <w:ind w:firstLine="640"/>
        <w:rPr>
          <w:rFonts w:cs="Times New Roman"/>
        </w:rPr>
      </w:pPr>
      <w:bookmarkStart w:id="134" w:name="_Hlk131090097"/>
      <w:r>
        <w:rPr>
          <w:rFonts w:cs="Times New Roman"/>
        </w:rPr>
        <w:t>为提升镇区活力、增加用地性质的弹性，适应市场建设的需求，同时保障公益性设施的建设，对具有较好建设相容性的用地性质提供混合的可能。鼓励功能不冲突、环境要求相似且彼此间没有互相不利影响的用地混合设置。</w:t>
      </w:r>
    </w:p>
    <w:p w14:paraId="2308820F">
      <w:pPr>
        <w:widowControl/>
        <w:adjustRightInd w:val="0"/>
        <w:snapToGrid w:val="0"/>
        <w:ind w:firstLine="640"/>
        <w:rPr>
          <w:rFonts w:cs="Times New Roman"/>
        </w:rPr>
      </w:pPr>
    </w:p>
    <w:p w14:paraId="1872438E">
      <w:pPr>
        <w:widowControl/>
        <w:adjustRightInd w:val="0"/>
        <w:snapToGrid w:val="0"/>
        <w:ind w:firstLine="640"/>
        <w:rPr>
          <w:rFonts w:cs="Times New Roman"/>
        </w:rPr>
      </w:pPr>
    </w:p>
    <w:tbl>
      <w:tblPr>
        <w:tblStyle w:val="17"/>
        <w:tblW w:w="8318" w:type="dxa"/>
        <w:tblInd w:w="93" w:type="dxa"/>
        <w:tblLayout w:type="autofit"/>
        <w:tblCellMar>
          <w:top w:w="0" w:type="dxa"/>
          <w:left w:w="108" w:type="dxa"/>
          <w:bottom w:w="0" w:type="dxa"/>
          <w:right w:w="108" w:type="dxa"/>
        </w:tblCellMar>
      </w:tblPr>
      <w:tblGrid>
        <w:gridCol w:w="748"/>
        <w:gridCol w:w="2835"/>
        <w:gridCol w:w="1276"/>
        <w:gridCol w:w="1134"/>
        <w:gridCol w:w="1134"/>
        <w:gridCol w:w="1191"/>
      </w:tblGrid>
      <w:tr w14:paraId="650CF00C">
        <w:tblPrEx>
          <w:tblCellMar>
            <w:top w:w="0" w:type="dxa"/>
            <w:left w:w="108" w:type="dxa"/>
            <w:bottom w:w="0" w:type="dxa"/>
            <w:right w:w="108" w:type="dxa"/>
          </w:tblCellMar>
        </w:tblPrEx>
        <w:trPr>
          <w:trHeight w:val="20" w:hRule="atLeast"/>
        </w:trPr>
        <w:tc>
          <w:tcPr>
            <w:tcW w:w="748" w:type="dxa"/>
            <w:vMerge w:val="restart"/>
            <w:tcBorders>
              <w:top w:val="single" w:color="000000" w:sz="8" w:space="0"/>
              <w:left w:val="single" w:color="000000" w:sz="8" w:space="0"/>
              <w:bottom w:val="single" w:color="000000" w:sz="8" w:space="0"/>
              <w:right w:val="single" w:color="000000" w:sz="8" w:space="0"/>
            </w:tcBorders>
            <w:vAlign w:val="center"/>
          </w:tcPr>
          <w:p w14:paraId="72966AB6">
            <w:pPr>
              <w:spacing w:line="240" w:lineRule="auto"/>
              <w:ind w:firstLine="0" w:firstLineChars="0"/>
              <w:jc w:val="center"/>
              <w:rPr>
                <w:rFonts w:cs="Times New Roman"/>
                <w:color w:val="000000"/>
                <w:sz w:val="20"/>
                <w:szCs w:val="20"/>
              </w:rPr>
            </w:pPr>
            <w:r>
              <w:rPr>
                <w:rFonts w:cs="Times New Roman"/>
                <w:color w:val="000000"/>
                <w:sz w:val="20"/>
                <w:szCs w:val="20"/>
              </w:rPr>
              <w:t>序号</w:t>
            </w:r>
          </w:p>
        </w:tc>
        <w:tc>
          <w:tcPr>
            <w:tcW w:w="2835" w:type="dxa"/>
            <w:vMerge w:val="restart"/>
            <w:tcBorders>
              <w:top w:val="single" w:color="000000" w:sz="8" w:space="0"/>
              <w:left w:val="single" w:color="000000" w:sz="8" w:space="0"/>
              <w:bottom w:val="single" w:color="000000" w:sz="8" w:space="0"/>
              <w:right w:val="single" w:color="000000" w:sz="8" w:space="0"/>
            </w:tcBorders>
            <w:vAlign w:val="center"/>
          </w:tcPr>
          <w:p w14:paraId="0F88B6F0">
            <w:pPr>
              <w:spacing w:line="240" w:lineRule="auto"/>
              <w:ind w:firstLine="0" w:firstLineChars="0"/>
              <w:jc w:val="center"/>
              <w:rPr>
                <w:rFonts w:cs="Times New Roman"/>
                <w:color w:val="000000"/>
                <w:sz w:val="20"/>
                <w:szCs w:val="20"/>
              </w:rPr>
            </w:pPr>
            <w:r>
              <w:rPr>
                <w:rFonts w:cs="Times New Roman"/>
                <w:color w:val="000000"/>
                <w:sz w:val="20"/>
                <w:szCs w:val="20"/>
              </w:rPr>
              <w:t>用地类型</w:t>
            </w:r>
          </w:p>
        </w:tc>
        <w:tc>
          <w:tcPr>
            <w:tcW w:w="2410" w:type="dxa"/>
            <w:gridSpan w:val="2"/>
            <w:tcBorders>
              <w:top w:val="single" w:color="000000" w:sz="8" w:space="0"/>
              <w:left w:val="single" w:color="000000" w:sz="8" w:space="0"/>
              <w:bottom w:val="single" w:color="000000" w:sz="8" w:space="0"/>
              <w:right w:val="single" w:color="000000" w:sz="8" w:space="0"/>
            </w:tcBorders>
            <w:vAlign w:val="center"/>
          </w:tcPr>
          <w:p w14:paraId="0ADEE18B">
            <w:pPr>
              <w:spacing w:line="240" w:lineRule="auto"/>
              <w:ind w:firstLine="0" w:firstLineChars="0"/>
              <w:jc w:val="center"/>
              <w:rPr>
                <w:rFonts w:cs="Times New Roman"/>
                <w:color w:val="000000"/>
                <w:sz w:val="20"/>
                <w:szCs w:val="20"/>
              </w:rPr>
            </w:pPr>
            <w:r>
              <w:rPr>
                <w:rFonts w:cs="Times New Roman"/>
                <w:color w:val="000000"/>
                <w:sz w:val="20"/>
                <w:szCs w:val="20"/>
              </w:rPr>
              <w:t>规划基期年</w:t>
            </w:r>
          </w:p>
        </w:tc>
        <w:tc>
          <w:tcPr>
            <w:tcW w:w="2325" w:type="dxa"/>
            <w:gridSpan w:val="2"/>
            <w:tcBorders>
              <w:top w:val="single" w:color="000000" w:sz="8" w:space="0"/>
              <w:left w:val="single" w:color="000000" w:sz="8" w:space="0"/>
              <w:bottom w:val="single" w:color="000000" w:sz="8" w:space="0"/>
              <w:right w:val="single" w:color="000000" w:sz="8" w:space="0"/>
            </w:tcBorders>
            <w:vAlign w:val="center"/>
          </w:tcPr>
          <w:p w14:paraId="237F487F">
            <w:pPr>
              <w:spacing w:line="240" w:lineRule="auto"/>
              <w:ind w:firstLine="0" w:firstLineChars="0"/>
              <w:jc w:val="center"/>
              <w:rPr>
                <w:rFonts w:cs="Times New Roman"/>
                <w:color w:val="000000"/>
                <w:sz w:val="20"/>
                <w:szCs w:val="20"/>
              </w:rPr>
            </w:pPr>
            <w:r>
              <w:rPr>
                <w:rFonts w:cs="Times New Roman"/>
                <w:color w:val="000000"/>
                <w:sz w:val="20"/>
                <w:szCs w:val="20"/>
              </w:rPr>
              <w:t>规划目标年</w:t>
            </w:r>
          </w:p>
        </w:tc>
      </w:tr>
      <w:tr w14:paraId="2C2CD769">
        <w:tblPrEx>
          <w:tblCellMar>
            <w:top w:w="0" w:type="dxa"/>
            <w:left w:w="108" w:type="dxa"/>
            <w:bottom w:w="0" w:type="dxa"/>
            <w:right w:w="108" w:type="dxa"/>
          </w:tblCellMar>
        </w:tblPrEx>
        <w:trPr>
          <w:trHeight w:val="20" w:hRule="atLeast"/>
        </w:trPr>
        <w:tc>
          <w:tcPr>
            <w:tcW w:w="748" w:type="dxa"/>
            <w:vMerge w:val="continue"/>
            <w:tcBorders>
              <w:top w:val="single" w:color="000000" w:sz="8" w:space="0"/>
              <w:left w:val="single" w:color="000000" w:sz="8" w:space="0"/>
              <w:bottom w:val="single" w:color="000000" w:sz="8" w:space="0"/>
              <w:right w:val="single" w:color="000000" w:sz="8" w:space="0"/>
            </w:tcBorders>
            <w:vAlign w:val="center"/>
          </w:tcPr>
          <w:p w14:paraId="3C61FA3D">
            <w:pPr>
              <w:spacing w:line="240" w:lineRule="auto"/>
              <w:ind w:firstLine="0" w:firstLineChars="0"/>
              <w:jc w:val="center"/>
              <w:rPr>
                <w:rFonts w:cs="Times New Roman"/>
                <w:color w:val="000000"/>
                <w:sz w:val="20"/>
                <w:szCs w:val="20"/>
              </w:rPr>
            </w:pPr>
          </w:p>
        </w:tc>
        <w:tc>
          <w:tcPr>
            <w:tcW w:w="2835" w:type="dxa"/>
            <w:vMerge w:val="continue"/>
            <w:tcBorders>
              <w:top w:val="single" w:color="000000" w:sz="8" w:space="0"/>
              <w:left w:val="single" w:color="000000" w:sz="8" w:space="0"/>
              <w:bottom w:val="single" w:color="000000" w:sz="8" w:space="0"/>
              <w:right w:val="single" w:color="000000" w:sz="8" w:space="0"/>
            </w:tcBorders>
            <w:vAlign w:val="center"/>
          </w:tcPr>
          <w:p w14:paraId="15C9D5FF">
            <w:pPr>
              <w:spacing w:line="240" w:lineRule="auto"/>
              <w:ind w:firstLine="0" w:firstLineChars="0"/>
              <w:jc w:val="center"/>
              <w:rPr>
                <w:rFonts w:cs="Times New Roman"/>
                <w:color w:val="000000"/>
                <w:sz w:val="20"/>
                <w:szCs w:val="20"/>
              </w:rPr>
            </w:pPr>
          </w:p>
        </w:tc>
        <w:tc>
          <w:tcPr>
            <w:tcW w:w="1276" w:type="dxa"/>
            <w:tcBorders>
              <w:top w:val="nil"/>
              <w:left w:val="single" w:color="000000" w:sz="8" w:space="0"/>
              <w:bottom w:val="single" w:color="000000" w:sz="8" w:space="0"/>
              <w:right w:val="single" w:color="000000" w:sz="8" w:space="0"/>
            </w:tcBorders>
            <w:vAlign w:val="center"/>
          </w:tcPr>
          <w:p w14:paraId="7B235753">
            <w:pPr>
              <w:spacing w:line="240" w:lineRule="auto"/>
              <w:ind w:firstLine="0" w:firstLineChars="0"/>
              <w:jc w:val="center"/>
              <w:rPr>
                <w:rFonts w:cs="Times New Roman"/>
                <w:color w:val="000000"/>
                <w:sz w:val="20"/>
                <w:szCs w:val="20"/>
              </w:rPr>
            </w:pPr>
            <w:r>
              <w:rPr>
                <w:rFonts w:cs="Times New Roman"/>
                <w:color w:val="000000"/>
                <w:sz w:val="20"/>
                <w:szCs w:val="20"/>
              </w:rPr>
              <w:t>面积</w:t>
            </w:r>
          </w:p>
        </w:tc>
        <w:tc>
          <w:tcPr>
            <w:tcW w:w="1134" w:type="dxa"/>
            <w:tcBorders>
              <w:top w:val="nil"/>
              <w:left w:val="single" w:color="000000" w:sz="8" w:space="0"/>
              <w:bottom w:val="single" w:color="000000" w:sz="8" w:space="0"/>
              <w:right w:val="single" w:color="000000" w:sz="8" w:space="0"/>
            </w:tcBorders>
            <w:vAlign w:val="center"/>
          </w:tcPr>
          <w:p w14:paraId="15D9F421">
            <w:pPr>
              <w:spacing w:line="240" w:lineRule="auto"/>
              <w:ind w:firstLine="0" w:firstLineChars="0"/>
              <w:jc w:val="center"/>
              <w:rPr>
                <w:rFonts w:cs="Times New Roman"/>
                <w:color w:val="000000"/>
                <w:sz w:val="20"/>
                <w:szCs w:val="20"/>
              </w:rPr>
            </w:pPr>
            <w:r>
              <w:rPr>
                <w:rFonts w:cs="Times New Roman"/>
                <w:color w:val="000000"/>
                <w:sz w:val="20"/>
                <w:szCs w:val="20"/>
              </w:rPr>
              <w:t>比例</w:t>
            </w:r>
          </w:p>
        </w:tc>
        <w:tc>
          <w:tcPr>
            <w:tcW w:w="1134" w:type="dxa"/>
            <w:tcBorders>
              <w:top w:val="single" w:color="000000" w:sz="8" w:space="0"/>
              <w:left w:val="single" w:color="000000" w:sz="8" w:space="0"/>
              <w:bottom w:val="single" w:color="000000" w:sz="8" w:space="0"/>
              <w:right w:val="single" w:color="000000" w:sz="8" w:space="0"/>
            </w:tcBorders>
            <w:vAlign w:val="center"/>
          </w:tcPr>
          <w:p w14:paraId="65775BE5">
            <w:pPr>
              <w:spacing w:line="240" w:lineRule="auto"/>
              <w:ind w:firstLine="0" w:firstLineChars="0"/>
              <w:jc w:val="center"/>
              <w:rPr>
                <w:rFonts w:cs="Times New Roman"/>
                <w:color w:val="000000"/>
                <w:sz w:val="20"/>
                <w:szCs w:val="20"/>
              </w:rPr>
            </w:pPr>
            <w:r>
              <w:rPr>
                <w:rFonts w:cs="Times New Roman"/>
                <w:color w:val="000000"/>
                <w:sz w:val="20"/>
                <w:szCs w:val="20"/>
              </w:rPr>
              <w:t>面积</w:t>
            </w:r>
          </w:p>
        </w:tc>
        <w:tc>
          <w:tcPr>
            <w:tcW w:w="1191" w:type="dxa"/>
            <w:tcBorders>
              <w:top w:val="single" w:color="000000" w:sz="8" w:space="0"/>
              <w:left w:val="single" w:color="000000" w:sz="8" w:space="0"/>
              <w:bottom w:val="single" w:color="000000" w:sz="8" w:space="0"/>
              <w:right w:val="single" w:color="000000" w:sz="8" w:space="0"/>
            </w:tcBorders>
            <w:vAlign w:val="center"/>
          </w:tcPr>
          <w:p w14:paraId="2F0D4C17">
            <w:pPr>
              <w:spacing w:line="240" w:lineRule="auto"/>
              <w:ind w:firstLine="0" w:firstLineChars="0"/>
              <w:jc w:val="center"/>
              <w:rPr>
                <w:rFonts w:cs="Times New Roman"/>
                <w:color w:val="000000"/>
                <w:sz w:val="20"/>
                <w:szCs w:val="20"/>
              </w:rPr>
            </w:pPr>
            <w:r>
              <w:rPr>
                <w:rFonts w:cs="Times New Roman"/>
                <w:color w:val="000000"/>
                <w:sz w:val="20"/>
                <w:szCs w:val="20"/>
              </w:rPr>
              <w:t>比例</w:t>
            </w:r>
          </w:p>
        </w:tc>
      </w:tr>
      <w:tr w14:paraId="428F58BB">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4F50B4CE">
            <w:pPr>
              <w:spacing w:line="240" w:lineRule="auto"/>
              <w:ind w:firstLine="0" w:firstLineChars="0"/>
              <w:jc w:val="center"/>
              <w:rPr>
                <w:rFonts w:cs="Times New Roman"/>
                <w:color w:val="000000"/>
                <w:sz w:val="20"/>
                <w:szCs w:val="20"/>
              </w:rPr>
            </w:pPr>
            <w:r>
              <w:rPr>
                <w:rFonts w:cs="Times New Roman"/>
                <w:color w:val="000000"/>
                <w:sz w:val="20"/>
                <w:szCs w:val="20"/>
              </w:rPr>
              <w:t>1</w:t>
            </w:r>
          </w:p>
        </w:tc>
        <w:tc>
          <w:tcPr>
            <w:tcW w:w="2835" w:type="dxa"/>
            <w:tcBorders>
              <w:top w:val="nil"/>
              <w:left w:val="single" w:color="000000" w:sz="8" w:space="0"/>
              <w:bottom w:val="single" w:color="000000" w:sz="8" w:space="0"/>
              <w:right w:val="single" w:color="000000" w:sz="8" w:space="0"/>
            </w:tcBorders>
            <w:vAlign w:val="center"/>
          </w:tcPr>
          <w:p w14:paraId="66351E9F">
            <w:pPr>
              <w:spacing w:line="240" w:lineRule="auto"/>
              <w:ind w:firstLine="0" w:firstLineChars="0"/>
              <w:jc w:val="center"/>
              <w:rPr>
                <w:rFonts w:cs="Times New Roman"/>
                <w:color w:val="000000"/>
                <w:sz w:val="20"/>
                <w:szCs w:val="20"/>
              </w:rPr>
            </w:pPr>
            <w:r>
              <w:rPr>
                <w:rFonts w:cs="Times New Roman"/>
                <w:color w:val="000000"/>
                <w:sz w:val="20"/>
                <w:szCs w:val="20"/>
              </w:rPr>
              <w:t>居住用地</w:t>
            </w:r>
          </w:p>
        </w:tc>
        <w:tc>
          <w:tcPr>
            <w:tcW w:w="1276" w:type="dxa"/>
            <w:tcBorders>
              <w:top w:val="nil"/>
              <w:left w:val="single" w:color="000000" w:sz="8" w:space="0"/>
              <w:bottom w:val="single" w:color="000000" w:sz="8" w:space="0"/>
              <w:right w:val="single" w:color="000000" w:sz="8" w:space="0"/>
            </w:tcBorders>
            <w:vAlign w:val="center"/>
          </w:tcPr>
          <w:p w14:paraId="1EE4A729">
            <w:pPr>
              <w:spacing w:line="240" w:lineRule="auto"/>
              <w:ind w:firstLine="0" w:firstLineChars="0"/>
              <w:jc w:val="center"/>
              <w:rPr>
                <w:rFonts w:cs="Times New Roman"/>
                <w:color w:val="000000"/>
                <w:sz w:val="20"/>
                <w:szCs w:val="20"/>
              </w:rPr>
            </w:pPr>
            <w:r>
              <w:rPr>
                <w:rFonts w:hint="eastAsia" w:cs="Times New Roman"/>
                <w:color w:val="000000"/>
                <w:sz w:val="20"/>
                <w:szCs w:val="20"/>
              </w:rPr>
              <w:t>82.03</w:t>
            </w:r>
          </w:p>
        </w:tc>
        <w:tc>
          <w:tcPr>
            <w:tcW w:w="1134" w:type="dxa"/>
            <w:tcBorders>
              <w:top w:val="nil"/>
              <w:left w:val="single" w:color="000000" w:sz="8" w:space="0"/>
              <w:bottom w:val="single" w:color="000000" w:sz="8" w:space="0"/>
              <w:right w:val="single" w:color="000000" w:sz="8" w:space="0"/>
            </w:tcBorders>
            <w:vAlign w:val="center"/>
          </w:tcPr>
          <w:p w14:paraId="44ED8ADD">
            <w:pPr>
              <w:spacing w:line="240" w:lineRule="auto"/>
              <w:ind w:firstLine="0" w:firstLineChars="0"/>
              <w:jc w:val="center"/>
              <w:rPr>
                <w:rFonts w:cs="Times New Roman"/>
                <w:color w:val="000000"/>
                <w:sz w:val="20"/>
                <w:szCs w:val="20"/>
              </w:rPr>
            </w:pPr>
            <w:r>
              <w:rPr>
                <w:rFonts w:hint="eastAsia" w:cs="Times New Roman"/>
                <w:color w:val="000000"/>
                <w:sz w:val="20"/>
                <w:szCs w:val="20"/>
              </w:rPr>
              <w:t>73.81%</w:t>
            </w:r>
          </w:p>
        </w:tc>
        <w:tc>
          <w:tcPr>
            <w:tcW w:w="1134" w:type="dxa"/>
            <w:tcBorders>
              <w:top w:val="nil"/>
              <w:left w:val="single" w:color="000000" w:sz="8" w:space="0"/>
              <w:bottom w:val="single" w:color="000000" w:sz="8" w:space="0"/>
              <w:right w:val="single" w:color="000000" w:sz="8" w:space="0"/>
            </w:tcBorders>
            <w:vAlign w:val="center"/>
          </w:tcPr>
          <w:p w14:paraId="67F51840">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111.08 </w:t>
            </w:r>
          </w:p>
        </w:tc>
        <w:tc>
          <w:tcPr>
            <w:tcW w:w="1191" w:type="dxa"/>
            <w:tcBorders>
              <w:top w:val="nil"/>
              <w:left w:val="single" w:color="000000" w:sz="8" w:space="0"/>
              <w:bottom w:val="single" w:color="000000" w:sz="8" w:space="0"/>
              <w:right w:val="single" w:color="000000" w:sz="8" w:space="0"/>
            </w:tcBorders>
            <w:vAlign w:val="bottom"/>
          </w:tcPr>
          <w:p w14:paraId="40B03288">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58.26%</w:t>
            </w:r>
          </w:p>
        </w:tc>
      </w:tr>
      <w:tr w14:paraId="4F381E6A">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104BE929">
            <w:pPr>
              <w:spacing w:line="240" w:lineRule="auto"/>
              <w:ind w:firstLine="0" w:firstLineChars="0"/>
              <w:jc w:val="center"/>
              <w:rPr>
                <w:rFonts w:cs="Times New Roman"/>
                <w:color w:val="000000"/>
                <w:sz w:val="20"/>
                <w:szCs w:val="20"/>
              </w:rPr>
            </w:pPr>
            <w:r>
              <w:rPr>
                <w:rFonts w:cs="Times New Roman"/>
                <w:color w:val="000000"/>
                <w:sz w:val="20"/>
                <w:szCs w:val="20"/>
              </w:rPr>
              <w:t>2</w:t>
            </w:r>
          </w:p>
        </w:tc>
        <w:tc>
          <w:tcPr>
            <w:tcW w:w="2835" w:type="dxa"/>
            <w:tcBorders>
              <w:top w:val="nil"/>
              <w:left w:val="single" w:color="000000" w:sz="8" w:space="0"/>
              <w:bottom w:val="single" w:color="000000" w:sz="8" w:space="0"/>
              <w:right w:val="single" w:color="000000" w:sz="8" w:space="0"/>
            </w:tcBorders>
            <w:vAlign w:val="center"/>
          </w:tcPr>
          <w:p w14:paraId="4B3C7A99">
            <w:pPr>
              <w:spacing w:line="240" w:lineRule="auto"/>
              <w:ind w:firstLine="0" w:firstLineChars="0"/>
              <w:jc w:val="center"/>
              <w:rPr>
                <w:rFonts w:cs="Times New Roman"/>
                <w:color w:val="000000"/>
                <w:sz w:val="20"/>
                <w:szCs w:val="20"/>
              </w:rPr>
            </w:pPr>
            <w:r>
              <w:rPr>
                <w:rFonts w:cs="Times New Roman"/>
                <w:color w:val="000000"/>
                <w:sz w:val="20"/>
                <w:szCs w:val="20"/>
              </w:rPr>
              <w:t>公共管理与公共服务用地</w:t>
            </w:r>
          </w:p>
        </w:tc>
        <w:tc>
          <w:tcPr>
            <w:tcW w:w="1276" w:type="dxa"/>
            <w:tcBorders>
              <w:top w:val="nil"/>
              <w:left w:val="single" w:color="000000" w:sz="8" w:space="0"/>
              <w:bottom w:val="single" w:color="000000" w:sz="8" w:space="0"/>
              <w:right w:val="single" w:color="000000" w:sz="8" w:space="0"/>
            </w:tcBorders>
            <w:vAlign w:val="center"/>
          </w:tcPr>
          <w:p w14:paraId="6A381BF7">
            <w:pPr>
              <w:spacing w:line="240" w:lineRule="auto"/>
              <w:ind w:firstLine="0" w:firstLineChars="0"/>
              <w:jc w:val="center"/>
              <w:rPr>
                <w:rFonts w:cs="Times New Roman"/>
                <w:color w:val="000000"/>
                <w:sz w:val="20"/>
                <w:szCs w:val="20"/>
              </w:rPr>
            </w:pPr>
            <w:r>
              <w:rPr>
                <w:rFonts w:hint="eastAsia" w:cs="Times New Roman"/>
                <w:color w:val="000000"/>
                <w:sz w:val="20"/>
                <w:szCs w:val="20"/>
              </w:rPr>
              <w:t>4.72</w:t>
            </w:r>
          </w:p>
        </w:tc>
        <w:tc>
          <w:tcPr>
            <w:tcW w:w="1134" w:type="dxa"/>
            <w:tcBorders>
              <w:top w:val="nil"/>
              <w:left w:val="single" w:color="000000" w:sz="8" w:space="0"/>
              <w:bottom w:val="single" w:color="000000" w:sz="8" w:space="0"/>
              <w:right w:val="single" w:color="000000" w:sz="8" w:space="0"/>
            </w:tcBorders>
            <w:vAlign w:val="center"/>
          </w:tcPr>
          <w:p w14:paraId="0595D183">
            <w:pPr>
              <w:spacing w:line="240" w:lineRule="auto"/>
              <w:ind w:firstLine="0" w:firstLineChars="0"/>
              <w:jc w:val="center"/>
              <w:rPr>
                <w:rFonts w:cs="Times New Roman"/>
                <w:color w:val="000000"/>
                <w:sz w:val="20"/>
                <w:szCs w:val="20"/>
              </w:rPr>
            </w:pPr>
            <w:r>
              <w:rPr>
                <w:rFonts w:hint="eastAsia" w:cs="Times New Roman"/>
                <w:color w:val="000000"/>
                <w:sz w:val="20"/>
                <w:szCs w:val="20"/>
              </w:rPr>
              <w:t>4.25%</w:t>
            </w:r>
          </w:p>
        </w:tc>
        <w:tc>
          <w:tcPr>
            <w:tcW w:w="1134" w:type="dxa"/>
            <w:tcBorders>
              <w:top w:val="nil"/>
              <w:left w:val="single" w:color="000000" w:sz="8" w:space="0"/>
              <w:bottom w:val="single" w:color="000000" w:sz="8" w:space="0"/>
              <w:right w:val="single" w:color="000000" w:sz="8" w:space="0"/>
            </w:tcBorders>
            <w:vAlign w:val="center"/>
          </w:tcPr>
          <w:p w14:paraId="5F934EF4">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11.57 </w:t>
            </w:r>
          </w:p>
        </w:tc>
        <w:tc>
          <w:tcPr>
            <w:tcW w:w="1191" w:type="dxa"/>
            <w:tcBorders>
              <w:top w:val="nil"/>
              <w:left w:val="single" w:color="000000" w:sz="8" w:space="0"/>
              <w:bottom w:val="single" w:color="000000" w:sz="8" w:space="0"/>
              <w:right w:val="single" w:color="000000" w:sz="8" w:space="0"/>
            </w:tcBorders>
            <w:vAlign w:val="bottom"/>
          </w:tcPr>
          <w:p w14:paraId="3148C19B">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6.07%</w:t>
            </w:r>
          </w:p>
        </w:tc>
      </w:tr>
      <w:tr w14:paraId="0C6810C0">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36F3B0CF">
            <w:pPr>
              <w:spacing w:line="240" w:lineRule="auto"/>
              <w:ind w:firstLine="0" w:firstLineChars="0"/>
              <w:jc w:val="center"/>
              <w:rPr>
                <w:rFonts w:cs="Times New Roman"/>
                <w:color w:val="000000"/>
                <w:sz w:val="20"/>
                <w:szCs w:val="20"/>
              </w:rPr>
            </w:pPr>
            <w:r>
              <w:rPr>
                <w:rFonts w:cs="Times New Roman"/>
                <w:color w:val="000000"/>
                <w:sz w:val="20"/>
                <w:szCs w:val="20"/>
              </w:rPr>
              <w:t>3</w:t>
            </w:r>
          </w:p>
        </w:tc>
        <w:tc>
          <w:tcPr>
            <w:tcW w:w="2835" w:type="dxa"/>
            <w:tcBorders>
              <w:top w:val="nil"/>
              <w:left w:val="single" w:color="000000" w:sz="8" w:space="0"/>
              <w:bottom w:val="single" w:color="000000" w:sz="8" w:space="0"/>
              <w:right w:val="single" w:color="000000" w:sz="8" w:space="0"/>
            </w:tcBorders>
            <w:vAlign w:val="center"/>
          </w:tcPr>
          <w:p w14:paraId="3DD2C90B">
            <w:pPr>
              <w:spacing w:line="240" w:lineRule="auto"/>
              <w:ind w:firstLine="0" w:firstLineChars="0"/>
              <w:jc w:val="center"/>
              <w:rPr>
                <w:rFonts w:cs="Times New Roman"/>
                <w:color w:val="000000"/>
                <w:sz w:val="20"/>
                <w:szCs w:val="20"/>
              </w:rPr>
            </w:pPr>
            <w:r>
              <w:rPr>
                <w:rFonts w:cs="Times New Roman"/>
                <w:color w:val="000000"/>
                <w:sz w:val="20"/>
                <w:szCs w:val="20"/>
              </w:rPr>
              <w:t>商业服务业用地</w:t>
            </w:r>
          </w:p>
        </w:tc>
        <w:tc>
          <w:tcPr>
            <w:tcW w:w="1276" w:type="dxa"/>
            <w:tcBorders>
              <w:top w:val="nil"/>
              <w:left w:val="single" w:color="000000" w:sz="8" w:space="0"/>
              <w:bottom w:val="single" w:color="000000" w:sz="8" w:space="0"/>
              <w:right w:val="single" w:color="000000" w:sz="8" w:space="0"/>
            </w:tcBorders>
            <w:vAlign w:val="center"/>
          </w:tcPr>
          <w:p w14:paraId="5A778EA6">
            <w:pPr>
              <w:spacing w:line="240" w:lineRule="auto"/>
              <w:ind w:firstLine="0" w:firstLineChars="0"/>
              <w:jc w:val="center"/>
              <w:rPr>
                <w:rFonts w:cs="Times New Roman"/>
                <w:color w:val="000000"/>
                <w:sz w:val="20"/>
                <w:szCs w:val="20"/>
              </w:rPr>
            </w:pPr>
            <w:r>
              <w:rPr>
                <w:rFonts w:hint="eastAsia" w:cs="Times New Roman"/>
                <w:color w:val="000000"/>
                <w:sz w:val="20"/>
                <w:szCs w:val="20"/>
              </w:rPr>
              <w:t>9.10</w:t>
            </w:r>
          </w:p>
        </w:tc>
        <w:tc>
          <w:tcPr>
            <w:tcW w:w="1134" w:type="dxa"/>
            <w:tcBorders>
              <w:top w:val="nil"/>
              <w:left w:val="single" w:color="000000" w:sz="8" w:space="0"/>
              <w:bottom w:val="single" w:color="000000" w:sz="8" w:space="0"/>
              <w:right w:val="single" w:color="000000" w:sz="8" w:space="0"/>
            </w:tcBorders>
            <w:vAlign w:val="center"/>
          </w:tcPr>
          <w:p w14:paraId="37A86679">
            <w:pPr>
              <w:spacing w:line="240" w:lineRule="auto"/>
              <w:ind w:firstLine="0" w:firstLineChars="0"/>
              <w:jc w:val="center"/>
              <w:rPr>
                <w:rFonts w:cs="Times New Roman"/>
                <w:color w:val="000000"/>
                <w:sz w:val="20"/>
                <w:szCs w:val="20"/>
              </w:rPr>
            </w:pPr>
            <w:r>
              <w:rPr>
                <w:rFonts w:hint="eastAsia" w:cs="Times New Roman"/>
                <w:color w:val="000000"/>
                <w:sz w:val="20"/>
                <w:szCs w:val="20"/>
              </w:rPr>
              <w:t>8.19%</w:t>
            </w:r>
          </w:p>
        </w:tc>
        <w:tc>
          <w:tcPr>
            <w:tcW w:w="1134" w:type="dxa"/>
            <w:tcBorders>
              <w:top w:val="nil"/>
              <w:left w:val="single" w:color="000000" w:sz="8" w:space="0"/>
              <w:bottom w:val="single" w:color="000000" w:sz="8" w:space="0"/>
              <w:right w:val="single" w:color="000000" w:sz="8" w:space="0"/>
            </w:tcBorders>
            <w:vAlign w:val="center"/>
          </w:tcPr>
          <w:p w14:paraId="52700693">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5.90 </w:t>
            </w:r>
          </w:p>
        </w:tc>
        <w:tc>
          <w:tcPr>
            <w:tcW w:w="1191" w:type="dxa"/>
            <w:tcBorders>
              <w:top w:val="nil"/>
              <w:left w:val="single" w:color="000000" w:sz="8" w:space="0"/>
              <w:bottom w:val="single" w:color="000000" w:sz="8" w:space="0"/>
              <w:right w:val="single" w:color="000000" w:sz="8" w:space="0"/>
            </w:tcBorders>
            <w:vAlign w:val="bottom"/>
          </w:tcPr>
          <w:p w14:paraId="2EB90E58">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3.09%</w:t>
            </w:r>
          </w:p>
        </w:tc>
      </w:tr>
      <w:tr w14:paraId="1F7CE4D8">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0F5753DE">
            <w:pPr>
              <w:spacing w:line="240" w:lineRule="auto"/>
              <w:ind w:firstLine="0" w:firstLineChars="0"/>
              <w:jc w:val="center"/>
              <w:rPr>
                <w:rFonts w:cs="Times New Roman"/>
                <w:color w:val="000000"/>
                <w:sz w:val="20"/>
                <w:szCs w:val="20"/>
              </w:rPr>
            </w:pPr>
            <w:r>
              <w:rPr>
                <w:rFonts w:cs="Times New Roman"/>
                <w:color w:val="000000"/>
                <w:sz w:val="20"/>
                <w:szCs w:val="20"/>
              </w:rPr>
              <w:t>4</w:t>
            </w:r>
          </w:p>
        </w:tc>
        <w:tc>
          <w:tcPr>
            <w:tcW w:w="2835" w:type="dxa"/>
            <w:tcBorders>
              <w:top w:val="nil"/>
              <w:left w:val="single" w:color="000000" w:sz="8" w:space="0"/>
              <w:bottom w:val="single" w:color="000000" w:sz="8" w:space="0"/>
              <w:right w:val="single" w:color="000000" w:sz="8" w:space="0"/>
            </w:tcBorders>
            <w:vAlign w:val="center"/>
          </w:tcPr>
          <w:p w14:paraId="24393561">
            <w:pPr>
              <w:spacing w:line="240" w:lineRule="auto"/>
              <w:ind w:firstLine="0" w:firstLineChars="0"/>
              <w:jc w:val="center"/>
              <w:rPr>
                <w:rFonts w:cs="Times New Roman"/>
                <w:color w:val="000000"/>
                <w:sz w:val="20"/>
                <w:szCs w:val="20"/>
              </w:rPr>
            </w:pPr>
            <w:r>
              <w:rPr>
                <w:rFonts w:cs="Times New Roman"/>
                <w:color w:val="000000"/>
                <w:sz w:val="20"/>
                <w:szCs w:val="20"/>
              </w:rPr>
              <w:t>工矿用地</w:t>
            </w:r>
          </w:p>
        </w:tc>
        <w:tc>
          <w:tcPr>
            <w:tcW w:w="1276" w:type="dxa"/>
            <w:tcBorders>
              <w:top w:val="nil"/>
              <w:left w:val="single" w:color="000000" w:sz="8" w:space="0"/>
              <w:bottom w:val="single" w:color="000000" w:sz="8" w:space="0"/>
              <w:right w:val="single" w:color="000000" w:sz="8" w:space="0"/>
            </w:tcBorders>
            <w:vAlign w:val="center"/>
          </w:tcPr>
          <w:p w14:paraId="41C199E3">
            <w:pPr>
              <w:spacing w:line="240" w:lineRule="auto"/>
              <w:ind w:firstLine="0" w:firstLineChars="0"/>
              <w:jc w:val="center"/>
              <w:rPr>
                <w:rFonts w:cs="Times New Roman"/>
                <w:color w:val="000000"/>
                <w:sz w:val="20"/>
                <w:szCs w:val="20"/>
              </w:rPr>
            </w:pPr>
            <w:r>
              <w:rPr>
                <w:rFonts w:hint="eastAsia" w:cs="Times New Roman"/>
                <w:color w:val="000000"/>
                <w:sz w:val="20"/>
                <w:szCs w:val="20"/>
              </w:rPr>
              <w:t>11.83</w:t>
            </w:r>
          </w:p>
        </w:tc>
        <w:tc>
          <w:tcPr>
            <w:tcW w:w="1134" w:type="dxa"/>
            <w:tcBorders>
              <w:top w:val="nil"/>
              <w:left w:val="single" w:color="000000" w:sz="8" w:space="0"/>
              <w:bottom w:val="single" w:color="000000" w:sz="8" w:space="0"/>
              <w:right w:val="single" w:color="000000" w:sz="8" w:space="0"/>
            </w:tcBorders>
            <w:vAlign w:val="center"/>
          </w:tcPr>
          <w:p w14:paraId="3B397687">
            <w:pPr>
              <w:spacing w:line="240" w:lineRule="auto"/>
              <w:ind w:firstLine="0" w:firstLineChars="0"/>
              <w:jc w:val="center"/>
              <w:rPr>
                <w:rFonts w:cs="Times New Roman"/>
                <w:color w:val="000000"/>
                <w:sz w:val="20"/>
                <w:szCs w:val="20"/>
              </w:rPr>
            </w:pPr>
            <w:r>
              <w:rPr>
                <w:rFonts w:hint="eastAsia" w:cs="Times New Roman"/>
                <w:color w:val="000000"/>
                <w:sz w:val="20"/>
                <w:szCs w:val="20"/>
              </w:rPr>
              <w:t>10.65%</w:t>
            </w:r>
          </w:p>
        </w:tc>
        <w:tc>
          <w:tcPr>
            <w:tcW w:w="1134" w:type="dxa"/>
            <w:tcBorders>
              <w:top w:val="nil"/>
              <w:left w:val="single" w:color="000000" w:sz="8" w:space="0"/>
              <w:bottom w:val="single" w:color="000000" w:sz="8" w:space="0"/>
              <w:right w:val="single" w:color="000000" w:sz="8" w:space="0"/>
            </w:tcBorders>
            <w:vAlign w:val="center"/>
          </w:tcPr>
          <w:p w14:paraId="2684E373">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33.30 </w:t>
            </w:r>
          </w:p>
        </w:tc>
        <w:tc>
          <w:tcPr>
            <w:tcW w:w="1191" w:type="dxa"/>
            <w:tcBorders>
              <w:top w:val="nil"/>
              <w:left w:val="single" w:color="000000" w:sz="8" w:space="0"/>
              <w:bottom w:val="single" w:color="000000" w:sz="8" w:space="0"/>
              <w:right w:val="single" w:color="000000" w:sz="8" w:space="0"/>
            </w:tcBorders>
            <w:vAlign w:val="bottom"/>
          </w:tcPr>
          <w:p w14:paraId="5316746A">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17.47%</w:t>
            </w:r>
          </w:p>
        </w:tc>
      </w:tr>
      <w:tr w14:paraId="7D969317">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1564003F">
            <w:pPr>
              <w:spacing w:line="240" w:lineRule="auto"/>
              <w:ind w:firstLine="0" w:firstLineChars="0"/>
              <w:jc w:val="center"/>
              <w:rPr>
                <w:rFonts w:cs="Times New Roman"/>
                <w:color w:val="000000"/>
                <w:sz w:val="20"/>
                <w:szCs w:val="20"/>
              </w:rPr>
            </w:pPr>
            <w:r>
              <w:rPr>
                <w:rFonts w:cs="Times New Roman"/>
                <w:color w:val="000000"/>
                <w:sz w:val="20"/>
                <w:szCs w:val="20"/>
              </w:rPr>
              <w:t>5</w:t>
            </w:r>
          </w:p>
        </w:tc>
        <w:tc>
          <w:tcPr>
            <w:tcW w:w="2835" w:type="dxa"/>
            <w:tcBorders>
              <w:top w:val="nil"/>
              <w:left w:val="single" w:color="000000" w:sz="8" w:space="0"/>
              <w:bottom w:val="single" w:color="000000" w:sz="8" w:space="0"/>
              <w:right w:val="single" w:color="000000" w:sz="8" w:space="0"/>
            </w:tcBorders>
            <w:vAlign w:val="center"/>
          </w:tcPr>
          <w:p w14:paraId="386A3931">
            <w:pPr>
              <w:spacing w:line="240" w:lineRule="auto"/>
              <w:ind w:firstLine="0" w:firstLineChars="0"/>
              <w:jc w:val="center"/>
              <w:rPr>
                <w:rFonts w:cs="Times New Roman"/>
                <w:color w:val="000000"/>
                <w:sz w:val="20"/>
                <w:szCs w:val="20"/>
              </w:rPr>
            </w:pPr>
            <w:r>
              <w:rPr>
                <w:rFonts w:cs="Times New Roman"/>
                <w:color w:val="000000"/>
                <w:sz w:val="20"/>
                <w:szCs w:val="20"/>
              </w:rPr>
              <w:t>交通运输用地</w:t>
            </w:r>
          </w:p>
        </w:tc>
        <w:tc>
          <w:tcPr>
            <w:tcW w:w="1276" w:type="dxa"/>
            <w:tcBorders>
              <w:top w:val="nil"/>
              <w:left w:val="single" w:color="000000" w:sz="8" w:space="0"/>
              <w:bottom w:val="single" w:color="000000" w:sz="8" w:space="0"/>
              <w:right w:val="single" w:color="000000" w:sz="8" w:space="0"/>
            </w:tcBorders>
            <w:vAlign w:val="center"/>
          </w:tcPr>
          <w:p w14:paraId="5E20F181">
            <w:pPr>
              <w:spacing w:line="240" w:lineRule="auto"/>
              <w:ind w:firstLine="0" w:firstLineChars="0"/>
              <w:jc w:val="center"/>
              <w:rPr>
                <w:rFonts w:cs="Times New Roman"/>
                <w:color w:val="000000"/>
                <w:sz w:val="20"/>
                <w:szCs w:val="20"/>
              </w:rPr>
            </w:pPr>
            <w:r>
              <w:rPr>
                <w:rFonts w:hint="eastAsia" w:cs="Times New Roman"/>
                <w:color w:val="000000"/>
                <w:sz w:val="20"/>
                <w:szCs w:val="20"/>
              </w:rPr>
              <w:t>2.66</w:t>
            </w:r>
          </w:p>
        </w:tc>
        <w:tc>
          <w:tcPr>
            <w:tcW w:w="1134" w:type="dxa"/>
            <w:tcBorders>
              <w:top w:val="nil"/>
              <w:left w:val="single" w:color="000000" w:sz="8" w:space="0"/>
              <w:bottom w:val="single" w:color="000000" w:sz="8" w:space="0"/>
              <w:right w:val="single" w:color="000000" w:sz="8" w:space="0"/>
            </w:tcBorders>
            <w:vAlign w:val="center"/>
          </w:tcPr>
          <w:p w14:paraId="30DDC080">
            <w:pPr>
              <w:spacing w:line="240" w:lineRule="auto"/>
              <w:ind w:firstLine="0" w:firstLineChars="0"/>
              <w:jc w:val="center"/>
              <w:rPr>
                <w:rFonts w:cs="Times New Roman"/>
                <w:color w:val="000000"/>
                <w:sz w:val="20"/>
                <w:szCs w:val="20"/>
              </w:rPr>
            </w:pPr>
            <w:r>
              <w:rPr>
                <w:rFonts w:hint="eastAsia" w:cs="Times New Roman"/>
                <w:color w:val="000000"/>
                <w:sz w:val="20"/>
                <w:szCs w:val="20"/>
              </w:rPr>
              <w:t>2.39%</w:t>
            </w:r>
          </w:p>
        </w:tc>
        <w:tc>
          <w:tcPr>
            <w:tcW w:w="1134" w:type="dxa"/>
            <w:tcBorders>
              <w:top w:val="nil"/>
              <w:left w:val="single" w:color="000000" w:sz="8" w:space="0"/>
              <w:bottom w:val="single" w:color="000000" w:sz="8" w:space="0"/>
              <w:right w:val="single" w:color="000000" w:sz="8" w:space="0"/>
            </w:tcBorders>
            <w:vAlign w:val="bottom"/>
          </w:tcPr>
          <w:p w14:paraId="462EB1C9">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19.12 </w:t>
            </w:r>
          </w:p>
        </w:tc>
        <w:tc>
          <w:tcPr>
            <w:tcW w:w="1191" w:type="dxa"/>
            <w:tcBorders>
              <w:top w:val="nil"/>
              <w:left w:val="single" w:color="000000" w:sz="8" w:space="0"/>
              <w:bottom w:val="single" w:color="000000" w:sz="8" w:space="0"/>
              <w:right w:val="single" w:color="000000" w:sz="8" w:space="0"/>
            </w:tcBorders>
            <w:vAlign w:val="bottom"/>
          </w:tcPr>
          <w:p w14:paraId="08674A35">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10.03%</w:t>
            </w:r>
          </w:p>
        </w:tc>
      </w:tr>
      <w:tr w14:paraId="14DDA6F8">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1495D045">
            <w:pPr>
              <w:spacing w:line="240" w:lineRule="auto"/>
              <w:ind w:firstLine="0" w:firstLineChars="0"/>
              <w:jc w:val="center"/>
              <w:rPr>
                <w:rFonts w:cs="Times New Roman"/>
                <w:color w:val="000000"/>
                <w:sz w:val="20"/>
                <w:szCs w:val="20"/>
              </w:rPr>
            </w:pPr>
            <w:r>
              <w:rPr>
                <w:rFonts w:cs="Times New Roman"/>
                <w:color w:val="000000"/>
                <w:sz w:val="20"/>
                <w:szCs w:val="20"/>
              </w:rPr>
              <w:t>6</w:t>
            </w:r>
          </w:p>
        </w:tc>
        <w:tc>
          <w:tcPr>
            <w:tcW w:w="2835" w:type="dxa"/>
            <w:tcBorders>
              <w:top w:val="nil"/>
              <w:left w:val="single" w:color="000000" w:sz="8" w:space="0"/>
              <w:bottom w:val="single" w:color="000000" w:sz="8" w:space="0"/>
              <w:right w:val="single" w:color="000000" w:sz="8" w:space="0"/>
            </w:tcBorders>
            <w:vAlign w:val="center"/>
          </w:tcPr>
          <w:p w14:paraId="5263A4BB">
            <w:pPr>
              <w:spacing w:line="240" w:lineRule="auto"/>
              <w:ind w:firstLine="0" w:firstLineChars="0"/>
              <w:jc w:val="center"/>
              <w:rPr>
                <w:rFonts w:cs="Times New Roman"/>
                <w:color w:val="000000"/>
                <w:sz w:val="20"/>
                <w:szCs w:val="20"/>
              </w:rPr>
            </w:pPr>
            <w:r>
              <w:rPr>
                <w:rFonts w:cs="Times New Roman"/>
                <w:color w:val="000000"/>
                <w:sz w:val="20"/>
                <w:szCs w:val="20"/>
              </w:rPr>
              <w:t>公用设施用地</w:t>
            </w:r>
          </w:p>
        </w:tc>
        <w:tc>
          <w:tcPr>
            <w:tcW w:w="1276" w:type="dxa"/>
            <w:tcBorders>
              <w:top w:val="nil"/>
              <w:left w:val="single" w:color="000000" w:sz="8" w:space="0"/>
              <w:bottom w:val="single" w:color="000000" w:sz="8" w:space="0"/>
              <w:right w:val="single" w:color="000000" w:sz="8" w:space="0"/>
            </w:tcBorders>
            <w:vAlign w:val="center"/>
          </w:tcPr>
          <w:p w14:paraId="53B38694">
            <w:pPr>
              <w:spacing w:line="240" w:lineRule="auto"/>
              <w:ind w:firstLine="0" w:firstLineChars="0"/>
              <w:jc w:val="center"/>
              <w:rPr>
                <w:rFonts w:cs="Times New Roman"/>
                <w:color w:val="000000"/>
                <w:sz w:val="20"/>
                <w:szCs w:val="20"/>
              </w:rPr>
            </w:pPr>
            <w:r>
              <w:rPr>
                <w:rFonts w:hint="eastAsia" w:cs="Times New Roman"/>
                <w:color w:val="000000"/>
                <w:sz w:val="20"/>
                <w:szCs w:val="20"/>
              </w:rPr>
              <w:t>0.00</w:t>
            </w:r>
          </w:p>
        </w:tc>
        <w:tc>
          <w:tcPr>
            <w:tcW w:w="1134" w:type="dxa"/>
            <w:tcBorders>
              <w:top w:val="nil"/>
              <w:left w:val="single" w:color="000000" w:sz="8" w:space="0"/>
              <w:bottom w:val="single" w:color="000000" w:sz="8" w:space="0"/>
              <w:right w:val="single" w:color="000000" w:sz="8" w:space="0"/>
            </w:tcBorders>
            <w:vAlign w:val="center"/>
          </w:tcPr>
          <w:p w14:paraId="293EC424">
            <w:pPr>
              <w:spacing w:line="240" w:lineRule="auto"/>
              <w:ind w:firstLine="0" w:firstLineChars="0"/>
              <w:jc w:val="center"/>
              <w:rPr>
                <w:rFonts w:cs="Times New Roman"/>
                <w:color w:val="000000"/>
                <w:sz w:val="20"/>
                <w:szCs w:val="20"/>
              </w:rPr>
            </w:pPr>
            <w:r>
              <w:rPr>
                <w:rFonts w:hint="eastAsia" w:cs="Times New Roman"/>
                <w:color w:val="000000"/>
                <w:sz w:val="20"/>
                <w:szCs w:val="20"/>
              </w:rPr>
              <w:t>0.00%</w:t>
            </w:r>
          </w:p>
        </w:tc>
        <w:tc>
          <w:tcPr>
            <w:tcW w:w="1134" w:type="dxa"/>
            <w:tcBorders>
              <w:top w:val="nil"/>
              <w:left w:val="single" w:color="000000" w:sz="8" w:space="0"/>
              <w:bottom w:val="single" w:color="000000" w:sz="8" w:space="0"/>
              <w:right w:val="single" w:color="000000" w:sz="8" w:space="0"/>
            </w:tcBorders>
            <w:vAlign w:val="center"/>
          </w:tcPr>
          <w:p w14:paraId="67F773E4">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6.63 </w:t>
            </w:r>
          </w:p>
        </w:tc>
        <w:tc>
          <w:tcPr>
            <w:tcW w:w="1191" w:type="dxa"/>
            <w:tcBorders>
              <w:top w:val="nil"/>
              <w:left w:val="single" w:color="000000" w:sz="8" w:space="0"/>
              <w:bottom w:val="single" w:color="000000" w:sz="8" w:space="0"/>
              <w:right w:val="single" w:color="000000" w:sz="8" w:space="0"/>
            </w:tcBorders>
            <w:vAlign w:val="bottom"/>
          </w:tcPr>
          <w:p w14:paraId="1B25D15D">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3.48%</w:t>
            </w:r>
          </w:p>
        </w:tc>
      </w:tr>
      <w:tr w14:paraId="23AF5B9B">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165B24D4">
            <w:pPr>
              <w:spacing w:line="240" w:lineRule="auto"/>
              <w:ind w:firstLine="0" w:firstLineChars="0"/>
              <w:jc w:val="center"/>
              <w:rPr>
                <w:rFonts w:cs="Times New Roman"/>
                <w:color w:val="000000"/>
                <w:sz w:val="20"/>
                <w:szCs w:val="20"/>
              </w:rPr>
            </w:pPr>
            <w:r>
              <w:rPr>
                <w:rFonts w:cs="Times New Roman"/>
                <w:color w:val="000000"/>
                <w:sz w:val="20"/>
                <w:szCs w:val="20"/>
              </w:rPr>
              <w:t>7</w:t>
            </w:r>
          </w:p>
        </w:tc>
        <w:tc>
          <w:tcPr>
            <w:tcW w:w="2835" w:type="dxa"/>
            <w:tcBorders>
              <w:top w:val="nil"/>
              <w:left w:val="single" w:color="000000" w:sz="8" w:space="0"/>
              <w:bottom w:val="single" w:color="000000" w:sz="8" w:space="0"/>
              <w:right w:val="single" w:color="000000" w:sz="8" w:space="0"/>
            </w:tcBorders>
            <w:vAlign w:val="center"/>
          </w:tcPr>
          <w:p w14:paraId="41A09D5A">
            <w:pPr>
              <w:spacing w:line="240" w:lineRule="auto"/>
              <w:ind w:firstLine="0" w:firstLineChars="0"/>
              <w:jc w:val="center"/>
              <w:rPr>
                <w:rFonts w:cs="Times New Roman"/>
                <w:color w:val="000000"/>
                <w:sz w:val="20"/>
                <w:szCs w:val="20"/>
              </w:rPr>
            </w:pPr>
            <w:r>
              <w:rPr>
                <w:rFonts w:cs="Times New Roman"/>
                <w:color w:val="000000"/>
                <w:sz w:val="20"/>
                <w:szCs w:val="20"/>
              </w:rPr>
              <w:t>绿地与开敞空间用地</w:t>
            </w:r>
          </w:p>
        </w:tc>
        <w:tc>
          <w:tcPr>
            <w:tcW w:w="1276" w:type="dxa"/>
            <w:tcBorders>
              <w:top w:val="nil"/>
              <w:left w:val="single" w:color="000000" w:sz="8" w:space="0"/>
              <w:bottom w:val="single" w:color="000000" w:sz="8" w:space="0"/>
              <w:right w:val="single" w:color="000000" w:sz="8" w:space="0"/>
            </w:tcBorders>
            <w:vAlign w:val="center"/>
          </w:tcPr>
          <w:p w14:paraId="49C15259">
            <w:pPr>
              <w:spacing w:line="240" w:lineRule="auto"/>
              <w:ind w:firstLine="0" w:firstLineChars="0"/>
              <w:jc w:val="center"/>
              <w:rPr>
                <w:rFonts w:cs="Times New Roman"/>
                <w:color w:val="000000"/>
                <w:sz w:val="20"/>
                <w:szCs w:val="20"/>
              </w:rPr>
            </w:pPr>
            <w:r>
              <w:rPr>
                <w:rFonts w:hint="eastAsia" w:cs="Times New Roman"/>
                <w:color w:val="000000"/>
                <w:sz w:val="20"/>
                <w:szCs w:val="20"/>
              </w:rPr>
              <w:t>0.58</w:t>
            </w:r>
          </w:p>
        </w:tc>
        <w:tc>
          <w:tcPr>
            <w:tcW w:w="1134" w:type="dxa"/>
            <w:tcBorders>
              <w:top w:val="nil"/>
              <w:left w:val="single" w:color="000000" w:sz="8" w:space="0"/>
              <w:bottom w:val="single" w:color="000000" w:sz="8" w:space="0"/>
              <w:right w:val="single" w:color="000000" w:sz="8" w:space="0"/>
            </w:tcBorders>
            <w:vAlign w:val="center"/>
          </w:tcPr>
          <w:p w14:paraId="1880F335">
            <w:pPr>
              <w:spacing w:line="240" w:lineRule="auto"/>
              <w:ind w:firstLine="0" w:firstLineChars="0"/>
              <w:jc w:val="center"/>
              <w:rPr>
                <w:rFonts w:cs="Times New Roman"/>
                <w:color w:val="000000"/>
                <w:sz w:val="20"/>
                <w:szCs w:val="20"/>
              </w:rPr>
            </w:pPr>
            <w:r>
              <w:rPr>
                <w:rFonts w:hint="eastAsia" w:cs="Times New Roman"/>
                <w:color w:val="000000"/>
                <w:sz w:val="20"/>
                <w:szCs w:val="20"/>
              </w:rPr>
              <w:t>0.52%</w:t>
            </w:r>
          </w:p>
        </w:tc>
        <w:tc>
          <w:tcPr>
            <w:tcW w:w="1134" w:type="dxa"/>
            <w:tcBorders>
              <w:top w:val="nil"/>
              <w:left w:val="single" w:color="000000" w:sz="8" w:space="0"/>
              <w:bottom w:val="single" w:color="000000" w:sz="8" w:space="0"/>
              <w:right w:val="single" w:color="000000" w:sz="8" w:space="0"/>
            </w:tcBorders>
            <w:vAlign w:val="center"/>
          </w:tcPr>
          <w:p w14:paraId="25FEE7AF">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2.15 </w:t>
            </w:r>
          </w:p>
        </w:tc>
        <w:tc>
          <w:tcPr>
            <w:tcW w:w="1191" w:type="dxa"/>
            <w:tcBorders>
              <w:top w:val="nil"/>
              <w:left w:val="single" w:color="000000" w:sz="8" w:space="0"/>
              <w:bottom w:val="single" w:color="000000" w:sz="8" w:space="0"/>
              <w:right w:val="single" w:color="000000" w:sz="8" w:space="0"/>
            </w:tcBorders>
            <w:vAlign w:val="bottom"/>
          </w:tcPr>
          <w:p w14:paraId="3F0AFD97">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1.13%</w:t>
            </w:r>
          </w:p>
        </w:tc>
      </w:tr>
      <w:tr w14:paraId="177A5551">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195A034E">
            <w:pPr>
              <w:spacing w:line="240" w:lineRule="auto"/>
              <w:ind w:firstLine="0" w:firstLineChars="0"/>
              <w:jc w:val="center"/>
              <w:rPr>
                <w:rFonts w:cs="Times New Roman"/>
                <w:color w:val="000000"/>
                <w:sz w:val="20"/>
                <w:szCs w:val="20"/>
              </w:rPr>
            </w:pPr>
            <w:r>
              <w:rPr>
                <w:rFonts w:hint="eastAsia" w:cs="Times New Roman"/>
                <w:color w:val="000000"/>
                <w:sz w:val="20"/>
                <w:szCs w:val="20"/>
              </w:rPr>
              <w:t>8</w:t>
            </w:r>
          </w:p>
        </w:tc>
        <w:tc>
          <w:tcPr>
            <w:tcW w:w="2835" w:type="dxa"/>
            <w:tcBorders>
              <w:top w:val="nil"/>
              <w:left w:val="single" w:color="000000" w:sz="8" w:space="0"/>
              <w:bottom w:val="single" w:color="000000" w:sz="8" w:space="0"/>
              <w:right w:val="single" w:color="000000" w:sz="8" w:space="0"/>
            </w:tcBorders>
            <w:vAlign w:val="center"/>
          </w:tcPr>
          <w:p w14:paraId="2D3D9171">
            <w:pPr>
              <w:spacing w:line="240" w:lineRule="auto"/>
              <w:ind w:firstLine="0" w:firstLineChars="0"/>
              <w:jc w:val="center"/>
              <w:rPr>
                <w:rFonts w:cs="Times New Roman"/>
                <w:color w:val="000000"/>
                <w:sz w:val="20"/>
                <w:szCs w:val="20"/>
              </w:rPr>
            </w:pPr>
            <w:r>
              <w:rPr>
                <w:rFonts w:hint="eastAsia" w:cs="Times New Roman"/>
                <w:color w:val="000000"/>
                <w:sz w:val="20"/>
                <w:szCs w:val="20"/>
              </w:rPr>
              <w:t>特殊用地</w:t>
            </w:r>
          </w:p>
        </w:tc>
        <w:tc>
          <w:tcPr>
            <w:tcW w:w="1276" w:type="dxa"/>
            <w:tcBorders>
              <w:top w:val="nil"/>
              <w:left w:val="single" w:color="000000" w:sz="8" w:space="0"/>
              <w:bottom w:val="single" w:color="000000" w:sz="8" w:space="0"/>
              <w:right w:val="single" w:color="000000" w:sz="8" w:space="0"/>
            </w:tcBorders>
            <w:vAlign w:val="center"/>
          </w:tcPr>
          <w:p w14:paraId="2E01682E">
            <w:pPr>
              <w:spacing w:line="240" w:lineRule="auto"/>
              <w:ind w:firstLine="0" w:firstLineChars="0"/>
              <w:jc w:val="center"/>
              <w:rPr>
                <w:rFonts w:cs="Times New Roman"/>
                <w:color w:val="000000"/>
                <w:sz w:val="20"/>
                <w:szCs w:val="20"/>
              </w:rPr>
            </w:pPr>
            <w:r>
              <w:rPr>
                <w:rFonts w:hint="eastAsia" w:cs="Times New Roman"/>
                <w:color w:val="000000"/>
                <w:sz w:val="20"/>
                <w:szCs w:val="20"/>
              </w:rPr>
              <w:t>0.14</w:t>
            </w:r>
          </w:p>
        </w:tc>
        <w:tc>
          <w:tcPr>
            <w:tcW w:w="1134" w:type="dxa"/>
            <w:tcBorders>
              <w:top w:val="nil"/>
              <w:left w:val="single" w:color="000000" w:sz="8" w:space="0"/>
              <w:bottom w:val="single" w:color="000000" w:sz="8" w:space="0"/>
              <w:right w:val="single" w:color="000000" w:sz="8" w:space="0"/>
            </w:tcBorders>
            <w:vAlign w:val="center"/>
          </w:tcPr>
          <w:p w14:paraId="0706752C">
            <w:pPr>
              <w:spacing w:line="240" w:lineRule="auto"/>
              <w:ind w:firstLine="0" w:firstLineChars="0"/>
              <w:jc w:val="center"/>
              <w:rPr>
                <w:rFonts w:cs="Times New Roman"/>
                <w:color w:val="000000"/>
                <w:sz w:val="20"/>
                <w:szCs w:val="20"/>
              </w:rPr>
            </w:pPr>
            <w:r>
              <w:rPr>
                <w:rFonts w:hint="eastAsia" w:cs="Times New Roman"/>
                <w:color w:val="000000"/>
                <w:sz w:val="20"/>
                <w:szCs w:val="20"/>
              </w:rPr>
              <w:t>0.13%</w:t>
            </w:r>
          </w:p>
        </w:tc>
        <w:tc>
          <w:tcPr>
            <w:tcW w:w="1134" w:type="dxa"/>
            <w:tcBorders>
              <w:top w:val="nil"/>
              <w:left w:val="single" w:color="000000" w:sz="8" w:space="0"/>
              <w:bottom w:val="single" w:color="000000" w:sz="8" w:space="0"/>
              <w:right w:val="single" w:color="000000" w:sz="8" w:space="0"/>
            </w:tcBorders>
            <w:vAlign w:val="center"/>
          </w:tcPr>
          <w:p w14:paraId="1DC9BEE7">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0.83 </w:t>
            </w:r>
          </w:p>
        </w:tc>
        <w:tc>
          <w:tcPr>
            <w:tcW w:w="1191" w:type="dxa"/>
            <w:tcBorders>
              <w:top w:val="nil"/>
              <w:left w:val="single" w:color="000000" w:sz="8" w:space="0"/>
              <w:bottom w:val="single" w:color="000000" w:sz="8" w:space="0"/>
              <w:right w:val="single" w:color="000000" w:sz="8" w:space="0"/>
            </w:tcBorders>
            <w:vAlign w:val="bottom"/>
          </w:tcPr>
          <w:p w14:paraId="5FAD53F2">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0.44%</w:t>
            </w:r>
          </w:p>
        </w:tc>
      </w:tr>
      <w:tr w14:paraId="1837A83F">
        <w:tblPrEx>
          <w:tblCellMar>
            <w:top w:w="0" w:type="dxa"/>
            <w:left w:w="108" w:type="dxa"/>
            <w:bottom w:w="0" w:type="dxa"/>
            <w:right w:w="108" w:type="dxa"/>
          </w:tblCellMar>
        </w:tblPrEx>
        <w:trPr>
          <w:trHeight w:val="20" w:hRule="atLeast"/>
        </w:trPr>
        <w:tc>
          <w:tcPr>
            <w:tcW w:w="748" w:type="dxa"/>
            <w:tcBorders>
              <w:top w:val="nil"/>
              <w:left w:val="single" w:color="000000" w:sz="8" w:space="0"/>
              <w:bottom w:val="single" w:color="000000" w:sz="8" w:space="0"/>
              <w:right w:val="single" w:color="000000" w:sz="8" w:space="0"/>
            </w:tcBorders>
            <w:vAlign w:val="center"/>
          </w:tcPr>
          <w:p w14:paraId="4B27B534">
            <w:pPr>
              <w:spacing w:line="240" w:lineRule="auto"/>
              <w:ind w:firstLine="0" w:firstLineChars="0"/>
              <w:jc w:val="center"/>
              <w:rPr>
                <w:rFonts w:cs="Times New Roman"/>
                <w:color w:val="000000"/>
                <w:sz w:val="20"/>
                <w:szCs w:val="20"/>
              </w:rPr>
            </w:pPr>
            <w:r>
              <w:rPr>
                <w:rFonts w:hint="eastAsia" w:cs="Times New Roman"/>
                <w:color w:val="000000"/>
                <w:sz w:val="20"/>
                <w:szCs w:val="20"/>
              </w:rPr>
              <w:t>9</w:t>
            </w:r>
          </w:p>
        </w:tc>
        <w:tc>
          <w:tcPr>
            <w:tcW w:w="2835" w:type="dxa"/>
            <w:tcBorders>
              <w:top w:val="nil"/>
              <w:left w:val="single" w:color="000000" w:sz="8" w:space="0"/>
              <w:bottom w:val="single" w:color="000000" w:sz="8" w:space="0"/>
              <w:right w:val="single" w:color="000000" w:sz="8" w:space="0"/>
            </w:tcBorders>
            <w:vAlign w:val="center"/>
          </w:tcPr>
          <w:p w14:paraId="4D5F6F3F">
            <w:pPr>
              <w:spacing w:line="240" w:lineRule="auto"/>
              <w:ind w:firstLine="0" w:firstLineChars="0"/>
              <w:jc w:val="center"/>
              <w:rPr>
                <w:rFonts w:cs="Times New Roman"/>
                <w:color w:val="000000"/>
                <w:sz w:val="20"/>
                <w:szCs w:val="20"/>
              </w:rPr>
            </w:pPr>
            <w:r>
              <w:rPr>
                <w:rFonts w:hint="eastAsia" w:cs="Times New Roman"/>
                <w:color w:val="000000"/>
                <w:sz w:val="20"/>
                <w:szCs w:val="20"/>
              </w:rPr>
              <w:t>物流仓储用地</w:t>
            </w:r>
          </w:p>
        </w:tc>
        <w:tc>
          <w:tcPr>
            <w:tcW w:w="1276" w:type="dxa"/>
            <w:tcBorders>
              <w:top w:val="nil"/>
              <w:left w:val="single" w:color="000000" w:sz="8" w:space="0"/>
              <w:bottom w:val="single" w:color="000000" w:sz="8" w:space="0"/>
              <w:right w:val="single" w:color="000000" w:sz="8" w:space="0"/>
            </w:tcBorders>
            <w:vAlign w:val="center"/>
          </w:tcPr>
          <w:p w14:paraId="613B982E">
            <w:pPr>
              <w:spacing w:line="240" w:lineRule="auto"/>
              <w:ind w:firstLine="0" w:firstLineChars="0"/>
              <w:jc w:val="center"/>
              <w:rPr>
                <w:rFonts w:cs="Times New Roman"/>
                <w:color w:val="000000"/>
                <w:sz w:val="20"/>
                <w:szCs w:val="20"/>
              </w:rPr>
            </w:pPr>
            <w:r>
              <w:rPr>
                <w:rFonts w:hint="eastAsia" w:cs="Times New Roman"/>
                <w:color w:val="000000"/>
                <w:sz w:val="20"/>
                <w:szCs w:val="20"/>
              </w:rPr>
              <w:t>0.07</w:t>
            </w:r>
          </w:p>
        </w:tc>
        <w:tc>
          <w:tcPr>
            <w:tcW w:w="1134" w:type="dxa"/>
            <w:tcBorders>
              <w:top w:val="nil"/>
              <w:left w:val="single" w:color="000000" w:sz="8" w:space="0"/>
              <w:bottom w:val="single" w:color="000000" w:sz="8" w:space="0"/>
              <w:right w:val="single" w:color="000000" w:sz="8" w:space="0"/>
            </w:tcBorders>
            <w:vAlign w:val="center"/>
          </w:tcPr>
          <w:p w14:paraId="464A03D0">
            <w:pPr>
              <w:spacing w:line="240" w:lineRule="auto"/>
              <w:ind w:firstLine="0" w:firstLineChars="0"/>
              <w:jc w:val="center"/>
              <w:rPr>
                <w:rFonts w:cs="Times New Roman"/>
                <w:color w:val="000000"/>
                <w:sz w:val="20"/>
                <w:szCs w:val="20"/>
              </w:rPr>
            </w:pPr>
            <w:r>
              <w:rPr>
                <w:rFonts w:hint="eastAsia" w:cs="Times New Roman"/>
                <w:color w:val="000000"/>
                <w:sz w:val="20"/>
                <w:szCs w:val="20"/>
              </w:rPr>
              <w:t>0.06%</w:t>
            </w:r>
          </w:p>
        </w:tc>
        <w:tc>
          <w:tcPr>
            <w:tcW w:w="1134" w:type="dxa"/>
            <w:tcBorders>
              <w:top w:val="nil"/>
              <w:left w:val="single" w:color="000000" w:sz="8" w:space="0"/>
              <w:bottom w:val="single" w:color="000000" w:sz="8" w:space="0"/>
              <w:right w:val="single" w:color="000000" w:sz="8" w:space="0"/>
            </w:tcBorders>
            <w:vAlign w:val="center"/>
          </w:tcPr>
          <w:p w14:paraId="20811A02">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0.06 </w:t>
            </w:r>
          </w:p>
        </w:tc>
        <w:tc>
          <w:tcPr>
            <w:tcW w:w="1191" w:type="dxa"/>
            <w:tcBorders>
              <w:top w:val="nil"/>
              <w:left w:val="single" w:color="000000" w:sz="8" w:space="0"/>
              <w:bottom w:val="single" w:color="000000" w:sz="8" w:space="0"/>
              <w:right w:val="single" w:color="000000" w:sz="8" w:space="0"/>
            </w:tcBorders>
            <w:vAlign w:val="bottom"/>
          </w:tcPr>
          <w:p w14:paraId="13CF713B">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0.03%</w:t>
            </w:r>
          </w:p>
        </w:tc>
      </w:tr>
      <w:tr w14:paraId="1C66CFAC">
        <w:tblPrEx>
          <w:tblCellMar>
            <w:top w:w="0" w:type="dxa"/>
            <w:left w:w="108" w:type="dxa"/>
            <w:bottom w:w="0" w:type="dxa"/>
            <w:right w:w="108" w:type="dxa"/>
          </w:tblCellMar>
        </w:tblPrEx>
        <w:trPr>
          <w:trHeight w:val="20" w:hRule="atLeast"/>
        </w:trPr>
        <w:tc>
          <w:tcPr>
            <w:tcW w:w="3583" w:type="dxa"/>
            <w:gridSpan w:val="2"/>
            <w:tcBorders>
              <w:top w:val="nil"/>
              <w:left w:val="single" w:color="000000" w:sz="8" w:space="0"/>
              <w:bottom w:val="single" w:color="000000" w:sz="8" w:space="0"/>
              <w:right w:val="single" w:color="000000" w:sz="8" w:space="0"/>
            </w:tcBorders>
            <w:vAlign w:val="center"/>
          </w:tcPr>
          <w:p w14:paraId="2A3E3B20">
            <w:pPr>
              <w:spacing w:line="240" w:lineRule="auto"/>
              <w:ind w:firstLine="0" w:firstLineChars="0"/>
              <w:jc w:val="center"/>
              <w:rPr>
                <w:rFonts w:cs="Times New Roman"/>
                <w:color w:val="000000"/>
                <w:sz w:val="20"/>
                <w:szCs w:val="20"/>
              </w:rPr>
            </w:pPr>
            <w:r>
              <w:rPr>
                <w:rFonts w:cs="Times New Roman"/>
                <w:color w:val="000000"/>
                <w:sz w:val="20"/>
                <w:szCs w:val="20"/>
              </w:rPr>
              <w:t>合计</w:t>
            </w:r>
          </w:p>
        </w:tc>
        <w:tc>
          <w:tcPr>
            <w:tcW w:w="1276" w:type="dxa"/>
            <w:tcBorders>
              <w:top w:val="nil"/>
              <w:left w:val="single" w:color="000000" w:sz="8" w:space="0"/>
              <w:bottom w:val="single" w:color="000000" w:sz="8" w:space="0"/>
              <w:right w:val="single" w:color="000000" w:sz="8" w:space="0"/>
            </w:tcBorders>
            <w:vAlign w:val="center"/>
          </w:tcPr>
          <w:p w14:paraId="306F03FB">
            <w:pPr>
              <w:widowControl/>
              <w:spacing w:line="240" w:lineRule="auto"/>
              <w:ind w:firstLine="0" w:firstLineChars="0"/>
              <w:jc w:val="center"/>
              <w:rPr>
                <w:rFonts w:cs="Times New Roman"/>
                <w:color w:val="000000"/>
                <w:sz w:val="20"/>
                <w:szCs w:val="20"/>
              </w:rPr>
            </w:pPr>
            <w:r>
              <w:rPr>
                <w:rFonts w:hint="eastAsia" w:cs="Times New Roman"/>
                <w:color w:val="000000"/>
                <w:sz w:val="20"/>
                <w:szCs w:val="20"/>
              </w:rPr>
              <w:t>111.13</w:t>
            </w:r>
          </w:p>
        </w:tc>
        <w:tc>
          <w:tcPr>
            <w:tcW w:w="1134" w:type="dxa"/>
            <w:tcBorders>
              <w:top w:val="nil"/>
              <w:left w:val="single" w:color="000000" w:sz="8" w:space="0"/>
              <w:bottom w:val="single" w:color="000000" w:sz="8" w:space="0"/>
              <w:right w:val="single" w:color="000000" w:sz="8" w:space="0"/>
            </w:tcBorders>
            <w:vAlign w:val="center"/>
          </w:tcPr>
          <w:p w14:paraId="2DF8875B">
            <w:pPr>
              <w:spacing w:line="240" w:lineRule="auto"/>
              <w:ind w:firstLine="0" w:firstLineChars="0"/>
              <w:jc w:val="center"/>
              <w:rPr>
                <w:rFonts w:cs="Times New Roman"/>
                <w:color w:val="000000"/>
                <w:sz w:val="20"/>
                <w:szCs w:val="20"/>
              </w:rPr>
            </w:pPr>
            <w:r>
              <w:rPr>
                <w:rFonts w:hint="eastAsia" w:cs="Times New Roman"/>
                <w:color w:val="000000"/>
                <w:sz w:val="20"/>
                <w:szCs w:val="20"/>
              </w:rPr>
              <w:t>100％</w:t>
            </w:r>
          </w:p>
        </w:tc>
        <w:tc>
          <w:tcPr>
            <w:tcW w:w="1134" w:type="dxa"/>
            <w:tcBorders>
              <w:top w:val="nil"/>
              <w:left w:val="single" w:color="000000" w:sz="8" w:space="0"/>
              <w:bottom w:val="single" w:color="000000" w:sz="8" w:space="0"/>
              <w:right w:val="single" w:color="000000" w:sz="8" w:space="0"/>
            </w:tcBorders>
            <w:vAlign w:val="center"/>
          </w:tcPr>
          <w:p w14:paraId="326D795D">
            <w:pPr>
              <w:widowControl/>
              <w:spacing w:line="240" w:lineRule="auto"/>
              <w:ind w:firstLine="0" w:firstLineChars="0"/>
              <w:jc w:val="center"/>
              <w:rPr>
                <w:rFonts w:cs="Times New Roman"/>
                <w:color w:val="000000"/>
                <w:sz w:val="20"/>
                <w:szCs w:val="20"/>
              </w:rPr>
            </w:pPr>
            <w:r>
              <w:rPr>
                <w:rFonts w:hint="eastAsia" w:cs="Times New Roman"/>
                <w:color w:val="000000"/>
                <w:sz w:val="20"/>
                <w:szCs w:val="20"/>
                <w:lang w:bidi="ar"/>
              </w:rPr>
              <w:t xml:space="preserve">190.65 </w:t>
            </w:r>
          </w:p>
        </w:tc>
        <w:tc>
          <w:tcPr>
            <w:tcW w:w="1191" w:type="dxa"/>
            <w:tcBorders>
              <w:top w:val="nil"/>
              <w:left w:val="single" w:color="000000" w:sz="8" w:space="0"/>
              <w:bottom w:val="single" w:color="000000" w:sz="8" w:space="0"/>
              <w:right w:val="single" w:color="000000" w:sz="8" w:space="0"/>
            </w:tcBorders>
            <w:vAlign w:val="center"/>
          </w:tcPr>
          <w:p w14:paraId="2CD5AD51">
            <w:pPr>
              <w:spacing w:line="240" w:lineRule="auto"/>
              <w:ind w:firstLine="0" w:firstLineChars="0"/>
              <w:jc w:val="center"/>
              <w:rPr>
                <w:rFonts w:cs="Times New Roman"/>
                <w:color w:val="000000"/>
                <w:sz w:val="20"/>
                <w:szCs w:val="20"/>
              </w:rPr>
            </w:pPr>
            <w:r>
              <w:rPr>
                <w:rFonts w:cs="Times New Roman"/>
                <w:color w:val="000000"/>
                <w:sz w:val="20"/>
                <w:szCs w:val="20"/>
              </w:rPr>
              <w:t>100</w:t>
            </w:r>
          </w:p>
        </w:tc>
      </w:tr>
      <w:bookmarkEnd w:id="134"/>
    </w:tbl>
    <w:p w14:paraId="30FB4231">
      <w:pPr>
        <w:widowControl/>
        <w:adjustRightInd w:val="0"/>
        <w:snapToGrid w:val="0"/>
        <w:ind w:firstLine="640"/>
        <w:rPr>
          <w:rFonts w:cs="Times New Roman"/>
        </w:rPr>
      </w:pPr>
    </w:p>
    <w:p w14:paraId="3227274C">
      <w:pPr>
        <w:pStyle w:val="3"/>
        <w:rPr>
          <w:rFonts w:ascii="Times New Roman" w:hAnsi="Times New Roman" w:cs="Times New Roman"/>
        </w:rPr>
      </w:pPr>
      <w:bookmarkStart w:id="135" w:name="_Toc15707"/>
      <w:bookmarkStart w:id="136" w:name="_Toc7029"/>
      <w:bookmarkStart w:id="137" w:name="_Toc11988"/>
      <w:bookmarkStart w:id="138" w:name="_Toc185931316"/>
      <w:r>
        <w:rPr>
          <w:rFonts w:ascii="Times New Roman" w:hAnsi="Times New Roman" w:cs="Times New Roman"/>
        </w:rPr>
        <w:t>第</w:t>
      </w:r>
      <w:r>
        <w:rPr>
          <w:rFonts w:hint="eastAsia" w:ascii="Times New Roman" w:hAnsi="Times New Roman" w:cs="Times New Roman"/>
        </w:rPr>
        <w:t>二</w:t>
      </w:r>
      <w:r>
        <w:rPr>
          <w:rFonts w:ascii="Times New Roman" w:hAnsi="Times New Roman" w:cs="Times New Roman"/>
        </w:rPr>
        <w:t>节 绿地系统和开敞空间</w:t>
      </w:r>
      <w:bookmarkEnd w:id="135"/>
      <w:bookmarkEnd w:id="136"/>
      <w:bookmarkEnd w:id="137"/>
      <w:bookmarkEnd w:id="138"/>
    </w:p>
    <w:p w14:paraId="231B4BC1">
      <w:pPr>
        <w:pStyle w:val="4"/>
        <w:numPr>
          <w:ilvl w:val="0"/>
          <w:numId w:val="23"/>
        </w:numPr>
        <w:ind w:left="420" w:firstLine="361" w:firstLineChars="113"/>
      </w:pPr>
      <w:r>
        <w:t>绿地系统规划</w:t>
      </w:r>
    </w:p>
    <w:p w14:paraId="6935E6FB">
      <w:pPr>
        <w:ind w:firstLine="640"/>
        <w:rPr>
          <w:rFonts w:cs="Times New Roman"/>
        </w:rPr>
      </w:pPr>
      <w:r>
        <w:rPr>
          <w:rFonts w:cs="Times New Roman"/>
        </w:rPr>
        <w:t>规划在梳理现状水系的基础上，统筹“点、线、面”布局，形成“</w:t>
      </w:r>
      <w:r>
        <w:rPr>
          <w:rFonts w:hint="eastAsia" w:cs="Times New Roman"/>
        </w:rPr>
        <w:t>两轴</w:t>
      </w:r>
      <w:r>
        <w:rPr>
          <w:rFonts w:cs="Times New Roman"/>
        </w:rPr>
        <w:t>、多点”的绿地系统结构。</w:t>
      </w:r>
    </w:p>
    <w:p w14:paraId="53EB0A0B">
      <w:pPr>
        <w:ind w:firstLine="640"/>
        <w:rPr>
          <w:rFonts w:cs="Times New Roman"/>
        </w:rPr>
      </w:pPr>
      <w:r>
        <w:rPr>
          <w:rFonts w:cs="Times New Roman"/>
        </w:rPr>
        <w:t>“</w:t>
      </w:r>
      <w:r>
        <w:rPr>
          <w:rFonts w:hint="eastAsia" w:cs="Times New Roman"/>
        </w:rPr>
        <w:t>两轴</w:t>
      </w:r>
      <w:r>
        <w:rPr>
          <w:rFonts w:cs="Times New Roman"/>
        </w:rPr>
        <w:t>”：</w:t>
      </w:r>
      <w:r>
        <w:rPr>
          <w:rFonts w:hint="eastAsia" w:cs="Times New Roman"/>
        </w:rPr>
        <w:t>以集本线、中心街为轴带，加强城市道路、铁路沿线、高压走廊、工业区卫生隔离带等防护绿带的控制和建设，构建安全、连续的防护绿地空间骨架。</w:t>
      </w:r>
    </w:p>
    <w:p w14:paraId="7AED202F">
      <w:pPr>
        <w:ind w:firstLine="640"/>
        <w:rPr>
          <w:rFonts w:cs="Times New Roman"/>
        </w:rPr>
      </w:pPr>
      <w:r>
        <w:rPr>
          <w:rFonts w:cs="Times New Roman"/>
        </w:rPr>
        <w:t xml:space="preserve"> “多点”：街头绿地、分散的小型绿地。</w:t>
      </w:r>
    </w:p>
    <w:p w14:paraId="75F8A342">
      <w:pPr>
        <w:pStyle w:val="4"/>
        <w:numPr>
          <w:ilvl w:val="0"/>
          <w:numId w:val="1"/>
        </w:numPr>
        <w:ind w:left="860" w:firstLine="361" w:firstLineChars="113"/>
      </w:pPr>
      <w:r>
        <w:t>公园绿地</w:t>
      </w:r>
    </w:p>
    <w:p w14:paraId="5E9C024D">
      <w:pPr>
        <w:ind w:firstLine="640"/>
        <w:rPr>
          <w:rFonts w:cs="Times New Roman"/>
        </w:rPr>
      </w:pPr>
      <w:r>
        <w:rPr>
          <w:rFonts w:cs="Times New Roman"/>
        </w:rPr>
        <w:t>镇区公园以结构性绿地为骨架，塑造滨水公园带与城镇魅力公园带，形成绿水交融、特色鲜明的公共空间。建设公园绿地，位于镇区，作为居民休憩、游乐场所，同时设立一些地标性的雕塑等，促使形成生态发展的空间格局，并形成华来镇内特有的山水景观特征。在各居住片区或与工业用地之间，均衡分布片区级公园。沿河两岸布置生态景观带，建设滨水公园。</w:t>
      </w:r>
    </w:p>
    <w:p w14:paraId="22113065">
      <w:pPr>
        <w:pStyle w:val="4"/>
        <w:numPr>
          <w:ilvl w:val="0"/>
          <w:numId w:val="1"/>
        </w:numPr>
        <w:ind w:left="860" w:firstLine="361" w:firstLineChars="113"/>
      </w:pPr>
      <w:r>
        <w:t>防护绿地</w:t>
      </w:r>
    </w:p>
    <w:p w14:paraId="087A662A">
      <w:pPr>
        <w:ind w:firstLine="640"/>
        <w:rPr>
          <w:rFonts w:cs="Times New Roman"/>
        </w:rPr>
      </w:pPr>
      <w:r>
        <w:rPr>
          <w:rFonts w:cs="Times New Roman"/>
        </w:rPr>
        <w:t>加强道路、高压走廊、工业区卫生隔离带等防护绿带的控制和建设，构建安全、连续的防护绿地空间骨架。架空电力线路规划走廊宽度应按照《城市电力规划规范（GB/T50293）》《电力设施保护条例》及本溪地区有关标准规范执行。公路防护绿地设置应按照国家、辽宁省相关法律、法规及保护条例执行。</w:t>
      </w:r>
    </w:p>
    <w:p w14:paraId="5AAE1A12">
      <w:pPr>
        <w:pStyle w:val="4"/>
        <w:numPr>
          <w:ilvl w:val="0"/>
          <w:numId w:val="1"/>
        </w:numPr>
        <w:ind w:left="860" w:firstLine="361" w:firstLineChars="113"/>
      </w:pPr>
      <w:r>
        <w:t>公共开敞空间</w:t>
      </w:r>
    </w:p>
    <w:p w14:paraId="642B02F2">
      <w:pPr>
        <w:ind w:firstLine="640"/>
        <w:rPr>
          <w:rFonts w:cs="Times New Roman"/>
        </w:rPr>
      </w:pPr>
      <w:r>
        <w:rPr>
          <w:rFonts w:cs="Times New Roman"/>
        </w:rPr>
        <w:t>塑造开放空间提升城镇品质。建立以沿河休闲景观绿带为重点，绿化景观长廊为廊道，微绿地为补充的城镇慢行休闲体系，打造多层级、多类型的开放空间及其联系脉络，强化公共空间的贯通性，将公共空间编织成网。提高公共空间舒适度，加强无障碍设施、休息座椅、智慧信息服务配套设施配置，提升公共空间环境品质。部分公共绿地可以根据需要设计建设为开放性的广场型绿地，同时满足城镇景观和居民游憩、集会需要。</w:t>
      </w:r>
    </w:p>
    <w:p w14:paraId="611CF905">
      <w:pPr>
        <w:pStyle w:val="3"/>
        <w:rPr>
          <w:rFonts w:ascii="Times New Roman" w:hAnsi="Times New Roman" w:cs="Times New Roman"/>
        </w:rPr>
      </w:pPr>
      <w:bookmarkStart w:id="139" w:name="_Toc185931317"/>
      <w:bookmarkStart w:id="140" w:name="_Toc1456"/>
      <w:bookmarkStart w:id="141" w:name="_Toc28847"/>
      <w:bookmarkStart w:id="142" w:name="_Toc21601"/>
      <w:r>
        <w:rPr>
          <w:rFonts w:ascii="Times New Roman" w:hAnsi="Times New Roman" w:cs="Times New Roman"/>
        </w:rPr>
        <w:t>第</w:t>
      </w:r>
      <w:r>
        <w:rPr>
          <w:rFonts w:hint="eastAsia" w:ascii="Times New Roman" w:hAnsi="Times New Roman" w:cs="Times New Roman"/>
        </w:rPr>
        <w:t>三</w:t>
      </w:r>
      <w:r>
        <w:rPr>
          <w:rFonts w:ascii="Times New Roman" w:hAnsi="Times New Roman" w:cs="Times New Roman"/>
        </w:rPr>
        <w:t>节 景观风貌</w:t>
      </w:r>
      <w:bookmarkEnd w:id="139"/>
      <w:bookmarkEnd w:id="140"/>
      <w:bookmarkEnd w:id="141"/>
      <w:bookmarkEnd w:id="142"/>
    </w:p>
    <w:p w14:paraId="2F8A1F5E">
      <w:pPr>
        <w:pStyle w:val="4"/>
        <w:numPr>
          <w:ilvl w:val="0"/>
          <w:numId w:val="24"/>
        </w:numPr>
        <w:ind w:left="420" w:firstLine="361" w:firstLineChars="113"/>
      </w:pPr>
      <w:r>
        <w:t>景观风貌引导</w:t>
      </w:r>
    </w:p>
    <w:p w14:paraId="60E217DD">
      <w:pPr>
        <w:ind w:firstLine="640"/>
        <w:rPr>
          <w:rFonts w:cs="Times New Roman"/>
        </w:rPr>
      </w:pPr>
      <w:r>
        <w:rPr>
          <w:rFonts w:hint="eastAsia" w:cs="Times New Roman"/>
        </w:rPr>
        <w:t>将强化城镇景观路绿化、亮化、美化建设，严格控制道路两侧建筑高度及建筑退道路红线距离，于道路两侧局部地段建设街头绿地及广场等小型开放式空间，打造为城市绿化景观长廊。规划以城市道路照明为基础，广场、绿地、滨河等节点照明为“亮点”，</w:t>
      </w:r>
      <w:r>
        <w:rPr>
          <w:rFonts w:cs="Times New Roman"/>
        </w:rPr>
        <w:t>体现华来镇独特的山水风貌，形成环境和谐、视觉优美、功能完备、风格独特的风貌景观，展示城镇魅力。</w:t>
      </w:r>
    </w:p>
    <w:p w14:paraId="5CBA5466">
      <w:pPr>
        <w:pStyle w:val="4"/>
        <w:numPr>
          <w:ilvl w:val="0"/>
          <w:numId w:val="1"/>
        </w:numPr>
        <w:ind w:left="860" w:firstLine="361" w:firstLineChars="113"/>
      </w:pPr>
      <w:r>
        <w:t>景观风貌分区</w:t>
      </w:r>
    </w:p>
    <w:p w14:paraId="7344A218">
      <w:pPr>
        <w:ind w:firstLine="640"/>
        <w:rPr>
          <w:rFonts w:cs="Times New Roman"/>
        </w:rPr>
      </w:pPr>
      <w:r>
        <w:rPr>
          <w:rFonts w:cs="Times New Roman"/>
        </w:rPr>
        <w:t>根据不同片区的功能和场地特征差异，规划形成三片建筑风貌分区，分别为传统居住风貌区、现代工业风貌区、商业休闲风貌区。</w:t>
      </w:r>
    </w:p>
    <w:p w14:paraId="2B0B7924">
      <w:pPr>
        <w:ind w:firstLine="640"/>
        <w:rPr>
          <w:rFonts w:cs="Times New Roman"/>
        </w:rPr>
      </w:pPr>
      <w:r>
        <w:rPr>
          <w:rFonts w:cs="Times New Roman"/>
        </w:rPr>
        <w:t>传统居住风貌区：保留现状传统居住形态，整体风貌以展现乡村旅游、乡村居住为主要风格，增加旅游服务设施，形成自然与人工环境相结合的乡村景观形象，引入周边自然山体、水体，构建视线开阔、环境优美的传统居住风貌区。</w:t>
      </w:r>
    </w:p>
    <w:p w14:paraId="72332ED2">
      <w:pPr>
        <w:ind w:firstLine="640"/>
        <w:rPr>
          <w:rFonts w:cs="Times New Roman"/>
        </w:rPr>
      </w:pPr>
      <w:r>
        <w:rPr>
          <w:rFonts w:cs="Times New Roman"/>
        </w:rPr>
        <w:t>现代工业风貌区：在风貌特色上体现新工业区特征，以简洁高效、环境优美为特征的现代工业区形象为主，形成清新明快的建筑风格，并与镇区整体建筑风格相协调。工业建筑应以低层为主，建筑形式宜采用坡屋顶，建筑空间布局应能营造良好的产业园区环境。</w:t>
      </w:r>
    </w:p>
    <w:p w14:paraId="309818D7">
      <w:pPr>
        <w:ind w:firstLine="640"/>
        <w:rPr>
          <w:rFonts w:cs="Times New Roman"/>
        </w:rPr>
      </w:pPr>
      <w:r>
        <w:rPr>
          <w:rFonts w:cs="Times New Roman"/>
        </w:rPr>
        <w:t>商贸休闲风貌区：商业区建筑应体现现代气息及华来镇产业特色。打造集旅游产品开发与销售、餐饮、购物等为一体的特色商贸街，乡镇两侧商网店面进行立面装修，形成设计规范、标准统一的商贸区，建筑层数以低层为主，建筑风格采用新中式建筑。</w:t>
      </w:r>
    </w:p>
    <w:p w14:paraId="002E4926">
      <w:pPr>
        <w:pStyle w:val="4"/>
        <w:numPr>
          <w:ilvl w:val="0"/>
          <w:numId w:val="1"/>
        </w:numPr>
        <w:ind w:left="860" w:firstLine="361" w:firstLineChars="113"/>
      </w:pPr>
      <w:r>
        <w:t>建筑风格色彩管控</w:t>
      </w:r>
    </w:p>
    <w:p w14:paraId="0AB8DD3F">
      <w:pPr>
        <w:ind w:firstLine="640"/>
        <w:rPr>
          <w:rFonts w:cs="Times New Roman"/>
        </w:rPr>
      </w:pPr>
      <w:r>
        <w:rPr>
          <w:rFonts w:cs="Times New Roman"/>
        </w:rPr>
        <w:t>规划华来镇建筑风格应整体协调，建筑个体富于变化，增强可识别性，避免雷同。延续城镇文脉，体现城镇精神，展现时代风貌。加强建筑风貌色彩管控，建筑色彩应适合城镇地域、气候、人文和历史特点。</w:t>
      </w:r>
    </w:p>
    <w:p w14:paraId="710C7454">
      <w:pPr>
        <w:ind w:firstLine="640"/>
        <w:rPr>
          <w:rFonts w:cs="Times New Roman"/>
        </w:rPr>
      </w:pPr>
      <w:r>
        <w:rPr>
          <w:rFonts w:cs="Times New Roman"/>
        </w:rPr>
        <w:t>公共建筑、文体设施建筑的色彩宜以清凉色调、低亮度色彩为主。居住建筑运用现代设计手法，形成清新大方的建筑风格。屋顶宜采用坡屋顶，屋顶变化多样，相容于周围环境，以丰富城镇的天际线。商业服务、旅游休闲建筑体现旅游城镇繁荣、活力的商业氛围，建筑色彩采用白色、青色、土黄色、赭石色的色彩体系；基调色采用与新中式建筑的白色、青色为建筑的主要基调色，整体色彩可以降低明度和色彩亮度；辅助色适当采用调和的暖灰色系、赭石色彩，加强对建筑基底的分层处理；建筑的门窗、墙线以及建筑突出部构件允许采用其他点缀色彩但是必须整体协调。工业建筑在满足功能和环境要求的同时，将地方性的文化符号、建筑语言融入工业建筑的设计中，建筑主色调宜采用白色、蓝色，配色宜采用淡茶色、砖灰色。</w:t>
      </w:r>
    </w:p>
    <w:p w14:paraId="05D7BCCF">
      <w:pPr>
        <w:pStyle w:val="3"/>
        <w:rPr>
          <w:rFonts w:ascii="Times New Roman" w:hAnsi="Times New Roman" w:cs="Times New Roman"/>
        </w:rPr>
      </w:pPr>
      <w:bookmarkStart w:id="143" w:name="_Toc11174"/>
      <w:bookmarkStart w:id="144" w:name="_Toc21741"/>
      <w:bookmarkStart w:id="145" w:name="_Toc185931318"/>
      <w:bookmarkStart w:id="146" w:name="_Toc10928"/>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节 住房保障</w:t>
      </w:r>
      <w:bookmarkEnd w:id="143"/>
      <w:bookmarkEnd w:id="144"/>
      <w:bookmarkEnd w:id="145"/>
      <w:bookmarkEnd w:id="146"/>
    </w:p>
    <w:p w14:paraId="407316F5">
      <w:pPr>
        <w:pStyle w:val="4"/>
        <w:numPr>
          <w:ilvl w:val="0"/>
          <w:numId w:val="25"/>
        </w:numPr>
        <w:ind w:left="420" w:firstLine="361" w:firstLineChars="113"/>
      </w:pPr>
      <w:r>
        <w:t>居住用地规模和布局</w:t>
      </w:r>
    </w:p>
    <w:p w14:paraId="1A4492F7">
      <w:pPr>
        <w:widowControl/>
        <w:adjustRightInd w:val="0"/>
        <w:snapToGrid w:val="0"/>
        <w:ind w:firstLine="640"/>
        <w:rPr>
          <w:rFonts w:cs="Times New Roman"/>
        </w:rPr>
      </w:pPr>
      <w:bookmarkStart w:id="147" w:name="_Hlk133418041"/>
      <w:r>
        <w:rPr>
          <w:rFonts w:hint="eastAsia" w:cs="Times New Roman"/>
        </w:rPr>
        <w:t>建立住宅用地供应时序调控机制，通过评估镇中心区人口变化情况、绿地及公共空间和公益性设施实施情况，结合人口规模、产业支撑、设施配套和住房入住水平等因素，明确2035年住房用地布局。规划至2035年，居住用地面积约</w:t>
      </w:r>
      <w:r>
        <w:rPr>
          <w:rFonts w:cs="Times New Roman"/>
        </w:rPr>
        <w:t>76.87</w:t>
      </w:r>
      <w:r>
        <w:rPr>
          <w:rFonts w:hint="eastAsia" w:cs="Times New Roman"/>
        </w:rPr>
        <w:t>公顷。新增住宅用地供应优先安排在公共空间和公益性设施实施情况较好的地区。</w:t>
      </w:r>
      <w:r>
        <w:rPr>
          <w:rFonts w:cs="Times New Roman"/>
        </w:rPr>
        <w:t>充分对接住房建设需求，严格落实供地调控机制，强化保障性住房建设和管理</w:t>
      </w:r>
      <w:bookmarkEnd w:id="147"/>
      <w:r>
        <w:rPr>
          <w:rFonts w:cs="Times New Roman"/>
        </w:rPr>
        <w:t>。</w:t>
      </w:r>
    </w:p>
    <w:p w14:paraId="53C6DF07">
      <w:pPr>
        <w:pStyle w:val="4"/>
        <w:numPr>
          <w:ilvl w:val="0"/>
          <w:numId w:val="1"/>
        </w:numPr>
        <w:ind w:left="860" w:firstLine="361" w:firstLineChars="113"/>
      </w:pPr>
      <w:r>
        <w:t>住房保障建设</w:t>
      </w:r>
    </w:p>
    <w:p w14:paraId="0F66EC75">
      <w:pPr>
        <w:widowControl/>
        <w:adjustRightInd w:val="0"/>
        <w:snapToGrid w:val="0"/>
        <w:ind w:firstLine="640"/>
        <w:rPr>
          <w:rFonts w:cs="Times New Roman"/>
        </w:rPr>
      </w:pPr>
      <w:bookmarkStart w:id="148" w:name="_Hlk131090464"/>
      <w:bookmarkStart w:id="149" w:name="_Hlk129180793"/>
      <w:r>
        <w:rPr>
          <w:rFonts w:cs="Times New Roman"/>
        </w:rPr>
        <w:t>实施镇区更新行动，加强社区治理，改造老旧小区，改善老旧住区公共服务设施、区域居住环境、建筑安全性能、房屋使用功能，推进基础设施提档升级。新建住宅项目要按照完整居住社区建设标准，配建居住社区基本公共服务设施、便民商业服务设施、市政配套基础设施和公共活动空间。</w:t>
      </w:r>
    </w:p>
    <w:bookmarkEnd w:id="148"/>
    <w:bookmarkEnd w:id="149"/>
    <w:p w14:paraId="7A8A00F8">
      <w:pPr>
        <w:pStyle w:val="3"/>
        <w:rPr>
          <w:rFonts w:ascii="Times New Roman" w:hAnsi="Times New Roman" w:cs="Times New Roman"/>
        </w:rPr>
      </w:pPr>
      <w:bookmarkStart w:id="150" w:name="_Toc21476"/>
      <w:bookmarkStart w:id="151" w:name="_Toc185931319"/>
      <w:bookmarkStart w:id="152" w:name="_Toc4965"/>
      <w:bookmarkStart w:id="153" w:name="_Toc21949"/>
      <w:r>
        <w:rPr>
          <w:rFonts w:ascii="Times New Roman" w:hAnsi="Times New Roman" w:cs="Times New Roman"/>
        </w:rPr>
        <w:t>第</w:t>
      </w:r>
      <w:r>
        <w:rPr>
          <w:rFonts w:hint="eastAsia" w:ascii="Times New Roman" w:hAnsi="Times New Roman" w:cs="Times New Roman"/>
        </w:rPr>
        <w:t>五</w:t>
      </w:r>
      <w:r>
        <w:rPr>
          <w:rFonts w:ascii="Times New Roman" w:hAnsi="Times New Roman" w:cs="Times New Roman"/>
        </w:rPr>
        <w:t>节 城镇更新</w:t>
      </w:r>
      <w:bookmarkEnd w:id="150"/>
      <w:bookmarkEnd w:id="151"/>
      <w:bookmarkEnd w:id="152"/>
      <w:bookmarkEnd w:id="153"/>
    </w:p>
    <w:p w14:paraId="1B541A57">
      <w:pPr>
        <w:pStyle w:val="4"/>
        <w:numPr>
          <w:ilvl w:val="0"/>
          <w:numId w:val="26"/>
        </w:numPr>
        <w:ind w:left="420" w:firstLine="361" w:firstLineChars="113"/>
      </w:pPr>
      <w:r>
        <w:t>推进存量用地盘活利用</w:t>
      </w:r>
    </w:p>
    <w:p w14:paraId="048332FB">
      <w:pPr>
        <w:widowControl/>
        <w:adjustRightInd w:val="0"/>
        <w:snapToGrid w:val="0"/>
        <w:ind w:firstLine="640"/>
        <w:rPr>
          <w:rFonts w:cs="Times New Roman"/>
        </w:rPr>
      </w:pPr>
      <w:bookmarkStart w:id="154" w:name="_Hlk131095086"/>
      <w:r>
        <w:rPr>
          <w:rFonts w:cs="Times New Roman"/>
        </w:rPr>
        <w:t>加大存量用地挖潜消化力度，积极推进低效用地减量，鼓励引导各项建设节约集约利用土地，全面提升土地利用效率。按照属地原则盘活空间，优先用于重点片区建设。推动利用存量建设用地补齐民生公共服务设施短板。严格落实建设用地“增存挂钩”机制</w:t>
      </w:r>
      <w:bookmarkEnd w:id="154"/>
      <w:r>
        <w:rPr>
          <w:rFonts w:cs="Times New Roman"/>
        </w:rPr>
        <w:t>。</w:t>
      </w:r>
    </w:p>
    <w:p w14:paraId="38478394">
      <w:pPr>
        <w:pStyle w:val="4"/>
        <w:numPr>
          <w:ilvl w:val="0"/>
          <w:numId w:val="1"/>
        </w:numPr>
        <w:ind w:left="860" w:firstLine="361" w:firstLineChars="113"/>
      </w:pPr>
      <w:r>
        <w:rPr>
          <w:rFonts w:hint="eastAsia"/>
        </w:rPr>
        <w:t>推进存量用地盘活利用</w:t>
      </w:r>
    </w:p>
    <w:p w14:paraId="2A8F87AE">
      <w:pPr>
        <w:widowControl/>
        <w:adjustRightInd w:val="0"/>
        <w:snapToGrid w:val="0"/>
        <w:ind w:firstLine="640"/>
        <w:rPr>
          <w:rFonts w:cs="Times New Roman"/>
          <w:color w:val="FF0000"/>
        </w:rPr>
      </w:pPr>
      <w:r>
        <w:rPr>
          <w:rFonts w:hint="eastAsia" w:cs="Times New Roman"/>
        </w:rPr>
        <w:t>加大存量用地挖潜消化力度，积极推进低效用地减量，鼓励引导各项城市建设节约集约利用土地，全面提升土地利用效率。按照属地原则盘活空间，优先用于重点片区建设。推动利用存量建设用地补齐民生公共服务设施短板。严格落实建设用地“增存挂钩”机制，大力推进批而未供和闲置土地处置，建立闲置土地处置台账，逐宗制定处置方案，确保完成省下达的盘活任务。</w:t>
      </w:r>
    </w:p>
    <w:p w14:paraId="5F54D98D">
      <w:pPr>
        <w:pStyle w:val="3"/>
        <w:rPr>
          <w:rFonts w:ascii="Times New Roman" w:hAnsi="Times New Roman" w:cs="Times New Roman"/>
        </w:rPr>
      </w:pPr>
      <w:bookmarkStart w:id="155" w:name="_Toc7318"/>
      <w:bookmarkStart w:id="156" w:name="_Toc185931320"/>
      <w:bookmarkStart w:id="157" w:name="_Toc6429"/>
      <w:bookmarkStart w:id="158" w:name="_Toc26030"/>
      <w:r>
        <w:rPr>
          <w:rFonts w:ascii="Times New Roman" w:hAnsi="Times New Roman" w:cs="Times New Roman"/>
        </w:rPr>
        <w:t>第</w:t>
      </w:r>
      <w:r>
        <w:rPr>
          <w:rFonts w:hint="eastAsia" w:ascii="Times New Roman" w:hAnsi="Times New Roman" w:cs="Times New Roman"/>
        </w:rPr>
        <w:t>六</w:t>
      </w:r>
      <w:r>
        <w:rPr>
          <w:rFonts w:ascii="Times New Roman" w:hAnsi="Times New Roman" w:cs="Times New Roman"/>
        </w:rPr>
        <w:t>节 “四线”管控</w:t>
      </w:r>
      <w:bookmarkEnd w:id="155"/>
      <w:bookmarkEnd w:id="156"/>
      <w:bookmarkEnd w:id="157"/>
      <w:bookmarkEnd w:id="158"/>
    </w:p>
    <w:p w14:paraId="552AF107">
      <w:pPr>
        <w:pStyle w:val="4"/>
        <w:numPr>
          <w:ilvl w:val="0"/>
          <w:numId w:val="27"/>
        </w:numPr>
        <w:ind w:left="420" w:firstLine="361" w:firstLineChars="113"/>
      </w:pPr>
      <w:r>
        <w:t>绿线管控</w:t>
      </w:r>
    </w:p>
    <w:p w14:paraId="6B6D8E94">
      <w:pPr>
        <w:ind w:firstLine="640"/>
        <w:rPr>
          <w:rFonts w:cs="Times New Roman"/>
          <w:u w:val="single"/>
        </w:rPr>
      </w:pPr>
      <w:r>
        <w:rPr>
          <w:rFonts w:cs="Times New Roman"/>
          <w:u w:val="single"/>
        </w:rPr>
        <w:t>将对居民生活有重要影响的重要公园绿地、防护绿地和广场用地等结构性城镇绿地和结构性生态绿地纳入绿线管控，绿线控制范围</w:t>
      </w:r>
      <w:r>
        <w:rPr>
          <w:rFonts w:hint="eastAsia" w:cs="Times New Roman"/>
          <w:u w:val="single"/>
        </w:rPr>
        <w:t>0.06</w:t>
      </w:r>
      <w:r>
        <w:rPr>
          <w:rFonts w:cs="Times New Roman"/>
          <w:u w:val="single"/>
        </w:rPr>
        <w:t>公顷。在总规模不减少前提下，绿线的具体边界、定位可在详细规划编制和实施中落实，绿线的调整应符合国家有关规定。按照《城市绿线管理办法》及相关空间管控要求，加强绿地保护与管理，严格管控侵占绿地的各项建设行为。</w:t>
      </w:r>
    </w:p>
    <w:p w14:paraId="6503B954">
      <w:pPr>
        <w:pStyle w:val="4"/>
        <w:numPr>
          <w:ilvl w:val="0"/>
          <w:numId w:val="1"/>
        </w:numPr>
        <w:ind w:left="860" w:firstLine="361" w:firstLineChars="113"/>
      </w:pPr>
      <w:r>
        <w:t>黄线管控</w:t>
      </w:r>
    </w:p>
    <w:p w14:paraId="5AE9A534">
      <w:pPr>
        <w:widowControl/>
        <w:adjustRightInd w:val="0"/>
        <w:snapToGrid w:val="0"/>
        <w:ind w:firstLine="640"/>
        <w:rPr>
          <w:rFonts w:cs="Times New Roman"/>
        </w:rPr>
      </w:pPr>
      <w:r>
        <w:rPr>
          <w:rFonts w:hint="eastAsia" w:cs="Times New Roman"/>
        </w:rPr>
        <w:t>华来镇中心区不涉及城市黄线。</w:t>
      </w:r>
    </w:p>
    <w:p w14:paraId="5073A5FD">
      <w:pPr>
        <w:pStyle w:val="4"/>
        <w:numPr>
          <w:ilvl w:val="0"/>
          <w:numId w:val="1"/>
        </w:numPr>
        <w:ind w:left="860" w:firstLine="361" w:firstLineChars="113"/>
      </w:pPr>
      <w:r>
        <w:t>蓝线管控</w:t>
      </w:r>
    </w:p>
    <w:p w14:paraId="7FB3BC8A">
      <w:pPr>
        <w:widowControl/>
        <w:adjustRightInd w:val="0"/>
        <w:snapToGrid w:val="0"/>
        <w:ind w:firstLine="640"/>
        <w:rPr>
          <w:rFonts w:cs="Times New Roman"/>
        </w:rPr>
      </w:pPr>
      <w:r>
        <w:rPr>
          <w:rFonts w:cs="Times New Roman"/>
        </w:rPr>
        <w:t>华来镇中心区不涉及城市蓝线。</w:t>
      </w:r>
    </w:p>
    <w:p w14:paraId="2D54EDF9">
      <w:pPr>
        <w:pStyle w:val="4"/>
        <w:numPr>
          <w:ilvl w:val="0"/>
          <w:numId w:val="1"/>
        </w:numPr>
        <w:ind w:left="860" w:firstLine="361" w:firstLineChars="113"/>
      </w:pPr>
      <w:r>
        <w:t>紫线管控</w:t>
      </w:r>
    </w:p>
    <w:p w14:paraId="2E3A3C67">
      <w:pPr>
        <w:widowControl/>
        <w:adjustRightInd w:val="0"/>
        <w:snapToGrid w:val="0"/>
        <w:ind w:firstLine="640"/>
        <w:rPr>
          <w:rFonts w:cs="Times New Roman"/>
        </w:rPr>
      </w:pPr>
      <w:r>
        <w:rPr>
          <w:rFonts w:cs="Times New Roman"/>
        </w:rPr>
        <w:t>华来镇中心区不涉及城市紫线。</w:t>
      </w:r>
    </w:p>
    <w:p w14:paraId="0B2C182F">
      <w:pPr>
        <w:pStyle w:val="4"/>
        <w:numPr>
          <w:ilvl w:val="0"/>
          <w:numId w:val="1"/>
        </w:numPr>
        <w:ind w:left="860" w:firstLine="361" w:firstLineChars="113"/>
      </w:pPr>
      <w:r>
        <w:rPr>
          <w:rFonts w:hint="eastAsia"/>
        </w:rPr>
        <w:t>开发强度管控</w:t>
      </w:r>
    </w:p>
    <w:p w14:paraId="35A8719B">
      <w:pPr>
        <w:ind w:firstLine="640"/>
      </w:pPr>
      <w:r>
        <w:rPr>
          <w:rFonts w:hint="eastAsia"/>
        </w:rPr>
        <w:t>镇中心区内建设用地总体以低强度和中低强度开发为主，建设强度划分为两级控制区，实行分区管制。</w:t>
      </w:r>
    </w:p>
    <w:p w14:paraId="1A1B196F">
      <w:pPr>
        <w:ind w:firstLine="640"/>
      </w:pPr>
      <w:r>
        <w:rPr>
          <w:rFonts w:hint="eastAsia"/>
        </w:rPr>
        <w:t>一级强度区：低强度开发地区，主要以中小型工业用地等为主，根据具体工业类型，参照《工业项目建设用地控制指标》执行，但整体容积率不低于0.8且不高于1.2.建筑高度不高于18米。</w:t>
      </w:r>
    </w:p>
    <w:p w14:paraId="1CAB6DCD">
      <w:pPr>
        <w:widowControl w:val="0"/>
        <w:adjustRightInd/>
        <w:snapToGrid/>
        <w:ind w:firstLine="640"/>
      </w:pPr>
      <w:r>
        <w:rPr>
          <w:rFonts w:hint="eastAsia"/>
        </w:rPr>
        <w:t>二级强度区：中低强度开发地区，主要以居住建筑、大体量公共服务建筑、商业建筑等为主，整体容积率1.0-2.0。建筑高度不高于20m。</w:t>
      </w:r>
    </w:p>
    <w:p w14:paraId="77A006F8">
      <w:pPr>
        <w:widowControl/>
        <w:adjustRightInd w:val="0"/>
        <w:snapToGrid w:val="0"/>
        <w:ind w:firstLine="640"/>
        <w:rPr>
          <w:rFonts w:cs="Times New Roman"/>
        </w:rPr>
      </w:pPr>
    </w:p>
    <w:p w14:paraId="51384C75">
      <w:pPr>
        <w:pStyle w:val="2"/>
        <w:spacing w:before="312" w:after="312"/>
        <w:rPr>
          <w:rFonts w:ascii="Times New Roman" w:hAnsi="Times New Roman" w:cs="Times New Roman"/>
        </w:rPr>
      </w:pPr>
      <w:bookmarkStart w:id="159" w:name="_Toc28074"/>
      <w:bookmarkStart w:id="160" w:name="_Toc25699"/>
      <w:bookmarkStart w:id="161" w:name="_Toc10914"/>
      <w:bookmarkStart w:id="162" w:name="_Toc185931321"/>
      <w:r>
        <w:rPr>
          <w:rFonts w:ascii="Times New Roman" w:hAnsi="Times New Roman" w:cs="Times New Roman"/>
        </w:rPr>
        <w:t>第八章 国土空间保障支撑体系</w:t>
      </w:r>
      <w:bookmarkEnd w:id="159"/>
      <w:bookmarkEnd w:id="160"/>
      <w:bookmarkEnd w:id="161"/>
      <w:bookmarkEnd w:id="162"/>
    </w:p>
    <w:p w14:paraId="77DA01C9">
      <w:pPr>
        <w:pStyle w:val="3"/>
        <w:rPr>
          <w:rFonts w:ascii="Times New Roman" w:hAnsi="Times New Roman" w:cs="Times New Roman"/>
        </w:rPr>
      </w:pPr>
      <w:bookmarkStart w:id="163" w:name="_Toc18172"/>
      <w:bookmarkStart w:id="164" w:name="_Toc3916"/>
      <w:bookmarkStart w:id="165" w:name="_Toc10098"/>
      <w:bookmarkStart w:id="166" w:name="_Toc185931322"/>
      <w:r>
        <w:rPr>
          <w:rFonts w:ascii="Times New Roman" w:hAnsi="Times New Roman" w:cs="Times New Roman"/>
        </w:rPr>
        <w:t>第一节 公共服务设施</w:t>
      </w:r>
      <w:bookmarkEnd w:id="163"/>
      <w:bookmarkEnd w:id="164"/>
      <w:bookmarkEnd w:id="165"/>
      <w:bookmarkEnd w:id="166"/>
    </w:p>
    <w:p w14:paraId="018381B2">
      <w:pPr>
        <w:pStyle w:val="4"/>
        <w:numPr>
          <w:ilvl w:val="0"/>
          <w:numId w:val="28"/>
        </w:numPr>
        <w:ind w:left="420" w:firstLine="361" w:firstLineChars="113"/>
      </w:pPr>
      <w:r>
        <w:t>完善城乡公共服务体系</w:t>
      </w:r>
    </w:p>
    <w:p w14:paraId="2D133EF1">
      <w:pPr>
        <w:widowControl/>
        <w:adjustRightInd w:val="0"/>
        <w:snapToGrid w:val="0"/>
        <w:ind w:firstLine="640"/>
        <w:rPr>
          <w:rFonts w:cs="Times New Roman"/>
        </w:rPr>
      </w:pPr>
      <w:r>
        <w:rPr>
          <w:rFonts w:cs="Times New Roman"/>
        </w:rPr>
        <w:t>建设“镇区—村级”两级公共服务设施体系，形成多层次、全覆盖、人性化的基本公共服务网络。乡级公共服务设施集中布置在镇区内，集中建设包括政府、中心幼儿园、文化站、卫生院、集贸市场、活动中心、文化广场等公共服务设施，建立设施完善的服务体系。村级公共服务设施应本着节约土地、充分利用存量土地、集中布局的原则，按照乡村振兴的总体要求，根据各村发展条件，主要建设村委会、卫生所、文化站、活动广场等服务设施，满足村民基本生活需求。对于旅游特色村，要重点配套和完善旅游住宿、旅游餐饮、旅游购物等旅游服务设施。</w:t>
      </w:r>
    </w:p>
    <w:p w14:paraId="56625CA5">
      <w:pPr>
        <w:ind w:firstLine="640"/>
        <w:rPr>
          <w:rFonts w:cs="Times New Roman"/>
        </w:rPr>
      </w:pPr>
      <w:r>
        <w:rPr>
          <w:rFonts w:cs="Times New Roman"/>
        </w:rPr>
        <w:t>构建乡村社区生活圈。综合考虑地形地貌、村民出行距离和生产生活习惯、交通条件等因素，按照慢行可达的空间范围，构建“行政村—自然村”两个层级的乡村社区生活圈，健全全民覆盖、普惠共享、城乡一体的基本公共服务体系。合理配置公共服务和</w:t>
      </w:r>
      <w:r>
        <w:rPr>
          <w:rFonts w:hint="eastAsia" w:cs="Times New Roman"/>
        </w:rPr>
        <w:t>生活</w:t>
      </w:r>
      <w:r>
        <w:rPr>
          <w:rFonts w:cs="Times New Roman"/>
        </w:rPr>
        <w:t>服务设施，满足居民行政便民、文体休闲、健康卫生、基础教育、养老关怀、商贸服务等需求。</w:t>
      </w:r>
    </w:p>
    <w:p w14:paraId="16891B05">
      <w:pPr>
        <w:ind w:firstLine="640"/>
        <w:rPr>
          <w:rFonts w:cs="Times New Roman"/>
        </w:rPr>
      </w:pPr>
      <w:r>
        <w:rPr>
          <w:rFonts w:hint="eastAsia" w:cs="Times New Roman"/>
        </w:rPr>
        <w:t>推动镇中心区公共设施布局的优化调整，提高新建地区的公共中心建设标准，扩大公共设施建设规模。完善华来镇 “十五分钟社区生活圈”建设，以生活圈为单元，补齐公共服务短板，重点优化配备基层的健康管理、为老服务、终身教育、文化活动、体育健身、商业服务、行政管理等各类基本公共服务设施。</w:t>
      </w:r>
    </w:p>
    <w:p w14:paraId="24DE4E5C">
      <w:pPr>
        <w:pStyle w:val="4"/>
        <w:numPr>
          <w:ilvl w:val="0"/>
          <w:numId w:val="1"/>
        </w:numPr>
        <w:ind w:left="860" w:firstLine="361" w:firstLineChars="113"/>
      </w:pPr>
      <w:r>
        <w:t>提升镇区公共服务设施水平</w:t>
      </w:r>
    </w:p>
    <w:p w14:paraId="7F70D418">
      <w:pPr>
        <w:ind w:firstLine="640"/>
        <w:rPr>
          <w:rFonts w:cs="Times New Roman"/>
        </w:rPr>
      </w:pPr>
      <w:r>
        <w:rPr>
          <w:rFonts w:hint="eastAsia" w:cs="Times New Roman"/>
        </w:rPr>
        <w:t>保留现状政府办公用地，包括乡政府以及派出所。推进保留九年一贯制学校改造。扩建现有镇中心区医院，提升镇中心区卫生医疗服务水平。</w:t>
      </w:r>
    </w:p>
    <w:p w14:paraId="26859129">
      <w:pPr>
        <w:ind w:firstLine="640"/>
        <w:rPr>
          <w:rFonts w:cs="Times New Roman"/>
        </w:rPr>
      </w:pPr>
      <w:r>
        <w:rPr>
          <w:rFonts w:hint="eastAsia" w:cs="Times New Roman"/>
        </w:rPr>
        <w:t>构建医疗卫生服务体系。提升医院服务能力和服务质量，预留应急医疗设施用地，加大村卫生室建设力度，有计划地加强慢性病、老年病以及妇女、儿童医疗服务等专科技术力量。</w:t>
      </w:r>
    </w:p>
    <w:p w14:paraId="6D1E8FDC">
      <w:pPr>
        <w:ind w:firstLine="640"/>
        <w:rPr>
          <w:rFonts w:cs="Times New Roman"/>
        </w:rPr>
      </w:pPr>
      <w:r>
        <w:rPr>
          <w:rFonts w:hint="eastAsia" w:cs="Times New Roman"/>
        </w:rPr>
        <w:t>提升社会福利及殡葬设施水平。提升社会保障水平，坚持普惠性、保基本、均等化、可持续、高标准建设社会保障服务设施。中心村结合村委会以及闲置校舍建设镇级、村级幸福院、老年人日间照料中心、老年活动室。一般村结合村委会以及闲置校舍综合设置老年人活动室、养老服务设施站点等，规划保留现状养老服务设施，推进综合服务中心提质升级改造工程，加强对农村留守儿童的关爱教育，提高婴幼儿照护服务。</w:t>
      </w:r>
    </w:p>
    <w:p w14:paraId="4881CD14">
      <w:pPr>
        <w:ind w:firstLine="640"/>
        <w:rPr>
          <w:rFonts w:cs="Times New Roman"/>
        </w:rPr>
      </w:pPr>
      <w:r>
        <w:rPr>
          <w:rFonts w:hint="eastAsia"/>
        </w:rPr>
        <w:t>殡葬设施。</w:t>
      </w:r>
      <w:r>
        <w:rPr>
          <w:rFonts w:hint="eastAsia" w:ascii="仿宋" w:hAnsi="仿宋" w:eastAsia="仿宋"/>
          <w:szCs w:val="32"/>
        </w:rPr>
        <w:t>规划建设华来镇公益性公墓，按照“因地制宜、量力而行、尽力而为”的原则推进农村公益性公墓建设，利用村集体建设用地、林地、荒地、废弃地、改造农村散坟集中安葬点等作为公益性公墓建设用地。</w:t>
      </w:r>
    </w:p>
    <w:p w14:paraId="36A5504F">
      <w:pPr>
        <w:pStyle w:val="3"/>
        <w:rPr>
          <w:rFonts w:ascii="Times New Roman" w:hAnsi="Times New Roman" w:cs="Times New Roman"/>
        </w:rPr>
      </w:pPr>
      <w:bookmarkStart w:id="167" w:name="_Toc185931323"/>
      <w:bookmarkStart w:id="168" w:name="_Toc16980"/>
      <w:bookmarkStart w:id="169" w:name="_Toc23848"/>
      <w:bookmarkStart w:id="170" w:name="_Toc24086"/>
      <w:r>
        <w:rPr>
          <w:rFonts w:ascii="Times New Roman" w:hAnsi="Times New Roman" w:cs="Times New Roman"/>
        </w:rPr>
        <w:t>第二节 综合交通设施</w:t>
      </w:r>
      <w:bookmarkEnd w:id="167"/>
      <w:bookmarkEnd w:id="168"/>
      <w:bookmarkEnd w:id="169"/>
      <w:bookmarkEnd w:id="170"/>
    </w:p>
    <w:p w14:paraId="7F06AA95">
      <w:pPr>
        <w:pStyle w:val="4"/>
        <w:numPr>
          <w:ilvl w:val="0"/>
          <w:numId w:val="29"/>
        </w:numPr>
        <w:ind w:left="420" w:firstLine="361" w:firstLineChars="113"/>
      </w:pPr>
      <w:r>
        <w:t>构建镇域综合交通网络体系</w:t>
      </w:r>
    </w:p>
    <w:p w14:paraId="3DCB05B3">
      <w:pPr>
        <w:widowControl/>
        <w:adjustRightInd w:val="0"/>
        <w:snapToGrid w:val="0"/>
        <w:ind w:firstLine="640"/>
        <w:rPr>
          <w:rFonts w:cs="Times New Roman"/>
        </w:rPr>
      </w:pPr>
      <w:r>
        <w:rPr>
          <w:rFonts w:cs="Times New Roman"/>
        </w:rPr>
        <w:t>华来镇域内的主要对外交通为</w:t>
      </w:r>
      <w:r>
        <w:rPr>
          <w:rFonts w:hint="eastAsia" w:cs="Times New Roman"/>
        </w:rPr>
        <w:t>永桓高速</w:t>
      </w:r>
      <w:r>
        <w:rPr>
          <w:rFonts w:cs="Times New Roman"/>
        </w:rPr>
        <w:t>、</w:t>
      </w:r>
      <w:r>
        <w:rPr>
          <w:rFonts w:hint="eastAsia" w:cs="Times New Roman"/>
        </w:rPr>
        <w:t>本桓高速、集本线</w:t>
      </w:r>
      <w:r>
        <w:rPr>
          <w:rFonts w:cs="Times New Roman"/>
        </w:rPr>
        <w:t>，</w:t>
      </w:r>
      <w:r>
        <w:rPr>
          <w:rFonts w:hint="eastAsia" w:cs="Times New Roman"/>
        </w:rPr>
        <w:t>永桓</w:t>
      </w:r>
      <w:r>
        <w:rPr>
          <w:rFonts w:cs="Times New Roman"/>
        </w:rPr>
        <w:t>高速在华来镇境内设有出入口和服务区，依托国、省级交通干线，加强华来镇与周边地区的交通联系，立足地区干线，完善区域交通网</w:t>
      </w:r>
      <w:ins w:id="3" w:author="杨起" w:date="2026-03-24T15:28:09Z">
        <w:r>
          <w:rPr>
            <w:rFonts w:hint="eastAsia" w:cs="Times New Roman"/>
            <w:lang w:val="en-US" w:eastAsia="zh-CN"/>
          </w:rPr>
          <w:t>络</w:t>
        </w:r>
      </w:ins>
      <w:del w:id="4" w:author="杨起" w:date="2026-03-24T15:28:07Z">
        <w:r>
          <w:rPr>
            <w:rFonts w:cs="Times New Roman"/>
          </w:rPr>
          <w:delText>路</w:delText>
        </w:r>
      </w:del>
      <w:r>
        <w:rPr>
          <w:rFonts w:cs="Times New Roman"/>
        </w:rPr>
        <w:t>。全面提高乡村道路等级，改善路面质量，形成以国、省干道为基本骨架、以放射状乡村级道路为支撑，联系各个村庄的较为完善的乡域公路交通网体系。</w:t>
      </w:r>
    </w:p>
    <w:p w14:paraId="30A66956">
      <w:pPr>
        <w:pStyle w:val="4"/>
        <w:numPr>
          <w:ilvl w:val="0"/>
          <w:numId w:val="1"/>
        </w:numPr>
        <w:ind w:left="860" w:firstLine="361" w:firstLineChars="113"/>
      </w:pPr>
      <w:r>
        <w:t>镇区交通网络优化</w:t>
      </w:r>
    </w:p>
    <w:p w14:paraId="7A0F4973">
      <w:pPr>
        <w:widowControl/>
        <w:adjustRightInd w:val="0"/>
        <w:snapToGrid w:val="0"/>
        <w:ind w:firstLine="640"/>
        <w:rPr>
          <w:rFonts w:cs="Times New Roman"/>
        </w:rPr>
      </w:pPr>
      <w:r>
        <w:rPr>
          <w:rFonts w:hint="eastAsia" w:cs="Times New Roman"/>
        </w:rPr>
        <w:t>构建过境通道和镇中心区内部道路系统相结合的路网模式。结合组团化的城镇布局，优化镇中心区道路网络结构，构建层次分明、级配合理、网络化、系统化的主次干道体系。以打通断头路、改善瓶颈路段为主，注重路网形态、间距与用地功能和土地使用强度相适应，差异化控制，充分发挥微循环交通组织，提升用地可达性。居住区遵从“小街区、密路网”理念，为慢行活动提供更多通道和便利，丰富街道公共活动空间，打造舒适宜居生活空间。</w:t>
      </w:r>
    </w:p>
    <w:p w14:paraId="3781BFB5">
      <w:pPr>
        <w:pStyle w:val="4"/>
        <w:numPr>
          <w:ilvl w:val="0"/>
          <w:numId w:val="1"/>
        </w:numPr>
        <w:ind w:left="860" w:firstLine="362"/>
      </w:pPr>
      <w:r>
        <w:rPr>
          <w:rFonts w:hint="eastAsia"/>
        </w:rPr>
        <w:t>路网结构</w:t>
      </w:r>
    </w:p>
    <w:p w14:paraId="07A45135">
      <w:pPr>
        <w:widowControl/>
        <w:adjustRightInd w:val="0"/>
        <w:snapToGrid w:val="0"/>
        <w:ind w:firstLine="640"/>
        <w:rPr>
          <w:rFonts w:cs="Times New Roman"/>
        </w:rPr>
      </w:pPr>
      <w:r>
        <w:rPr>
          <w:rFonts w:hint="eastAsia" w:cs="Times New Roman"/>
        </w:rPr>
        <w:t>镇中心区路网建设要满足车、人、公交和防灾救护等功能为主。通过合理功能布局、适度降低密度，合理有效的组织交通。避免大拆大建式的道路拓宽对镇中心区的整体影响；布置完善的道路设施，满足新建工业片区的交通需要。</w:t>
      </w:r>
    </w:p>
    <w:p w14:paraId="1CC17B9D">
      <w:pPr>
        <w:widowControl/>
        <w:adjustRightInd w:val="0"/>
        <w:snapToGrid w:val="0"/>
        <w:ind w:firstLine="640"/>
        <w:rPr>
          <w:rFonts w:cs="Times New Roman"/>
        </w:rPr>
      </w:pPr>
      <w:r>
        <w:rPr>
          <w:rFonts w:hint="eastAsia" w:cs="Times New Roman"/>
        </w:rPr>
        <w:t>根据现状道路特点和城镇开发边界，规划确定采用方格网状路网为布局模式，搭建镇中心区道路系统。镇中心区道路由主干路、次干路、支路构成。其中，主干路是各功能片区内部之间的联络干道，兼有集散交通和服务性功能。道路红线宽度8-16米，新建主干路道路红线宽度16米。次干路是干路与街坊内部道路的连接线，道路红线宽度6-10米，新建支路道路红线宽度10米。支路是对干路和次干路网络系统的完善和补充，道路红线宽度3.5-6米，新建支路道路红线宽度6米。镇中心区路道路断面均为一块板。</w:t>
      </w:r>
    </w:p>
    <w:p w14:paraId="0C38CEC0">
      <w:pPr>
        <w:widowControl/>
        <w:adjustRightInd w:val="0"/>
        <w:snapToGrid w:val="0"/>
        <w:ind w:firstLine="640"/>
        <w:rPr>
          <w:rFonts w:cs="Times New Roman"/>
          <w:u w:val="single"/>
        </w:rPr>
      </w:pPr>
      <w:r>
        <w:rPr>
          <w:rFonts w:cs="Times New Roman"/>
          <w:u w:val="single"/>
        </w:rPr>
        <w:t>沿道路两侧新建、扩建、改建的建筑物应当按照规定后退道路红线，退让红线距离不得小于5米。</w:t>
      </w:r>
      <w:r>
        <w:rPr>
          <w:rFonts w:cs="Times New Roman"/>
          <w:color w:val="000000"/>
          <w:u w:val="single"/>
        </w:rPr>
        <w:t>省道</w:t>
      </w:r>
      <w:r>
        <w:rPr>
          <w:rFonts w:hint="eastAsia" w:cs="Times New Roman"/>
          <w:color w:val="000000"/>
          <w:u w:val="single"/>
        </w:rPr>
        <w:t>S202傅桓线</w:t>
      </w:r>
      <w:r>
        <w:rPr>
          <w:rFonts w:cs="Times New Roman"/>
          <w:u w:val="single"/>
        </w:rPr>
        <w:t>按照《辽宁省公路管理条例》相关要求执行。</w:t>
      </w:r>
    </w:p>
    <w:p w14:paraId="7A6062A1">
      <w:pPr>
        <w:pStyle w:val="4"/>
        <w:numPr>
          <w:ilvl w:val="0"/>
          <w:numId w:val="1"/>
        </w:numPr>
        <w:ind w:left="860" w:firstLine="362"/>
      </w:pPr>
      <w:r>
        <w:rPr>
          <w:rFonts w:hint="eastAsia"/>
        </w:rPr>
        <w:t>增加静态交通设施供给</w:t>
      </w:r>
    </w:p>
    <w:p w14:paraId="5EB4B43F">
      <w:pPr>
        <w:widowControl/>
        <w:adjustRightInd/>
        <w:snapToGrid/>
        <w:ind w:firstLine="640"/>
        <w:jc w:val="left"/>
        <w:rPr>
          <w:rFonts w:cs="Times New Roman"/>
          <w:u w:val="single"/>
        </w:rPr>
      </w:pPr>
      <w:bookmarkStart w:id="171" w:name="_Hlk163048975"/>
      <w:r>
        <w:rPr>
          <w:rFonts w:hint="eastAsia" w:cs="Times New Roman"/>
          <w:lang w:bidi="ar"/>
        </w:rPr>
        <w:t>规划形成以配建停车为主，路外公共停车为辅，路内停车为补充的停车设施供给体系。规划设置多处社会停车场，适当增加学校、办公楼、商业等重点区域的公共停车设施，鼓励利用腾退土地及边角地建设立体停车设施。鼓励停车资源共享共用，提高停车设施的利用效率。积极在镇区建设电动车充电站（桩），以顺应新能源汽车大规模推广应用的趋势</w:t>
      </w:r>
      <w:bookmarkEnd w:id="171"/>
      <w:r>
        <w:rPr>
          <w:rFonts w:hint="eastAsia" w:cs="Times New Roman"/>
          <w:lang w:bidi="ar"/>
        </w:rPr>
        <w:t>。</w:t>
      </w:r>
    </w:p>
    <w:p w14:paraId="5573B52B">
      <w:pPr>
        <w:pStyle w:val="4"/>
        <w:numPr>
          <w:ilvl w:val="0"/>
          <w:numId w:val="1"/>
        </w:numPr>
        <w:ind w:left="860" w:firstLine="361" w:firstLineChars="113"/>
      </w:pPr>
      <w:r>
        <w:t>旅游交通设施规划</w:t>
      </w:r>
    </w:p>
    <w:p w14:paraId="52FA1C1F">
      <w:pPr>
        <w:widowControl/>
        <w:adjustRightInd w:val="0"/>
        <w:snapToGrid w:val="0"/>
        <w:ind w:firstLine="640"/>
        <w:rPr>
          <w:rFonts w:cs="Times New Roman"/>
        </w:rPr>
      </w:pPr>
      <w:r>
        <w:rPr>
          <w:rFonts w:cs="Times New Roman"/>
        </w:rPr>
        <w:t>旅游区内部交通规划分为车行道路体系和游步道体系。车行道路体系是旅游区快速进入性道路。分为主要道路和次要道路：主要道路是旅游区主要行车线路，也是沟通各组团的连接道路，设计路面宽7米，控制时速为20公里/时。次要道路是电瓶车车行道，电瓶车车行道设计路面宽4米。分别在各主要旅游景点设置停靠站。</w:t>
      </w:r>
    </w:p>
    <w:p w14:paraId="6015A182">
      <w:pPr>
        <w:widowControl/>
        <w:adjustRightInd w:val="0"/>
        <w:snapToGrid w:val="0"/>
        <w:ind w:firstLine="640"/>
        <w:rPr>
          <w:rFonts w:cs="Times New Roman"/>
        </w:rPr>
      </w:pPr>
      <w:r>
        <w:rPr>
          <w:rFonts w:cs="Times New Roman"/>
        </w:rPr>
        <w:t>重点加强旅游交通基础设施的建设，完善旅游道路交通，同时利用区域交通网络与旅游乡村、旅游景区实现有效衔接，实现交通换乘的便捷与快捷性，形成观光巴士线、绿道、景区道路等在内的旅游交通体系，配套建设自驾车营地、交通停靠站和自行车驿站等设施。有旅游等功能的村庄应根据旅游线路设置旅游车辆集中停放场地，并采用透水植草砖、木质挡墙等方法，突出其生态性；在旅游高峰季节，依托农家乐院落以及路面临时停车位解决停车问题。</w:t>
      </w:r>
    </w:p>
    <w:p w14:paraId="38E1E6AC">
      <w:pPr>
        <w:pStyle w:val="3"/>
        <w:rPr>
          <w:rFonts w:ascii="Times New Roman" w:hAnsi="Times New Roman" w:cs="Times New Roman"/>
        </w:rPr>
      </w:pPr>
      <w:bookmarkStart w:id="172" w:name="_Toc7652"/>
      <w:bookmarkStart w:id="173" w:name="_Toc4716"/>
      <w:bookmarkStart w:id="174" w:name="_Toc185931324"/>
      <w:bookmarkStart w:id="175" w:name="_Toc12125"/>
      <w:r>
        <w:rPr>
          <w:rFonts w:ascii="Times New Roman" w:hAnsi="Times New Roman" w:cs="Times New Roman"/>
        </w:rPr>
        <w:t>第三节 市政基础设施</w:t>
      </w:r>
      <w:bookmarkEnd w:id="172"/>
      <w:bookmarkEnd w:id="173"/>
      <w:bookmarkEnd w:id="174"/>
      <w:bookmarkEnd w:id="175"/>
    </w:p>
    <w:p w14:paraId="4D5B2448">
      <w:pPr>
        <w:pStyle w:val="4"/>
        <w:numPr>
          <w:ilvl w:val="0"/>
          <w:numId w:val="30"/>
        </w:numPr>
        <w:ind w:left="420" w:firstLine="361" w:firstLineChars="113"/>
      </w:pPr>
      <w:r>
        <w:t>给水</w:t>
      </w:r>
      <w:r>
        <w:rPr>
          <w:rFonts w:hint="eastAsia"/>
        </w:rPr>
        <w:t>设施</w:t>
      </w:r>
      <w:r>
        <w:t>规划</w:t>
      </w:r>
    </w:p>
    <w:p w14:paraId="3C8BC928">
      <w:pPr>
        <w:widowControl/>
        <w:adjustRightInd w:val="0"/>
        <w:snapToGrid w:val="0"/>
        <w:ind w:firstLine="640"/>
        <w:rPr>
          <w:rFonts w:cs="Times New Roman"/>
        </w:rPr>
      </w:pPr>
      <w:r>
        <w:rPr>
          <w:rFonts w:cs="Times New Roman"/>
        </w:rPr>
        <w:t>——全域给水工程规划</w:t>
      </w:r>
    </w:p>
    <w:p w14:paraId="59B0C5B1">
      <w:pPr>
        <w:widowControl/>
        <w:adjustRightInd w:val="0"/>
        <w:snapToGrid w:val="0"/>
        <w:ind w:firstLine="640"/>
        <w:rPr>
          <w:rFonts w:cs="Times New Roman"/>
        </w:rPr>
      </w:pPr>
      <w:r>
        <w:rPr>
          <w:rFonts w:cs="Times New Roman"/>
        </w:rPr>
        <w:t>规划全域普及自来水，</w:t>
      </w:r>
      <w:r>
        <w:rPr>
          <w:rFonts w:hint="eastAsia" w:cs="Times New Roman"/>
        </w:rPr>
        <w:t>保留镇区南部现状净水厂，提高供水系统供水保障率，供水普及率及水质达标率达到100%</w:t>
      </w:r>
      <w:r>
        <w:rPr>
          <w:rFonts w:cs="Times New Roman"/>
        </w:rPr>
        <w:t>。规划各村逐步淘汰旧的浅水井。采用变频供水，管网采用环状网和枝状网相结合的方式，沿各道路铺设，以保证供水安全可靠。</w:t>
      </w:r>
    </w:p>
    <w:p w14:paraId="6D9D000C">
      <w:pPr>
        <w:widowControl/>
        <w:adjustRightInd w:val="0"/>
        <w:snapToGrid w:val="0"/>
        <w:ind w:firstLine="640"/>
        <w:rPr>
          <w:rFonts w:cs="Times New Roman"/>
          <w:u w:val="single"/>
        </w:rPr>
      </w:pPr>
      <w:r>
        <w:rPr>
          <w:rFonts w:cs="Times New Roman"/>
          <w:u w:val="single"/>
        </w:rPr>
        <w:t>加强水源保护，水源井周边30米范围内，不得设置渗水厕所、化粪池、垃圾堆和废渣堆之类的构筑物。水源井周围应设置宽度不小于10米的绿化带。</w:t>
      </w:r>
    </w:p>
    <w:p w14:paraId="3B17CA04">
      <w:pPr>
        <w:widowControl/>
        <w:adjustRightInd w:val="0"/>
        <w:snapToGrid w:val="0"/>
        <w:ind w:firstLine="640"/>
        <w:rPr>
          <w:rFonts w:cs="Times New Roman"/>
        </w:rPr>
      </w:pPr>
      <w:r>
        <w:rPr>
          <w:rFonts w:cs="Times New Roman"/>
        </w:rPr>
        <w:t>严格保护地下水源，杜绝一切对地下水有影响的污染源，禁止一切对地下水水质不利的旅游活动。</w:t>
      </w:r>
    </w:p>
    <w:p w14:paraId="1AADC675">
      <w:pPr>
        <w:widowControl/>
        <w:adjustRightInd w:val="0"/>
        <w:snapToGrid w:val="0"/>
        <w:ind w:firstLine="640"/>
        <w:rPr>
          <w:rFonts w:cs="Times New Roman"/>
        </w:rPr>
      </w:pPr>
      <w:r>
        <w:rPr>
          <w:rFonts w:cs="Times New Roman"/>
        </w:rPr>
        <w:t>——镇区给水工程规划</w:t>
      </w:r>
    </w:p>
    <w:p w14:paraId="17A34987">
      <w:pPr>
        <w:widowControl/>
        <w:adjustRightInd w:val="0"/>
        <w:snapToGrid w:val="0"/>
        <w:ind w:firstLine="640"/>
        <w:rPr>
          <w:rFonts w:cs="Times New Roman"/>
        </w:rPr>
      </w:pPr>
      <w:bookmarkStart w:id="176" w:name="_Toc381737"/>
      <w:r>
        <w:rPr>
          <w:rFonts w:cs="Times New Roman"/>
        </w:rPr>
        <w:t>（1）用水量预测</w:t>
      </w:r>
    </w:p>
    <w:p w14:paraId="6E487D68">
      <w:pPr>
        <w:ind w:firstLine="640"/>
        <w:rPr>
          <w:rFonts w:cs="Times New Roman"/>
        </w:rPr>
      </w:pPr>
      <w:bookmarkStart w:id="177" w:name="_Hlk175230559"/>
      <w:r>
        <w:rPr>
          <w:rFonts w:hint="eastAsia" w:cs="Times New Roman"/>
        </w:rPr>
        <w:t>根据人均综合用水量指标，镇中心区人均综合用水量指标取180L/人·d，镇中心区外人均综合用水量指标取160 L/人·d。</w:t>
      </w:r>
    </w:p>
    <w:p w14:paraId="6DFFF5EA">
      <w:pPr>
        <w:ind w:firstLine="640"/>
        <w:rPr>
          <w:rFonts w:cs="Times New Roman"/>
        </w:rPr>
      </w:pPr>
      <w:r>
        <w:rPr>
          <w:rFonts w:hint="eastAsia" w:cs="Times New Roman"/>
        </w:rPr>
        <w:t>市政用水包括道路、绿化的浇洒用水和维修施工用水等，根据一般乡镇的实际情况，考虑华来镇中心区服务基地职能对基础设施配套的较高要求，取综合生活用水量的12.5%。</w:t>
      </w:r>
    </w:p>
    <w:p w14:paraId="0F8A0B05">
      <w:pPr>
        <w:ind w:firstLine="640"/>
        <w:rPr>
          <w:rFonts w:cs="Times New Roman"/>
        </w:rPr>
      </w:pPr>
      <w:r>
        <w:rPr>
          <w:rFonts w:hint="eastAsia" w:cs="Times New Roman"/>
        </w:rPr>
        <w:t>消防用水量，根据国家标准《建筑设计防火规范》（GBJ16-87）的相关规定，近期华来镇的人口规模为1.3万人，应按同一时间内2次火灾次数、一次灭火用水量45L/s计算；远期1.5万人，同一时间内2次火灾次数、一次灭火用水量55L/s，每次灭火2小时。</w:t>
      </w:r>
    </w:p>
    <w:p w14:paraId="3DD57FC8">
      <w:pPr>
        <w:ind w:firstLine="640"/>
        <w:rPr>
          <w:rFonts w:cs="Times New Roman"/>
        </w:rPr>
      </w:pPr>
      <w:r>
        <w:rPr>
          <w:rFonts w:hint="eastAsia" w:cs="Times New Roman"/>
        </w:rPr>
        <w:t>未预见用水量，参照一般乡镇的管网实际运营情况，取日常镇中心区用水量的10%。</w:t>
      </w:r>
      <w:r>
        <w:rPr>
          <w:rFonts w:cs="Times New Roman"/>
        </w:rPr>
        <w:t>规划华来镇居民生活人均用水标准：近期140L/（人·d），远期120L/（人</w:t>
      </w:r>
      <w:bookmarkStart w:id="178" w:name="_Hlk184047170"/>
      <w:r>
        <w:rPr>
          <w:rFonts w:cs="Times New Roman"/>
        </w:rPr>
        <w:t>·</w:t>
      </w:r>
      <w:bookmarkEnd w:id="178"/>
      <w:r>
        <w:rPr>
          <w:rFonts w:cs="Times New Roman"/>
        </w:rPr>
        <w:t>d），公共建筑用水量按居民生活用水量的25%计算。</w:t>
      </w:r>
    </w:p>
    <w:p w14:paraId="4293E1A4">
      <w:pPr>
        <w:ind w:firstLine="640"/>
        <w:rPr>
          <w:rFonts w:cs="Times New Roman"/>
        </w:rPr>
      </w:pPr>
      <w:ins w:id="5" w:author="杨起" w:date="2026-03-24T15:27:22Z">
        <w:r>
          <w:rPr>
            <w:rFonts w:hint="eastAsia" w:cs="Times New Roman"/>
            <w:lang w:val="en-US" w:eastAsia="zh-CN"/>
          </w:rPr>
          <w:t>根据</w:t>
        </w:r>
      </w:ins>
      <w:del w:id="6" w:author="杨起" w:date="2026-03-24T15:27:20Z">
        <w:r>
          <w:rPr>
            <w:rFonts w:cs="Times New Roman"/>
          </w:rPr>
          <w:delText>根椐</w:delText>
        </w:r>
      </w:del>
      <w:r>
        <w:rPr>
          <w:rFonts w:cs="Times New Roman"/>
        </w:rPr>
        <w:t>华来镇的现状与发展，考虑可持续发展战略对未来工业单产耗水量的限制，城镇工业用水量定额，近期取160t/（ha·d），远期取150t/（ha·d）。</w:t>
      </w:r>
    </w:p>
    <w:p w14:paraId="3E441D15">
      <w:pPr>
        <w:ind w:firstLine="640"/>
        <w:rPr>
          <w:rFonts w:cs="Times New Roman"/>
        </w:rPr>
      </w:pPr>
      <w:r>
        <w:rPr>
          <w:rFonts w:cs="Times New Roman"/>
        </w:rPr>
        <w:t>市政用水包括道路、绿化的浇洒用水和维修施工用水等，</w:t>
      </w:r>
      <w:ins w:id="7" w:author="杨起" w:date="2026-03-24T15:27:28Z">
        <w:r>
          <w:rPr>
            <w:rFonts w:hint="eastAsia" w:cs="Times New Roman"/>
            <w:lang w:val="en-US" w:eastAsia="zh-CN"/>
          </w:rPr>
          <w:t>根据</w:t>
        </w:r>
      </w:ins>
      <w:del w:id="8" w:author="杨起" w:date="2026-03-24T15:27:27Z">
        <w:r>
          <w:rPr>
            <w:rFonts w:cs="Times New Roman"/>
          </w:rPr>
          <w:delText>根椐</w:delText>
        </w:r>
      </w:del>
      <w:r>
        <w:rPr>
          <w:rFonts w:cs="Times New Roman"/>
        </w:rPr>
        <w:t>一般城镇的实际情况，取综合生活用水量的12.5%。</w:t>
      </w:r>
    </w:p>
    <w:p w14:paraId="561C7390">
      <w:pPr>
        <w:ind w:firstLine="640"/>
        <w:rPr>
          <w:rFonts w:cs="Times New Roman"/>
        </w:rPr>
      </w:pPr>
      <w:r>
        <w:rPr>
          <w:rFonts w:cs="Times New Roman"/>
        </w:rPr>
        <w:t>未预见用水量，参照一般城镇的管网实际运营情况，取日常城镇用水量的10%。</w:t>
      </w:r>
    </w:p>
    <w:bookmarkEnd w:id="177"/>
    <w:p w14:paraId="1C8A395A">
      <w:pPr>
        <w:widowControl/>
        <w:adjustRightInd w:val="0"/>
        <w:snapToGrid w:val="0"/>
        <w:ind w:firstLine="640"/>
        <w:rPr>
          <w:rFonts w:cs="Times New Roman"/>
        </w:rPr>
      </w:pPr>
      <w:r>
        <w:rPr>
          <w:rFonts w:cs="Times New Roman"/>
        </w:rPr>
        <w:t>（2）水源规划</w:t>
      </w:r>
    </w:p>
    <w:p w14:paraId="7DC6E398">
      <w:pPr>
        <w:ind w:firstLine="640"/>
        <w:rPr>
          <w:rFonts w:cs="Times New Roman"/>
        </w:rPr>
      </w:pPr>
      <w:r>
        <w:rPr>
          <w:rFonts w:cs="Times New Roman"/>
        </w:rPr>
        <w:t>规划华来镇自来水厂取水位置为现状水源点，</w:t>
      </w:r>
      <w:r>
        <w:rPr>
          <w:rFonts w:hint="eastAsia" w:cs="Times New Roman"/>
        </w:rPr>
        <w:t>位于现状水厂南侧</w:t>
      </w:r>
      <w:bookmarkStart w:id="179" w:name="_Hlk175230610"/>
      <w:r>
        <w:rPr>
          <w:rFonts w:cs="Times New Roman"/>
        </w:rPr>
        <w:t>。</w:t>
      </w:r>
      <w:bookmarkEnd w:id="179"/>
    </w:p>
    <w:p w14:paraId="52163D5F">
      <w:pPr>
        <w:ind w:firstLine="640"/>
        <w:rPr>
          <w:rFonts w:cs="Times New Roman"/>
        </w:rPr>
      </w:pPr>
      <w:r>
        <w:rPr>
          <w:rFonts w:cs="Times New Roman"/>
        </w:rPr>
        <w:t>饮用水源保护区的河流沿岸防护堤范围内，不得堆放废渣或设置有害化学品仓库或堆场，沿岸农田不得使用工业废水或生活污水灌溉，不得使用持久性或剧毒农药，并不得从事放牧。</w:t>
      </w:r>
    </w:p>
    <w:p w14:paraId="3A3D48CB">
      <w:pPr>
        <w:ind w:firstLine="640"/>
        <w:rPr>
          <w:rFonts w:cs="Times New Roman"/>
        </w:rPr>
      </w:pPr>
      <w:r>
        <w:rPr>
          <w:rFonts w:cs="Times New Roman"/>
        </w:rPr>
        <w:t>加强水源水质调查研究，建立水体污染监测网，加强对饮用水源的控制和保护。水源井周围设置10米防护绿带，一般水厂生产区域或单独设立的泵站、沉淀池和清水池外围不小于30米的范围内，不得设立生活居住区和修建禽畜饲养场、渗水厕所、渗水坑、堆放废渣或铺设污水管道， 并不得进行破坏深层土层的活动。</w:t>
      </w:r>
    </w:p>
    <w:p w14:paraId="5C1E6112">
      <w:pPr>
        <w:widowControl/>
        <w:adjustRightInd w:val="0"/>
        <w:snapToGrid w:val="0"/>
        <w:ind w:firstLine="640"/>
        <w:rPr>
          <w:rFonts w:cs="Times New Roman"/>
        </w:rPr>
      </w:pPr>
      <w:r>
        <w:rPr>
          <w:rFonts w:cs="Times New Roman"/>
        </w:rPr>
        <w:t>（3）管网规划</w:t>
      </w:r>
    </w:p>
    <w:p w14:paraId="147EDAC4">
      <w:pPr>
        <w:ind w:firstLine="640"/>
        <w:rPr>
          <w:rFonts w:cs="Times New Roman"/>
        </w:rPr>
      </w:pPr>
      <w:r>
        <w:rPr>
          <w:rFonts w:cs="Times New Roman"/>
        </w:rPr>
        <w:t>考虑远期发展需求，结合华来镇用地布局模式，市政给水管网需采用单水源统一供水系统，其管网采用环状加枝状的形式，沿主要道路布置环状连通管道，其它道路以枝状向各用地内延伸，向周边供水。全面提高供水系统管理能力和智能化水平，提升基础设施支撑能力。</w:t>
      </w:r>
    </w:p>
    <w:p w14:paraId="619B41E8">
      <w:pPr>
        <w:pStyle w:val="4"/>
        <w:numPr>
          <w:ilvl w:val="0"/>
          <w:numId w:val="1"/>
        </w:numPr>
        <w:ind w:left="860" w:firstLine="361" w:firstLineChars="113"/>
      </w:pPr>
      <w:r>
        <w:t>排水</w:t>
      </w:r>
      <w:r>
        <w:rPr>
          <w:rFonts w:hint="eastAsia"/>
        </w:rPr>
        <w:t>设施</w:t>
      </w:r>
      <w:bookmarkEnd w:id="176"/>
      <w:r>
        <w:t>规划</w:t>
      </w:r>
    </w:p>
    <w:p w14:paraId="1C3C3DAC">
      <w:pPr>
        <w:widowControl/>
        <w:adjustRightInd w:val="0"/>
        <w:snapToGrid w:val="0"/>
        <w:ind w:firstLine="640"/>
        <w:rPr>
          <w:rFonts w:cs="Times New Roman"/>
        </w:rPr>
      </w:pPr>
      <w:r>
        <w:rPr>
          <w:rFonts w:cs="Times New Roman"/>
        </w:rPr>
        <w:t>——全域排水</w:t>
      </w:r>
      <w:r>
        <w:rPr>
          <w:rFonts w:hint="eastAsia" w:cs="Times New Roman"/>
        </w:rPr>
        <w:t>设施</w:t>
      </w:r>
      <w:r>
        <w:rPr>
          <w:rFonts w:cs="Times New Roman"/>
        </w:rPr>
        <w:t>规划</w:t>
      </w:r>
    </w:p>
    <w:p w14:paraId="4E16A189">
      <w:pPr>
        <w:widowControl/>
        <w:adjustRightInd w:val="0"/>
        <w:snapToGrid w:val="0"/>
        <w:ind w:firstLine="640"/>
        <w:rPr>
          <w:rFonts w:cs="Times New Roman"/>
        </w:rPr>
      </w:pPr>
      <w:r>
        <w:rPr>
          <w:rFonts w:cs="Times New Roman"/>
        </w:rPr>
        <w:t>规划镇区采用雨、污分流制的排水体制；其他村根据实际情况采用分流制或截流式合流制。镇区污水采用污水处理厂集中处理，结合实际情况将周边范围内农村生活污水集中收集，统一接入邻近市政污水管网，纳入污水处理厂统一处理，提高污水处理设施运行效率。</w:t>
      </w:r>
    </w:p>
    <w:p w14:paraId="553FEB7F">
      <w:pPr>
        <w:widowControl/>
        <w:adjustRightInd w:val="0"/>
        <w:snapToGrid w:val="0"/>
        <w:ind w:firstLine="640"/>
        <w:rPr>
          <w:rFonts w:cs="Times New Roman"/>
        </w:rPr>
      </w:pPr>
      <w:r>
        <w:rPr>
          <w:rFonts w:cs="Times New Roman"/>
        </w:rPr>
        <w:t>其他各村污水采用地下式小型污水处理设备、人工湿地、生物滤池等不同的处理方式，化粪池或沼气池可作为污水的预处理措施，避免污水直接任意排放，处理后的水灌溉农田或排入水体。</w:t>
      </w:r>
    </w:p>
    <w:p w14:paraId="103A421A">
      <w:pPr>
        <w:widowControl/>
        <w:adjustRightInd w:val="0"/>
        <w:snapToGrid w:val="0"/>
        <w:ind w:firstLine="640"/>
        <w:rPr>
          <w:rFonts w:cs="Times New Roman"/>
        </w:rPr>
      </w:pPr>
      <w:r>
        <w:rPr>
          <w:rFonts w:cs="Times New Roman"/>
        </w:rPr>
        <w:t>依托农村户厕改造、农村人居环境改造、美丽乡村建设等项目，逐步改变原有农村污水无组织排放问题，实现村屯污水的有组织排放和定点处理。镇区雨水排放系统均采用沿路敷设枝状管道的方式，管网成树枝状，以重力流为主，就近排放至周边水体。各村庄雨水排放系统采用沿路敷设矩形管渠的方式，根据整个区域的地形、地势划分排水区域，就近排放至周边水体。</w:t>
      </w:r>
    </w:p>
    <w:p w14:paraId="2606A68E">
      <w:pPr>
        <w:widowControl/>
        <w:adjustRightInd w:val="0"/>
        <w:snapToGrid w:val="0"/>
        <w:ind w:firstLine="640"/>
        <w:rPr>
          <w:rFonts w:cs="Times New Roman"/>
        </w:rPr>
      </w:pPr>
      <w:r>
        <w:rPr>
          <w:rFonts w:cs="Times New Roman"/>
        </w:rPr>
        <w:t>——镇区污水</w:t>
      </w:r>
      <w:r>
        <w:rPr>
          <w:rFonts w:hint="eastAsia" w:cs="Times New Roman"/>
        </w:rPr>
        <w:t>设施</w:t>
      </w:r>
      <w:r>
        <w:rPr>
          <w:rFonts w:cs="Times New Roman"/>
        </w:rPr>
        <w:t>规划</w:t>
      </w:r>
    </w:p>
    <w:p w14:paraId="68305785">
      <w:pPr>
        <w:widowControl/>
        <w:adjustRightInd w:val="0"/>
        <w:snapToGrid w:val="0"/>
        <w:ind w:firstLine="640"/>
        <w:rPr>
          <w:rFonts w:cs="Times New Roman"/>
        </w:rPr>
      </w:pPr>
      <w:r>
        <w:rPr>
          <w:rFonts w:cs="Times New Roman"/>
        </w:rPr>
        <w:t>规划镇区的排水体制采用雨污分流制。新建排水管网全面采用分流制排水体制，全面实行雨污分流，已建合流制管线，逐步转为分流制排水系统</w:t>
      </w:r>
      <w:r>
        <w:rPr>
          <w:rFonts w:hint="eastAsia" w:cs="Times New Roman"/>
        </w:rPr>
        <w:t>。规划在镇中心区南部建设小型污水处理设施。</w:t>
      </w:r>
    </w:p>
    <w:p w14:paraId="219A8387">
      <w:pPr>
        <w:widowControl/>
        <w:adjustRightInd w:val="0"/>
        <w:snapToGrid w:val="0"/>
        <w:ind w:firstLine="640"/>
        <w:rPr>
          <w:rFonts w:cs="Times New Roman"/>
        </w:rPr>
      </w:pPr>
      <w:r>
        <w:rPr>
          <w:rFonts w:cs="Times New Roman"/>
        </w:rPr>
        <w:t>——镇区雨水</w:t>
      </w:r>
      <w:r>
        <w:rPr>
          <w:rFonts w:hint="eastAsia" w:cs="Times New Roman"/>
        </w:rPr>
        <w:t>设施</w:t>
      </w:r>
      <w:r>
        <w:rPr>
          <w:rFonts w:cs="Times New Roman"/>
        </w:rPr>
        <w:t>规划</w:t>
      </w:r>
    </w:p>
    <w:p w14:paraId="3FB48F56">
      <w:pPr>
        <w:widowControl/>
        <w:adjustRightInd w:val="0"/>
        <w:snapToGrid w:val="0"/>
        <w:ind w:firstLine="640"/>
        <w:rPr>
          <w:rFonts w:cs="Times New Roman"/>
        </w:rPr>
      </w:pPr>
      <w:r>
        <w:rPr>
          <w:rFonts w:cs="Times New Roman"/>
        </w:rPr>
        <w:t>雨水管道的布置为重力流管，结合规划道路布置，并根据实际设置雨水排出口。规划布置截洪沟，使山水就近排入河道，截洪沟尽量沿山体等高线布置，以降低工程土方量。充分采用海绵城市建设理念，通过“渗滞蓄净用排”等海绵技术的应用和快速有力雨水排放系统建设，降低内涝风险，保障镇区水体水质。</w:t>
      </w:r>
    </w:p>
    <w:p w14:paraId="0CEBA00D">
      <w:pPr>
        <w:widowControl/>
        <w:adjustRightInd w:val="0"/>
        <w:snapToGrid w:val="0"/>
        <w:ind w:firstLine="640"/>
        <w:rPr>
          <w:rFonts w:cs="Times New Roman"/>
        </w:rPr>
      </w:pPr>
      <w:r>
        <w:rPr>
          <w:rFonts w:cs="Times New Roman"/>
        </w:rPr>
        <w:t>基于GIS技术，建立覆盖全域的排水管线管理系统，实现城镇雨污水管道信息的数字化、可视化。</w:t>
      </w:r>
    </w:p>
    <w:p w14:paraId="4667C2FA">
      <w:pPr>
        <w:pStyle w:val="4"/>
        <w:numPr>
          <w:ilvl w:val="0"/>
          <w:numId w:val="1"/>
        </w:numPr>
        <w:ind w:left="860" w:firstLine="361" w:firstLineChars="113"/>
      </w:pPr>
      <w:r>
        <w:t>供电</w:t>
      </w:r>
      <w:r>
        <w:rPr>
          <w:rFonts w:hint="eastAsia"/>
        </w:rPr>
        <w:t>设施</w:t>
      </w:r>
      <w:r>
        <w:t>规划</w:t>
      </w:r>
    </w:p>
    <w:p w14:paraId="15AFC9C3">
      <w:pPr>
        <w:widowControl/>
        <w:adjustRightInd w:val="0"/>
        <w:snapToGrid w:val="0"/>
        <w:ind w:firstLine="640"/>
        <w:rPr>
          <w:rFonts w:cs="Times New Roman"/>
        </w:rPr>
      </w:pPr>
      <w:r>
        <w:rPr>
          <w:rFonts w:cs="Times New Roman"/>
        </w:rPr>
        <w:t>——全域供电</w:t>
      </w:r>
      <w:r>
        <w:rPr>
          <w:rFonts w:hint="eastAsia" w:cs="Times New Roman"/>
        </w:rPr>
        <w:t>设施</w:t>
      </w:r>
      <w:r>
        <w:rPr>
          <w:rFonts w:cs="Times New Roman"/>
        </w:rPr>
        <w:t>规划</w:t>
      </w:r>
    </w:p>
    <w:p w14:paraId="13DC089F">
      <w:pPr>
        <w:widowControl/>
        <w:adjustRightInd w:val="0"/>
        <w:snapToGrid w:val="0"/>
        <w:ind w:firstLine="640"/>
        <w:rPr>
          <w:rFonts w:cs="Times New Roman"/>
        </w:rPr>
      </w:pPr>
      <w:r>
        <w:rPr>
          <w:rFonts w:cs="Times New Roman"/>
        </w:rPr>
        <w:t>完善全域电网系统，华来镇电力网络布置按照中压和高压两个等级分别布设。按规划路径逐步调整架空配电线路，并应适当增加高度、缩小档距。</w:t>
      </w:r>
    </w:p>
    <w:p w14:paraId="7B4379E0">
      <w:pPr>
        <w:widowControl/>
        <w:adjustRightInd w:val="0"/>
        <w:snapToGrid w:val="0"/>
        <w:ind w:firstLine="640"/>
        <w:rPr>
          <w:rFonts w:cs="Times New Roman"/>
        </w:rPr>
      </w:pPr>
      <w:r>
        <w:rPr>
          <w:rFonts w:cs="Times New Roman"/>
        </w:rPr>
        <w:t>鼓励发展光伏、风电、生物质能发电等可再生新能源，积极发展智能电网。开展覆盖城乡的智能、高效、绿色变电站建设</w:t>
      </w:r>
    </w:p>
    <w:p w14:paraId="66A77677">
      <w:pPr>
        <w:widowControl/>
        <w:adjustRightInd w:val="0"/>
        <w:snapToGrid w:val="0"/>
        <w:ind w:firstLine="640"/>
        <w:rPr>
          <w:rFonts w:cs="Times New Roman"/>
        </w:rPr>
      </w:pPr>
      <w:r>
        <w:rPr>
          <w:rFonts w:cs="Times New Roman"/>
        </w:rPr>
        <w:t>——镇区供电</w:t>
      </w:r>
      <w:r>
        <w:rPr>
          <w:rFonts w:hint="eastAsia" w:cs="Times New Roman"/>
        </w:rPr>
        <w:t>设施</w:t>
      </w:r>
      <w:r>
        <w:rPr>
          <w:rFonts w:cs="Times New Roman"/>
        </w:rPr>
        <w:t>规划</w:t>
      </w:r>
    </w:p>
    <w:p w14:paraId="4178A93E">
      <w:pPr>
        <w:widowControl/>
        <w:adjustRightInd w:val="0"/>
        <w:snapToGrid w:val="0"/>
        <w:ind w:firstLine="640"/>
        <w:rPr>
          <w:rFonts w:cs="Times New Roman"/>
        </w:rPr>
      </w:pPr>
      <w:r>
        <w:rPr>
          <w:rFonts w:hint="eastAsia" w:cs="Times New Roman"/>
        </w:rPr>
        <w:t>按规划路径逐步调整架空配电线路，并应适当增加高度、缩小档距，以提高导线对地距离。</w:t>
      </w:r>
    </w:p>
    <w:p w14:paraId="4D018C95">
      <w:pPr>
        <w:widowControl/>
        <w:adjustRightInd w:val="0"/>
        <w:snapToGrid w:val="0"/>
        <w:ind w:firstLine="640"/>
        <w:rPr>
          <w:rFonts w:cs="Times New Roman"/>
        </w:rPr>
      </w:pPr>
      <w:r>
        <w:rPr>
          <w:rFonts w:hint="eastAsia" w:cs="Times New Roman"/>
        </w:rPr>
        <w:t>在镇中心区主要干道和景观路的配电线路要求埋地，控制城市景观。</w:t>
      </w:r>
    </w:p>
    <w:p w14:paraId="4F7B20E5">
      <w:pPr>
        <w:widowControl/>
        <w:adjustRightInd w:val="0"/>
        <w:snapToGrid w:val="0"/>
        <w:ind w:firstLine="640"/>
        <w:rPr>
          <w:rFonts w:cs="Times New Roman"/>
        </w:rPr>
      </w:pPr>
      <w:r>
        <w:rPr>
          <w:rFonts w:hint="eastAsia" w:cs="Times New Roman"/>
        </w:rPr>
        <w:t>10KV配电网实现“手拉手”结线，开环运行达到互供互带接线方式。原则上电力线路应设在路的东侧及南侧。</w:t>
      </w:r>
    </w:p>
    <w:p w14:paraId="41A9D931">
      <w:pPr>
        <w:pStyle w:val="4"/>
        <w:numPr>
          <w:ilvl w:val="0"/>
          <w:numId w:val="1"/>
        </w:numPr>
        <w:ind w:left="860" w:firstLine="361" w:firstLineChars="113"/>
      </w:pPr>
      <w:bookmarkStart w:id="180" w:name="_Toc381734"/>
      <w:bookmarkStart w:id="181" w:name="_Toc381733"/>
      <w:r>
        <w:t>通信工程规划</w:t>
      </w:r>
    </w:p>
    <w:p w14:paraId="2BFE0B23">
      <w:pPr>
        <w:ind w:firstLine="640"/>
        <w:rPr>
          <w:rFonts w:cs="Times New Roman"/>
        </w:rPr>
      </w:pPr>
      <w:r>
        <w:rPr>
          <w:rFonts w:cs="Times New Roman"/>
        </w:rPr>
        <w:t>——推进通信基础设施建设落实</w:t>
      </w:r>
    </w:p>
    <w:p w14:paraId="4BFE0B7D">
      <w:pPr>
        <w:ind w:firstLine="640"/>
        <w:rPr>
          <w:rFonts w:cs="Times New Roman"/>
        </w:rPr>
      </w:pPr>
      <w:r>
        <w:rPr>
          <w:rFonts w:cs="Times New Roman"/>
        </w:rPr>
        <w:t>充分发挥规划引领作用，推动5G、千兆光纤等“双千兆”网络基础设施、机房及管线、电力等配套设施建设，5G基站站址、机房及通信管线等设施位置和配建要求在国土空间控制性详细规划中予以明确，将其纳入国土空间规划“一张图”实施监督信息系统，并列入土地出让的规划条件。</w:t>
      </w:r>
    </w:p>
    <w:p w14:paraId="6C0BA914">
      <w:pPr>
        <w:ind w:firstLine="640"/>
        <w:rPr>
          <w:rFonts w:cs="Times New Roman"/>
        </w:rPr>
      </w:pPr>
      <w:r>
        <w:rPr>
          <w:rFonts w:cs="Times New Roman"/>
        </w:rPr>
        <w:t>——全域通信</w:t>
      </w:r>
      <w:r>
        <w:rPr>
          <w:rFonts w:hint="eastAsia" w:cs="Times New Roman"/>
        </w:rPr>
        <w:t>设施</w:t>
      </w:r>
      <w:r>
        <w:rPr>
          <w:rFonts w:cs="Times New Roman"/>
        </w:rPr>
        <w:t>规划</w:t>
      </w:r>
    </w:p>
    <w:p w14:paraId="166248F9">
      <w:pPr>
        <w:ind w:firstLine="640"/>
        <w:rPr>
          <w:rFonts w:cs="Times New Roman"/>
        </w:rPr>
      </w:pPr>
      <w:bookmarkStart w:id="182" w:name="_Hlk184056130"/>
      <w:r>
        <w:rPr>
          <w:rFonts w:cs="Times New Roman"/>
        </w:rPr>
        <w:t>大力发展移动通讯并逐步建立移动通讯光缆和基站系统，进一步加强和完善全域移动通信设备基站，减小通信盲区。改善农村信息条件，加快光纤到村，促进农村地区信息化。镇区保留现状电信支局及邮政支局，中心村设置邮政代办网点，开展综合服务业务，加快邮政储蓄业务全域覆盖。</w:t>
      </w:r>
    </w:p>
    <w:p w14:paraId="539630BA">
      <w:pPr>
        <w:ind w:firstLine="640"/>
        <w:rPr>
          <w:rFonts w:cs="Times New Roman"/>
        </w:rPr>
      </w:pPr>
      <w:r>
        <w:rPr>
          <w:rFonts w:cs="Times New Roman"/>
        </w:rPr>
        <w:t>规划通信线路沿主要道路采用架空敷设，规划考虑广播、有线电视、电话、光纤，村邮政等通信设施。</w:t>
      </w:r>
    </w:p>
    <w:p w14:paraId="43D83938">
      <w:pPr>
        <w:ind w:firstLine="640"/>
        <w:rPr>
          <w:rFonts w:cs="Times New Roman"/>
        </w:rPr>
      </w:pPr>
      <w:r>
        <w:rPr>
          <w:rFonts w:cs="Times New Roman"/>
        </w:rPr>
        <w:t>——镇区通信</w:t>
      </w:r>
      <w:r>
        <w:rPr>
          <w:rFonts w:hint="eastAsia" w:cs="Times New Roman"/>
        </w:rPr>
        <w:t>设施</w:t>
      </w:r>
      <w:r>
        <w:rPr>
          <w:rFonts w:cs="Times New Roman"/>
        </w:rPr>
        <w:t>规划</w:t>
      </w:r>
    </w:p>
    <w:p w14:paraId="5917F787">
      <w:pPr>
        <w:ind w:firstLine="640"/>
        <w:rPr>
          <w:rFonts w:cs="Times New Roman"/>
        </w:rPr>
      </w:pPr>
      <w:r>
        <w:rPr>
          <w:rFonts w:hint="eastAsia" w:cs="Times New Roman"/>
        </w:rPr>
        <w:t>中心镇区基本实现了建成道路的通信管道全覆盖。新建、扩建道路应按照主干路16—24孔、次干路8—16孔、支路4—12孔的标准新建通信管道，干线管道按照6—8孔进行建设。新建局房应结合局房定位、布局、容量以及覆盖用户规模，设1—3个出局管道路由。</w:t>
      </w:r>
    </w:p>
    <w:bookmarkEnd w:id="182"/>
    <w:p w14:paraId="077FDC40">
      <w:pPr>
        <w:pStyle w:val="4"/>
        <w:numPr>
          <w:ilvl w:val="0"/>
          <w:numId w:val="1"/>
        </w:numPr>
        <w:ind w:left="860" w:firstLine="361" w:firstLineChars="113"/>
      </w:pPr>
      <w:r>
        <w:t>燃气</w:t>
      </w:r>
      <w:r>
        <w:rPr>
          <w:rFonts w:hint="eastAsia"/>
        </w:rPr>
        <w:t>设施</w:t>
      </w:r>
      <w:bookmarkEnd w:id="180"/>
      <w:r>
        <w:t>规划</w:t>
      </w:r>
    </w:p>
    <w:p w14:paraId="4F312D6F">
      <w:pPr>
        <w:widowControl/>
        <w:adjustRightInd w:val="0"/>
        <w:snapToGrid w:val="0"/>
        <w:ind w:firstLine="640"/>
        <w:rPr>
          <w:rFonts w:cs="Times New Roman"/>
        </w:rPr>
      </w:pPr>
      <w:r>
        <w:rPr>
          <w:rFonts w:cs="Times New Roman"/>
        </w:rPr>
        <w:t>规划镇区供气气源选择以</w:t>
      </w:r>
      <w:r>
        <w:rPr>
          <w:rFonts w:hint="eastAsia" w:cs="Times New Roman"/>
        </w:rPr>
        <w:t>罐装</w:t>
      </w:r>
      <w:r>
        <w:rPr>
          <w:rFonts w:cs="Times New Roman"/>
        </w:rPr>
        <w:t>液化气为主，以电能为辅助能源；各村仍继续采用燃烧罐装液化气为主，以电能为辅助能源。远期开展气化乡村工程，逐步实现燃气管网铺设和通气工作，逐步替代煤、柴等污染能源。同时，考虑与其他形式的清洁能源相结合，如太阳能、风能、沼气等，建设节约型社会，提高能源的使用效率。</w:t>
      </w:r>
    </w:p>
    <w:p w14:paraId="2CA8DF48">
      <w:pPr>
        <w:pStyle w:val="4"/>
        <w:numPr>
          <w:ilvl w:val="0"/>
          <w:numId w:val="1"/>
        </w:numPr>
        <w:ind w:left="860" w:firstLine="361" w:firstLineChars="113"/>
      </w:pPr>
      <w:r>
        <w:t>供热</w:t>
      </w:r>
      <w:r>
        <w:rPr>
          <w:rFonts w:hint="eastAsia"/>
        </w:rPr>
        <w:t>设施</w:t>
      </w:r>
      <w:bookmarkEnd w:id="181"/>
      <w:r>
        <w:t>规划</w:t>
      </w:r>
    </w:p>
    <w:p w14:paraId="658A8C78">
      <w:pPr>
        <w:widowControl/>
        <w:adjustRightInd w:val="0"/>
        <w:snapToGrid w:val="0"/>
        <w:ind w:firstLine="640"/>
        <w:rPr>
          <w:rFonts w:cs="Times New Roman"/>
          <w:color w:val="000000"/>
        </w:rPr>
      </w:pPr>
      <w:r>
        <w:rPr>
          <w:rFonts w:hint="eastAsia" w:cs="Times New Roman"/>
          <w:color w:val="000000"/>
        </w:rPr>
        <w:t>规划镇区设置集中供热热源一处。热网为闭式双管循环系统。热力管网采用地下敷设。热力管道采用直缝焊接钢管。热力管道保温采用当地习惯作法或采用预制保温管（保温层为硬质聚氨酯发泡或改性脲酸硬质泡沫，保护层为高密度聚乙烯管）。</w:t>
      </w:r>
      <w:r>
        <w:rPr>
          <w:rFonts w:cs="Times New Roman"/>
          <w:color w:val="000000"/>
        </w:rPr>
        <w:t>供热管网布置以枝状管网为主，中压主干管尽量避免敷设在主干路上，同时尽量避免穿越公路、其他大型建筑物，必须穿越时要有一定的防护措施。</w:t>
      </w:r>
    </w:p>
    <w:p w14:paraId="0F3BC418">
      <w:pPr>
        <w:widowControl/>
        <w:adjustRightInd w:val="0"/>
        <w:snapToGrid w:val="0"/>
        <w:ind w:firstLine="640"/>
        <w:rPr>
          <w:rFonts w:cs="Times New Roman"/>
          <w:color w:val="000000"/>
        </w:rPr>
      </w:pPr>
      <w:r>
        <w:rPr>
          <w:rFonts w:cs="Times New Roman"/>
          <w:color w:val="000000"/>
        </w:rPr>
        <w:t>其余各村近期以分散供热为主，远期实现燃气供热。</w:t>
      </w:r>
    </w:p>
    <w:p w14:paraId="02DE80CC">
      <w:pPr>
        <w:pStyle w:val="4"/>
        <w:numPr>
          <w:ilvl w:val="0"/>
          <w:numId w:val="1"/>
        </w:numPr>
        <w:ind w:left="860" w:firstLine="361" w:firstLineChars="113"/>
      </w:pPr>
      <w:bookmarkStart w:id="183" w:name="_Toc381738"/>
      <w:r>
        <w:t>环卫</w:t>
      </w:r>
      <w:bookmarkEnd w:id="183"/>
      <w:r>
        <w:rPr>
          <w:rFonts w:hint="eastAsia"/>
        </w:rPr>
        <w:t>设施</w:t>
      </w:r>
      <w:r>
        <w:t>规划</w:t>
      </w:r>
    </w:p>
    <w:p w14:paraId="2CFFCECE">
      <w:pPr>
        <w:ind w:firstLine="640"/>
        <w:rPr>
          <w:rFonts w:cs="Times New Roman"/>
        </w:rPr>
      </w:pPr>
      <w:r>
        <w:rPr>
          <w:rFonts w:cs="Times New Roman"/>
        </w:rPr>
        <w:t>规划华来镇采用“户分类、村收集、乡运转、县处理”的模式，实现环境卫生城乡一体化布局。</w:t>
      </w:r>
      <w:bookmarkStart w:id="184" w:name="_Hlk184560998"/>
      <w:r>
        <w:rPr>
          <w:rFonts w:cs="Times New Roman"/>
        </w:rPr>
        <w:t>华来镇的生活垃圾统一运至县城生活垃圾卫生填埋场进行卫生填埋处理。</w:t>
      </w:r>
      <w:bookmarkEnd w:id="184"/>
    </w:p>
    <w:p w14:paraId="6CAD6D42">
      <w:pPr>
        <w:ind w:firstLine="640"/>
        <w:rPr>
          <w:rFonts w:cs="Times New Roman"/>
        </w:rPr>
      </w:pPr>
      <w:r>
        <w:rPr>
          <w:rFonts w:cs="Times New Roman"/>
        </w:rPr>
        <w:t>有毒有害垃圾实行定期或预约收运，根据危险废物类别交由有相应危废经营许可资质的单位进行无害化处置。危险废物焚烧处理设施应满足《危险废物焚烧污染控制标准》（GB18484-2020）及修改单要求，危险废物安全处置率100%。</w:t>
      </w:r>
    </w:p>
    <w:p w14:paraId="54456533">
      <w:pPr>
        <w:ind w:firstLine="640"/>
        <w:rPr>
          <w:rFonts w:cs="Times New Roman"/>
        </w:rPr>
      </w:pPr>
      <w:r>
        <w:rPr>
          <w:rFonts w:cs="Times New Roman"/>
        </w:rPr>
        <w:t>全方位打造“智慧环卫”，实现日常办公“网络化”，机械作业“信息化”，保洁质量“透明化”，应急迎检“快捷化”，信息功能“共享化”。</w:t>
      </w:r>
    </w:p>
    <w:p w14:paraId="054848D9">
      <w:pPr>
        <w:pStyle w:val="3"/>
        <w:rPr>
          <w:rFonts w:ascii="Times New Roman" w:hAnsi="Times New Roman" w:cs="Times New Roman"/>
        </w:rPr>
      </w:pPr>
      <w:bookmarkStart w:id="185" w:name="_Toc185931325"/>
      <w:bookmarkStart w:id="186" w:name="_Toc9887"/>
      <w:bookmarkStart w:id="187" w:name="_Toc12464"/>
      <w:bookmarkStart w:id="188" w:name="_Toc15729"/>
      <w:r>
        <w:rPr>
          <w:rFonts w:ascii="Times New Roman" w:hAnsi="Times New Roman" w:cs="Times New Roman"/>
        </w:rPr>
        <w:t>第四节 防灾减灾设施</w:t>
      </w:r>
      <w:bookmarkEnd w:id="185"/>
      <w:bookmarkEnd w:id="186"/>
      <w:bookmarkEnd w:id="187"/>
      <w:bookmarkEnd w:id="188"/>
    </w:p>
    <w:p w14:paraId="411F4EDA">
      <w:pPr>
        <w:pStyle w:val="4"/>
        <w:numPr>
          <w:ilvl w:val="0"/>
          <w:numId w:val="31"/>
        </w:numPr>
        <w:ind w:left="420" w:firstLine="641" w:firstLineChars="0"/>
      </w:pPr>
      <w:r>
        <w:t>建设现代化综合防灾减灾体系</w:t>
      </w:r>
    </w:p>
    <w:p w14:paraId="6920C680">
      <w:pPr>
        <w:ind w:firstLine="640"/>
        <w:rPr>
          <w:rFonts w:cs="Times New Roman"/>
        </w:rPr>
      </w:pPr>
      <w:r>
        <w:rPr>
          <w:rFonts w:cs="Times New Roman"/>
        </w:rPr>
        <w:t>提升应对重大公共突发事件能力和水平，加强组织领导机构建设，统一组织、协调、指挥城市防灾减灾工作。健全城乡生命线工程系统，统筹生态网络、防灾网络和生命线系统、开敞空间系统、防灾系统。推进“平灾结合、平急两用”公共基础设施建设，“平时”用作旅游、康养、休闲等，“急时”可转换为应急场所，满足应急避难、临时安置、物资保障等需求。完善综合防灾减灾规划和应急预案，保障应急物资储备与供应，全面提高救灾专业队伍的减灾救援能力。</w:t>
      </w:r>
    </w:p>
    <w:p w14:paraId="296C1D61">
      <w:pPr>
        <w:ind w:firstLine="640"/>
        <w:rPr>
          <w:rFonts w:cs="Times New Roman"/>
        </w:rPr>
      </w:pPr>
      <w:r>
        <w:rPr>
          <w:rFonts w:cs="Times New Roman"/>
        </w:rPr>
        <w:t>提升生命线廊道的综合抗灾能力。基本构建以水、电、气、热、交通等为重点，覆盖全域范围的城镇生命线安全工程主框架，实现生命线安全工程全域覆盖，显著提升安全风险管控能力。</w:t>
      </w:r>
    </w:p>
    <w:p w14:paraId="33AFD5E6">
      <w:pPr>
        <w:pStyle w:val="4"/>
        <w:numPr>
          <w:ilvl w:val="0"/>
          <w:numId w:val="1"/>
        </w:numPr>
        <w:ind w:left="860" w:firstLine="361" w:firstLineChars="113"/>
      </w:pPr>
      <w:r>
        <w:t>应急避难场所</w:t>
      </w:r>
    </w:p>
    <w:p w14:paraId="7BADB337">
      <w:pPr>
        <w:ind w:firstLine="640"/>
        <w:rPr>
          <w:rFonts w:cs="Times New Roman"/>
        </w:rPr>
      </w:pPr>
      <w:r>
        <w:rPr>
          <w:rFonts w:cs="Times New Roman"/>
        </w:rPr>
        <w:t>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2025年底前，全域初步形成乡镇级、村（社区）级应急避难场所布局体系，乡村应急避难场所覆盖范围进一步扩大。2035年底前，实现满足城乡人口避难需求的应急避难场所全覆盖。应急避难场所建设要达到国家《防灾避难场所设计规范》等有关规范、标准要求。2035年，</w:t>
      </w:r>
      <w:r>
        <w:rPr>
          <w:rFonts w:cs="Times New Roman"/>
          <w:u w:val="single"/>
        </w:rPr>
        <w:t>镇区人均应急避难场所面积不低于1.5平方米。</w:t>
      </w:r>
      <w:r>
        <w:rPr>
          <w:rFonts w:cs="Times New Roman"/>
        </w:rPr>
        <w:t>按照国家相关标准要求提升避难场所建设水平，提高容灾避险能力，80%以上的应急避难场所配齐配全设备设施，整体提升容灾避险水平。</w:t>
      </w:r>
    </w:p>
    <w:p w14:paraId="51C13CF1">
      <w:pPr>
        <w:pStyle w:val="4"/>
        <w:numPr>
          <w:ilvl w:val="0"/>
          <w:numId w:val="1"/>
        </w:numPr>
        <w:ind w:left="860" w:firstLine="361" w:firstLineChars="113"/>
      </w:pPr>
      <w:r>
        <w:t>防洪规划</w:t>
      </w:r>
    </w:p>
    <w:p w14:paraId="7D4BBC0B">
      <w:pPr>
        <w:widowControl/>
        <w:adjustRightInd w:val="0"/>
        <w:snapToGrid w:val="0"/>
        <w:ind w:firstLine="640"/>
        <w:rPr>
          <w:rFonts w:cs="Times New Roman"/>
        </w:rPr>
      </w:pPr>
      <w:bookmarkStart w:id="189" w:name="_Hlk131263270"/>
      <w:r>
        <w:rPr>
          <w:rFonts w:cs="Times New Roman"/>
        </w:rPr>
        <w:t>贯彻“全面规划、综合治理、防治结合、以防为主”的方针，高标准建设防洪系统。</w:t>
      </w:r>
      <w:r>
        <w:rPr>
          <w:rFonts w:hint="eastAsia" w:cs="Times New Roman"/>
          <w:u w:val="single"/>
        </w:rPr>
        <w:t>富沙河</w:t>
      </w:r>
      <w:r>
        <w:rPr>
          <w:rFonts w:cs="Times New Roman"/>
          <w:u w:val="single"/>
        </w:rPr>
        <w:t>按照</w:t>
      </w:r>
      <w:r>
        <w:rPr>
          <w:rFonts w:hint="eastAsia" w:cs="Times New Roman"/>
          <w:u w:val="single"/>
        </w:rPr>
        <w:t>20</w:t>
      </w:r>
      <w:r>
        <w:rPr>
          <w:rFonts w:cs="Times New Roman"/>
          <w:u w:val="single"/>
        </w:rPr>
        <w:t>年一遇防洪标准设防，治理山洪沟防洪标准为10年一遇，其他河流防洪标准为10年一遇。</w:t>
      </w:r>
      <w:r>
        <w:rPr>
          <w:rFonts w:cs="Times New Roman"/>
        </w:rPr>
        <w:t>加强堤防建设，建立安全的防洪排涝体系。</w:t>
      </w:r>
    </w:p>
    <w:bookmarkEnd w:id="189"/>
    <w:p w14:paraId="5D79F1AC">
      <w:pPr>
        <w:widowControl/>
        <w:adjustRightInd w:val="0"/>
        <w:snapToGrid w:val="0"/>
        <w:ind w:firstLine="640"/>
        <w:rPr>
          <w:rFonts w:cs="Times New Roman"/>
        </w:rPr>
      </w:pPr>
      <w:bookmarkStart w:id="190" w:name="_Hlk131263279"/>
      <w:r>
        <w:rPr>
          <w:rFonts w:cs="Times New Roman"/>
        </w:rPr>
        <w:t>河道整治与改善环境相结合，通过河道整治，使河道畅通，改善水质和生活环境。综合运用挡、排、疏等手段，建立和完善防洪工程体系。做好地势低洼地段的排涝工作，采用垫高地面和设置排涝泵站等措施，提高防洪能力。建立综合防灾体系，做好防洪预案并加强气象和水情预报，最大限度地减少洪涝灾害带来的损失。</w:t>
      </w:r>
    </w:p>
    <w:p w14:paraId="2A39411B">
      <w:pPr>
        <w:pStyle w:val="4"/>
        <w:numPr>
          <w:ilvl w:val="0"/>
          <w:numId w:val="1"/>
        </w:numPr>
        <w:ind w:left="860" w:firstLine="361" w:firstLineChars="113"/>
      </w:pPr>
      <w:r>
        <w:t>消防规划</w:t>
      </w:r>
    </w:p>
    <w:bookmarkEnd w:id="190"/>
    <w:p w14:paraId="718378AE">
      <w:pPr>
        <w:widowControl/>
        <w:adjustRightInd w:val="0"/>
        <w:snapToGrid w:val="0"/>
        <w:ind w:firstLine="640"/>
        <w:rPr>
          <w:rFonts w:cs="Times New Roman"/>
        </w:rPr>
      </w:pPr>
      <w:r>
        <w:rPr>
          <w:rFonts w:cs="Times New Roman"/>
        </w:rPr>
        <w:t>贯彻“预防为主，防消结合”的消防工作方针，推进消防站建设和市政消防水源建设，合理划分消防责任区。</w:t>
      </w:r>
      <w:r>
        <w:rPr>
          <w:rFonts w:cs="Times New Roman"/>
          <w:u w:val="single"/>
        </w:rPr>
        <w:t>规划</w:t>
      </w:r>
      <w:r>
        <w:rPr>
          <w:rFonts w:hint="eastAsia" w:cs="Times New Roman"/>
          <w:u w:val="single"/>
        </w:rPr>
        <w:t>设置一处一级消防站，</w:t>
      </w:r>
      <w:r>
        <w:rPr>
          <w:rFonts w:cs="Times New Roman"/>
        </w:rPr>
        <w:t>保持相应的人员和车辆的配备，服务于全域及周边地区，同时兼顾森林防火。消防给水系统与城镇给水系统一致，沿路供水管线不超过120米设一处消火栓。在工业区、大型公共建筑和供水低压区内设置消防水池，以保证消防用水所需流量。</w:t>
      </w:r>
    </w:p>
    <w:p w14:paraId="5BB99D2D">
      <w:pPr>
        <w:widowControl/>
        <w:adjustRightInd w:val="0"/>
        <w:snapToGrid w:val="0"/>
        <w:ind w:firstLine="640"/>
        <w:rPr>
          <w:rFonts w:cs="Times New Roman"/>
        </w:rPr>
      </w:pPr>
      <w:r>
        <w:rPr>
          <w:rFonts w:cs="Times New Roman"/>
        </w:rPr>
        <w:t>强化消防通信设施建设。消防通信消防站应与桓仁县消防指挥中心建立可靠的有线通信、无线通信联系；消防无线通信系统应按专用通信网设置，并能与其它通信网连接，设置无线通讯基地台，保证线路、通信信号畅通。</w:t>
      </w:r>
    </w:p>
    <w:p w14:paraId="7ACFABD3">
      <w:pPr>
        <w:widowControl/>
        <w:adjustRightInd w:val="0"/>
        <w:snapToGrid w:val="0"/>
        <w:ind w:firstLine="640"/>
        <w:rPr>
          <w:rFonts w:cs="Times New Roman"/>
        </w:rPr>
      </w:pPr>
      <w:r>
        <w:rPr>
          <w:rFonts w:cs="Times New Roman"/>
        </w:rPr>
        <w:t>消防给水与市政给水为共用系统，加强给水管网系统的建设和改造。在给水主干管和主要道路的绿岛或人行步道附近设置消防水鹤，其放水管对应的路面应有雨水（口）井，消防水鹤间距不应超过1000米。</w:t>
      </w:r>
    </w:p>
    <w:p w14:paraId="0BFFADC0">
      <w:pPr>
        <w:widowControl/>
        <w:adjustRightInd w:val="0"/>
        <w:snapToGrid w:val="0"/>
        <w:ind w:firstLine="640"/>
        <w:rPr>
          <w:rFonts w:cs="Times New Roman"/>
          <w:u w:val="single"/>
        </w:rPr>
      </w:pPr>
      <w:bookmarkStart w:id="191" w:name="_Hlk184058495"/>
      <w:r>
        <w:rPr>
          <w:rFonts w:cs="Times New Roman"/>
          <w:u w:val="single"/>
        </w:rPr>
        <w:t>加强消防通道建设。居住区道路宽度不应小于</w:t>
      </w:r>
      <w:r>
        <w:rPr>
          <w:rFonts w:hint="eastAsia" w:cs="Times New Roman"/>
          <w:u w:val="single"/>
        </w:rPr>
        <w:t>4</w:t>
      </w:r>
      <w:r>
        <w:rPr>
          <w:rFonts w:cs="Times New Roman"/>
          <w:u w:val="single"/>
        </w:rPr>
        <w:t>米，道路转弯半径不应小于12米，净高不低于4.0米，消防通道间距应小于160米。</w:t>
      </w:r>
      <w:bookmarkEnd w:id="191"/>
      <w:r>
        <w:rPr>
          <w:rFonts w:cs="Times New Roman"/>
          <w:u w:val="single"/>
        </w:rPr>
        <w:t>沿道路设置消火栓，消火栓间距不大于120米。</w:t>
      </w:r>
    </w:p>
    <w:p w14:paraId="6AB94809">
      <w:pPr>
        <w:pStyle w:val="4"/>
        <w:numPr>
          <w:ilvl w:val="0"/>
          <w:numId w:val="1"/>
        </w:numPr>
        <w:ind w:left="860" w:firstLine="361" w:firstLineChars="113"/>
      </w:pPr>
      <w:r>
        <w:t>森林防火</w:t>
      </w:r>
    </w:p>
    <w:p w14:paraId="610D5E54">
      <w:pPr>
        <w:widowControl/>
        <w:adjustRightInd w:val="0"/>
        <w:snapToGrid w:val="0"/>
        <w:ind w:firstLine="640"/>
        <w:rPr>
          <w:rFonts w:cs="Times New Roman"/>
        </w:rPr>
      </w:pPr>
      <w:r>
        <w:rPr>
          <w:rFonts w:cs="Times New Roman"/>
        </w:rPr>
        <w:t>全面提高森林火灾防控能力，对森林区实行消防防火分区，加强生物防火林带的建设、维护，完善和优化防火设施布置、植物配置。加强预警监测系统、森林防火通信和信息指挥系统建设，建立森林消防应急联动机制，完善森林消防设施和森林专业消防救援队伍建设，最大限度地减少森林火灾发生和灾害损失。</w:t>
      </w:r>
    </w:p>
    <w:p w14:paraId="58E8AD48">
      <w:pPr>
        <w:pStyle w:val="4"/>
        <w:numPr>
          <w:ilvl w:val="0"/>
          <w:numId w:val="1"/>
        </w:numPr>
        <w:ind w:left="860" w:firstLine="361" w:firstLineChars="113"/>
      </w:pPr>
      <w:r>
        <w:t>抗震减灾</w:t>
      </w:r>
    </w:p>
    <w:p w14:paraId="714C8B27">
      <w:pPr>
        <w:widowControl/>
        <w:adjustRightInd w:val="0"/>
        <w:snapToGrid w:val="0"/>
        <w:ind w:firstLine="640"/>
        <w:rPr>
          <w:rFonts w:cs="Times New Roman"/>
        </w:rPr>
      </w:pPr>
      <w:r>
        <w:rPr>
          <w:rFonts w:cs="Times New Roman"/>
        </w:rPr>
        <w:t>根据《中国地震动参数区划图（GB18306—2015）》，</w:t>
      </w:r>
      <w:r>
        <w:rPr>
          <w:rFonts w:cs="Times New Roman"/>
          <w:u w:val="single"/>
        </w:rPr>
        <w:t>华来镇执行7度设防。对有特殊要求的建筑物和构筑物应执行抗震规范。</w:t>
      </w:r>
      <w:r>
        <w:rPr>
          <w:rFonts w:cs="Times New Roman"/>
        </w:rPr>
        <w:t>在华来镇域内的重大建设工程和可能发生严重次生灾害的建设工程必须进行地震安全性评价，并根据安评结果，确定抗震设防要求，进行抗震设防。</w:t>
      </w:r>
    </w:p>
    <w:p w14:paraId="20835BDE">
      <w:pPr>
        <w:widowControl/>
        <w:adjustRightInd w:val="0"/>
        <w:snapToGrid w:val="0"/>
        <w:ind w:firstLine="640"/>
        <w:rPr>
          <w:rFonts w:cs="Times New Roman"/>
        </w:rPr>
      </w:pPr>
      <w:r>
        <w:rPr>
          <w:rFonts w:cs="Times New Roman"/>
        </w:rPr>
        <w:t>各类房屋建筑及其附属设施和城市市政设施等建设工程设计及施工必须执行国家抗震设计规范。</w:t>
      </w:r>
    </w:p>
    <w:p w14:paraId="6A68217F">
      <w:pPr>
        <w:pStyle w:val="4"/>
        <w:numPr>
          <w:ilvl w:val="0"/>
          <w:numId w:val="1"/>
        </w:numPr>
        <w:ind w:left="860" w:firstLine="361" w:firstLineChars="113"/>
      </w:pPr>
      <w:r>
        <w:t>人防规划</w:t>
      </w:r>
    </w:p>
    <w:p w14:paraId="37D9FAC6">
      <w:pPr>
        <w:ind w:firstLine="640"/>
        <w:rPr>
          <w:rFonts w:cs="Times New Roman"/>
        </w:rPr>
      </w:pPr>
      <w:r>
        <w:rPr>
          <w:rFonts w:cs="Times New Roman"/>
        </w:rPr>
        <w:t>按照以疏散为主、掩蔽为辅的原则，人防工事由掩蔽工事、指挥系统、给水系统、警报通信系统、供电系统、医疗救护系统、人防仓库、工程抢救系统等组成</w:t>
      </w:r>
      <w:r>
        <w:rPr>
          <w:rFonts w:hint="eastAsia" w:cs="Times New Roman"/>
        </w:rPr>
        <w:t>，</w:t>
      </w:r>
      <w:r>
        <w:rPr>
          <w:rFonts w:cs="Times New Roman"/>
        </w:rPr>
        <w:t>镇区应建设有线、无线、统控、自控相结合的防空警报网络。镇区重点地区必须按照规划要求建设人防工程，在人流集散的车站、大型商场、旅馆、医院、学校、政府机关等处修建一定规模的平战结合的掩蔽工事；车站、桥梁、铁路、对外公路及重要生命线工程要作为重点防护目标，设置专门的工程抢修系统。</w:t>
      </w:r>
    </w:p>
    <w:p w14:paraId="40765E83">
      <w:pPr>
        <w:pStyle w:val="4"/>
        <w:numPr>
          <w:ilvl w:val="0"/>
          <w:numId w:val="1"/>
        </w:numPr>
        <w:ind w:left="860" w:firstLine="361" w:firstLineChars="113"/>
      </w:pPr>
      <w:r>
        <w:t>地质灾害防治</w:t>
      </w:r>
    </w:p>
    <w:p w14:paraId="1814A69A">
      <w:pPr>
        <w:widowControl/>
        <w:adjustRightInd w:val="0"/>
        <w:snapToGrid w:val="0"/>
        <w:ind w:firstLine="640"/>
        <w:rPr>
          <w:rFonts w:cs="Times New Roman"/>
        </w:rPr>
      </w:pPr>
      <w:r>
        <w:rPr>
          <w:rFonts w:cs="Times New Roman"/>
        </w:rPr>
        <w:t>提升地质灾害防治能力。增强地质灾害调查研究深度，开展地质灾害风险普查与调查。整合社会资源，配备必要的交通、通讯和专业设备，形成协调联动、反应迅速、组织有力、救援有效的地质灾害应急救援队伍。组建地质灾害应急调查小分队，协助处理突发地质灾害事件，指导和制定应急处置方案。建设信息网络平台，提高处理突发性地质灾害的能力。强化宣传培训与应急演练。健全以村干部和骨干群众为主体的群测群防员队伍，组织群测群防员培训。加强预警信息发布手段建设，确保及时发现险情、及时发出预警。</w:t>
      </w:r>
    </w:p>
    <w:p w14:paraId="6B4821B5">
      <w:pPr>
        <w:pStyle w:val="4"/>
        <w:numPr>
          <w:ilvl w:val="0"/>
          <w:numId w:val="1"/>
        </w:numPr>
        <w:ind w:left="860" w:firstLine="361" w:firstLineChars="113"/>
      </w:pPr>
      <w:bookmarkStart w:id="192" w:name="_Hlk131266021"/>
      <w:r>
        <w:t>气象灾害防御</w:t>
      </w:r>
    </w:p>
    <w:p w14:paraId="49420CB2">
      <w:pPr>
        <w:widowControl/>
        <w:adjustRightInd w:val="0"/>
        <w:snapToGrid w:val="0"/>
        <w:ind w:firstLine="640"/>
        <w:rPr>
          <w:rFonts w:cs="Times New Roman"/>
        </w:rPr>
      </w:pPr>
      <w:r>
        <w:rPr>
          <w:rFonts w:cs="Times New Roman"/>
        </w:rPr>
        <w:t>完善气象灾害防灾减灾体系，加强重大气象灾害风险区划和评估，尤其做好暴雨、台风、暴雪、大雾、大风、强对流天气等灾害防御。加强气象灾害预警信息传播设施建设，向公众传播气象灾害预警信息。</w:t>
      </w:r>
    </w:p>
    <w:p w14:paraId="05EDF0E5">
      <w:pPr>
        <w:widowControl/>
        <w:adjustRightInd w:val="0"/>
        <w:snapToGrid w:val="0"/>
        <w:ind w:firstLine="640"/>
        <w:rPr>
          <w:rFonts w:cs="Times New Roman"/>
        </w:rPr>
      </w:pPr>
      <w:r>
        <w:rPr>
          <w:rFonts w:cs="Times New Roman"/>
          <w:lang w:bidi="ar"/>
        </w:rPr>
        <w:t>加强气象设施和气象探测环境保护，</w:t>
      </w:r>
      <w:r>
        <w:rPr>
          <w:rFonts w:cs="Times New Roman"/>
          <w:u w:val="single"/>
          <w:lang w:bidi="ar"/>
        </w:rPr>
        <w:t>保障高空气象观测站、天气雷达站、气象卫星地面站、区域气象观测站和单独设立的气象探测设施探测环境的保护，应当严格执行国家规定的保护范围和要求</w:t>
      </w:r>
      <w:r>
        <w:rPr>
          <w:rFonts w:cs="Times New Roman"/>
          <w:lang w:bidi="ar"/>
        </w:rPr>
        <w:t>。</w:t>
      </w:r>
    </w:p>
    <w:bookmarkEnd w:id="192"/>
    <w:p w14:paraId="143F27B5">
      <w:pPr>
        <w:pStyle w:val="2"/>
        <w:spacing w:before="312" w:after="312"/>
        <w:rPr>
          <w:rFonts w:ascii="Times New Roman" w:hAnsi="Times New Roman" w:cs="Times New Roman"/>
        </w:rPr>
      </w:pPr>
      <w:bookmarkStart w:id="193" w:name="_Toc22401"/>
      <w:bookmarkStart w:id="194" w:name="_Toc185931326"/>
      <w:bookmarkStart w:id="195" w:name="_Toc27492"/>
      <w:bookmarkStart w:id="196" w:name="_Toc24451"/>
      <w:r>
        <w:rPr>
          <w:rFonts w:ascii="Times New Roman" w:hAnsi="Times New Roman" w:cs="Times New Roman"/>
        </w:rPr>
        <w:t>第九章 规划传导与近期建设</w:t>
      </w:r>
      <w:bookmarkEnd w:id="193"/>
      <w:bookmarkEnd w:id="194"/>
      <w:bookmarkEnd w:id="195"/>
      <w:bookmarkEnd w:id="196"/>
    </w:p>
    <w:p w14:paraId="55E30C2A">
      <w:pPr>
        <w:pStyle w:val="3"/>
        <w:rPr>
          <w:rFonts w:ascii="Times New Roman" w:hAnsi="Times New Roman" w:cs="Times New Roman"/>
        </w:rPr>
      </w:pPr>
      <w:bookmarkStart w:id="197" w:name="_Toc185931327"/>
      <w:bookmarkStart w:id="198" w:name="_Toc19387"/>
      <w:bookmarkStart w:id="199" w:name="_Toc175064695"/>
      <w:bookmarkStart w:id="200" w:name="_Toc30985"/>
      <w:bookmarkStart w:id="201" w:name="_Toc12503"/>
      <w:r>
        <w:rPr>
          <w:rFonts w:ascii="Times New Roman" w:hAnsi="Times New Roman" w:cs="Times New Roman"/>
        </w:rPr>
        <w:t>第一节 加强党的领导</w:t>
      </w:r>
      <w:bookmarkEnd w:id="197"/>
      <w:bookmarkEnd w:id="198"/>
      <w:bookmarkEnd w:id="199"/>
      <w:bookmarkEnd w:id="200"/>
      <w:bookmarkEnd w:id="201"/>
    </w:p>
    <w:p w14:paraId="0256970E">
      <w:pPr>
        <w:pStyle w:val="4"/>
        <w:numPr>
          <w:ilvl w:val="0"/>
          <w:numId w:val="32"/>
        </w:numPr>
        <w:ind w:left="420" w:firstLine="361" w:firstLineChars="113"/>
        <w:rPr>
          <w:rFonts w:eastAsia="楷体"/>
        </w:rPr>
      </w:pPr>
      <w:r>
        <w:t>强化党对国土空间规划的全面领导</w:t>
      </w:r>
    </w:p>
    <w:p w14:paraId="4EEDA7DC">
      <w:pPr>
        <w:widowControl/>
        <w:adjustRightInd w:val="0"/>
        <w:snapToGrid w:val="0"/>
        <w:ind w:firstLine="640"/>
        <w:rPr>
          <w:rFonts w:cs="Times New Roman"/>
        </w:rPr>
      </w:pPr>
      <w:r>
        <w:rPr>
          <w:rFonts w:cs="Times New Roman"/>
          <w:color w:val="000000"/>
          <w:lang w:bidi="ar"/>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p>
    <w:p w14:paraId="0E4D9079">
      <w:pPr>
        <w:pStyle w:val="4"/>
        <w:numPr>
          <w:ilvl w:val="0"/>
          <w:numId w:val="33"/>
        </w:numPr>
        <w:ind w:left="1756" w:hanging="1116" w:firstLineChars="0"/>
        <w:rPr>
          <w:rFonts w:cs="Times New Roman"/>
        </w:rPr>
      </w:pPr>
      <w:r>
        <w:rPr>
          <w:rFonts w:cs="Times New Roman"/>
        </w:rPr>
        <w:t>落实地方党委和政府国土空间规划管理主体责任</w:t>
      </w:r>
    </w:p>
    <w:p w14:paraId="50AC2B80">
      <w:pPr>
        <w:widowControl/>
        <w:adjustRightInd w:val="0"/>
        <w:snapToGrid w:val="0"/>
        <w:ind w:firstLine="640"/>
        <w:rPr>
          <w:rFonts w:cs="Times New Roman"/>
        </w:rPr>
      </w:pPr>
      <w:r>
        <w:rPr>
          <w:rFonts w:cs="Times New Roman"/>
          <w:color w:val="000000"/>
          <w:lang w:bidi="ar"/>
        </w:rPr>
        <w:t>坚持“多规合一”，不在国土空间规划体系之外另设其他空间规划。强化规划严肃性，规划一经批准，任何部门和个人不得随意修改、违规变更。规划实施中的重大事项或重大调整，应及时按程序向上级党委政府请示报告。</w:t>
      </w:r>
    </w:p>
    <w:p w14:paraId="780DBA84">
      <w:pPr>
        <w:pStyle w:val="4"/>
        <w:numPr>
          <w:ilvl w:val="0"/>
          <w:numId w:val="1"/>
        </w:numPr>
        <w:ind w:left="860" w:firstLine="361" w:firstLineChars="113"/>
      </w:pPr>
      <w:r>
        <w:t>加强部门协同联动</w:t>
      </w:r>
    </w:p>
    <w:p w14:paraId="41B9652C">
      <w:pPr>
        <w:widowControl/>
        <w:adjustRightInd w:val="0"/>
        <w:snapToGrid w:val="0"/>
        <w:ind w:firstLine="640"/>
        <w:rPr>
          <w:rFonts w:cs="Times New Roman"/>
        </w:rPr>
      </w:pPr>
      <w:r>
        <w:rPr>
          <w:rFonts w:cs="Times New Roman"/>
          <w:color w:val="000000"/>
          <w:lang w:bidi="ar"/>
        </w:rPr>
        <w:t>加强部门协同，进一步完善国土空间规划编制实施管理的配套措施，对镇国土空间规划编制实施管理重大问题进行统筹协调和决策，确保规划各项目标任务落地实施。</w:t>
      </w:r>
    </w:p>
    <w:p w14:paraId="006B0F59">
      <w:pPr>
        <w:pStyle w:val="3"/>
        <w:rPr>
          <w:rFonts w:ascii="Times New Roman" w:hAnsi="Times New Roman" w:cs="Times New Roman"/>
        </w:rPr>
      </w:pPr>
      <w:bookmarkStart w:id="202" w:name="_Toc16212"/>
      <w:bookmarkStart w:id="203" w:name="_Toc18065"/>
      <w:bookmarkStart w:id="204" w:name="_Toc14642"/>
      <w:bookmarkStart w:id="205" w:name="_Toc185931328"/>
      <w:r>
        <w:rPr>
          <w:rFonts w:ascii="Times New Roman" w:hAnsi="Times New Roman" w:cs="Times New Roman"/>
        </w:rPr>
        <w:t>第二节 详细规划传导</w:t>
      </w:r>
      <w:bookmarkEnd w:id="202"/>
      <w:bookmarkEnd w:id="203"/>
      <w:bookmarkEnd w:id="204"/>
      <w:bookmarkEnd w:id="205"/>
    </w:p>
    <w:p w14:paraId="26386BF3">
      <w:pPr>
        <w:pStyle w:val="4"/>
        <w:numPr>
          <w:ilvl w:val="0"/>
          <w:numId w:val="34"/>
        </w:numPr>
        <w:ind w:left="420" w:firstLine="361" w:firstLineChars="113"/>
      </w:pPr>
      <w:r>
        <w:t>完善规划传导体系</w:t>
      </w:r>
    </w:p>
    <w:p w14:paraId="5D921FF8">
      <w:pPr>
        <w:widowControl/>
        <w:adjustRightInd w:val="0"/>
        <w:snapToGrid w:val="0"/>
        <w:ind w:firstLine="640"/>
        <w:rPr>
          <w:rFonts w:cs="Times New Roman"/>
        </w:rPr>
      </w:pPr>
      <w:r>
        <w:rPr>
          <w:rFonts w:cs="Times New Roman"/>
          <w:color w:val="000000"/>
          <w:lang w:bidi="ar"/>
        </w:rPr>
        <w:t>严格落实</w:t>
      </w:r>
      <w:r>
        <w:rPr>
          <w:rFonts w:hint="eastAsia" w:cs="Times New Roman"/>
          <w:lang w:bidi="ar"/>
        </w:rPr>
        <w:t>辽宁省、本溪市、</w:t>
      </w:r>
      <w:r>
        <w:rPr>
          <w:rFonts w:cs="Times New Roman"/>
          <w:color w:val="000000"/>
          <w:lang w:bidi="ar"/>
        </w:rPr>
        <w:t>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华来镇的空间发展格局、战略目标、城镇定位与发展方向、重大综合交通布局、重要公共服务与基础设施安排、规划分区深化细化、要素配置等内容导向，统筹安排各类用地结构和空间布局，确保县、</w:t>
      </w:r>
      <w:r>
        <w:rPr>
          <w:rFonts w:hint="eastAsia" w:cs="Times New Roman"/>
          <w:color w:val="000000"/>
          <w:lang w:bidi="ar"/>
        </w:rPr>
        <w:t>乡</w:t>
      </w:r>
      <w:r>
        <w:rPr>
          <w:rFonts w:cs="Times New Roman"/>
          <w:color w:val="000000"/>
          <w:lang w:bidi="ar"/>
        </w:rPr>
        <w:t>镇级规划双向衔接。相关专项规划要在总体规划的约束下编制，详细规划要遵循总体规划，不得违背总体规划强制性内容。</w:t>
      </w:r>
    </w:p>
    <w:p w14:paraId="49E15881">
      <w:pPr>
        <w:pStyle w:val="4"/>
        <w:numPr>
          <w:ilvl w:val="0"/>
          <w:numId w:val="1"/>
        </w:numPr>
        <w:ind w:left="860" w:firstLine="361" w:firstLineChars="113"/>
      </w:pPr>
      <w:r>
        <w:t>详细规划传导</w:t>
      </w:r>
    </w:p>
    <w:p w14:paraId="650D2221">
      <w:pPr>
        <w:widowControl/>
        <w:adjustRightInd w:val="0"/>
        <w:snapToGrid w:val="0"/>
        <w:ind w:firstLine="640"/>
        <w:rPr>
          <w:rFonts w:cs="Times New Roman"/>
          <w:color w:val="000000"/>
          <w:lang w:bidi="ar"/>
        </w:rPr>
      </w:pPr>
      <w:r>
        <w:rPr>
          <w:rFonts w:hint="eastAsia" w:cs="Times New Roman"/>
          <w:color w:val="000000"/>
          <w:lang w:bidi="ar"/>
        </w:rPr>
        <w:t>科学划分城乡单元，构建面向实施的详细规划编制体系。</w:t>
      </w:r>
      <w:bookmarkStart w:id="206" w:name="OLE_LINK21"/>
      <w:r>
        <w:rPr>
          <w:rFonts w:hint="eastAsia" w:cs="Times New Roman"/>
          <w:color w:val="000000"/>
          <w:lang w:bidi="ar"/>
        </w:rPr>
        <w:t>全域共划分为23个规划编制单元，其中划分3个特殊单元、1个城镇单元、19个乡村单元。</w:t>
      </w:r>
      <w:bookmarkEnd w:id="206"/>
    </w:p>
    <w:p w14:paraId="43E340F4">
      <w:pPr>
        <w:widowControl/>
        <w:adjustRightInd w:val="0"/>
        <w:snapToGrid w:val="0"/>
        <w:ind w:firstLine="640"/>
        <w:rPr>
          <w:rFonts w:cs="Times New Roman"/>
          <w:color w:val="C00000"/>
        </w:rPr>
      </w:pPr>
      <w:r>
        <w:rPr>
          <w:rFonts w:hint="eastAsia" w:cs="Times New Roman"/>
          <w:color w:val="000000"/>
          <w:lang w:bidi="ar"/>
        </w:rPr>
        <w:t>乡村单元明确单元功能定位、人口规模、建设用地面积、用地布局、设施配置、生态管控要求和农业布局要求。对同期编制有村庄规划的重点村如铧尖子村等村庄，村庄单元主要进行规划传导，对应分解传导规划指标，明确规划分区，划定村庄建设边界，指导下位村庄规划编制；对其他暂不编制村庄规划的行政村，村庄单元主要进行“通则式”村庄规划管控，在传导规划指标的基础上进一步提出规划分区的用途管制规则和建设管控要求，并对村庄各类建设活动中的传统风貌延续、人居环境整治提出控制要求，对建筑风格、色彩、选材等提出建设指引。</w:t>
      </w:r>
    </w:p>
    <w:p w14:paraId="003F98E0">
      <w:pPr>
        <w:pStyle w:val="3"/>
        <w:rPr>
          <w:rFonts w:ascii="Times New Roman" w:hAnsi="Times New Roman" w:cs="Times New Roman"/>
        </w:rPr>
      </w:pPr>
      <w:bookmarkStart w:id="207" w:name="_Toc21901"/>
      <w:bookmarkStart w:id="208" w:name="_Toc568"/>
      <w:bookmarkStart w:id="209" w:name="_Toc23277"/>
      <w:bookmarkStart w:id="210" w:name="_Toc185931329"/>
      <w:r>
        <w:rPr>
          <w:rFonts w:ascii="Times New Roman" w:hAnsi="Times New Roman" w:cs="Times New Roman"/>
        </w:rPr>
        <w:t>第三节 近期建设</w:t>
      </w:r>
      <w:bookmarkEnd w:id="207"/>
      <w:bookmarkEnd w:id="208"/>
      <w:bookmarkEnd w:id="209"/>
      <w:bookmarkEnd w:id="210"/>
    </w:p>
    <w:p w14:paraId="22D880C0">
      <w:pPr>
        <w:pStyle w:val="4"/>
        <w:numPr>
          <w:ilvl w:val="0"/>
          <w:numId w:val="35"/>
        </w:numPr>
        <w:ind w:left="420" w:firstLine="361" w:firstLineChars="113"/>
      </w:pPr>
      <w:r>
        <w:rPr>
          <w:rFonts w:hint="eastAsia"/>
        </w:rPr>
        <w:t>落实重大项目空间保障</w:t>
      </w:r>
    </w:p>
    <w:p w14:paraId="66D00224">
      <w:pPr>
        <w:adjustRightInd w:val="0"/>
        <w:snapToGrid w:val="0"/>
        <w:ind w:firstLine="640"/>
        <w:rPr>
          <w:rFonts w:cs="Times New Roman"/>
          <w:color w:val="000000"/>
          <w:szCs w:val="32"/>
          <w:lang w:bidi="ar"/>
        </w:rPr>
      </w:pPr>
      <w:r>
        <w:rPr>
          <w:rFonts w:hint="eastAsia" w:cs="Times New Roman"/>
          <w:color w:val="000000"/>
          <w:szCs w:val="32"/>
          <w:lang w:bidi="ar"/>
        </w:rPr>
        <w:t>优先保障重大项目用地供给，保障省级、市级重大工程落地实施。建立重点领域重大项目库清单管理机制，完善重大项目服务保障制度，分类保障重大项目用地需求。</w:t>
      </w:r>
    </w:p>
    <w:p w14:paraId="54EF16BD">
      <w:pPr>
        <w:pStyle w:val="4"/>
        <w:numPr>
          <w:ilvl w:val="0"/>
          <w:numId w:val="1"/>
        </w:numPr>
        <w:ind w:left="860" w:firstLine="361" w:firstLineChars="113"/>
      </w:pPr>
      <w:r>
        <w:rPr>
          <w:rFonts w:hint="eastAsia"/>
        </w:rPr>
        <w:t>明确近期重点行动计划</w:t>
      </w:r>
    </w:p>
    <w:p w14:paraId="73482D92">
      <w:pPr>
        <w:adjustRightInd w:val="0"/>
        <w:snapToGrid w:val="0"/>
        <w:ind w:firstLine="640"/>
        <w:rPr>
          <w:rFonts w:cs="Times New Roman"/>
          <w:color w:val="000000"/>
          <w:szCs w:val="32"/>
          <w:lang w:bidi="ar"/>
        </w:rPr>
      </w:pPr>
      <w:r>
        <w:rPr>
          <w:rFonts w:hint="eastAsia" w:cs="Times New Roman"/>
          <w:color w:val="000000"/>
          <w:szCs w:val="32"/>
          <w:lang w:bidi="ar"/>
        </w:rPr>
        <w:t>衔接《桓仁满族自治县国民经济和社会发展第十四个五年规划和二</w:t>
      </w:r>
      <w:r>
        <w:rPr>
          <w:rFonts w:hint="eastAsia" w:ascii="微软雅黑" w:hAnsi="微软雅黑" w:eastAsia="微软雅黑" w:cs="微软雅黑"/>
          <w:color w:val="000000"/>
          <w:szCs w:val="32"/>
          <w:lang w:bidi="ar"/>
        </w:rPr>
        <w:t>〇</w:t>
      </w:r>
      <w:r>
        <w:rPr>
          <w:rFonts w:hint="eastAsia" w:cs="Times New Roman"/>
          <w:color w:val="000000"/>
          <w:szCs w:val="32"/>
          <w:lang w:bidi="ar"/>
        </w:rPr>
        <w:t>三五年远景目标纲要》，围绕桓仁县全面振兴新突破三年行动，做好重大项目统筹安排和用地保障。建立近期重大项目库，将交通、能源、水利、产业等各类项目纳入项目库，落实“要素跟着项目走”机制。</w:t>
      </w:r>
    </w:p>
    <w:p w14:paraId="33091CDF">
      <w:pPr>
        <w:adjustRightInd w:val="0"/>
        <w:snapToGrid w:val="0"/>
        <w:ind w:firstLine="640"/>
        <w:rPr>
          <w:rFonts w:cs="Times New Roman"/>
          <w:color w:val="000000"/>
          <w:szCs w:val="32"/>
          <w:lang w:bidi="ar"/>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1331"/>
        <w:gridCol w:w="6038"/>
      </w:tblGrid>
      <w:tr w14:paraId="1514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0" w:type="pct"/>
            <w:vAlign w:val="center"/>
          </w:tcPr>
          <w:p w14:paraId="7FA560F6">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项目大类</w:t>
            </w:r>
          </w:p>
        </w:tc>
        <w:tc>
          <w:tcPr>
            <w:tcW w:w="780" w:type="pct"/>
            <w:vAlign w:val="center"/>
          </w:tcPr>
          <w:p w14:paraId="0685C84A">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项目中类</w:t>
            </w:r>
          </w:p>
        </w:tc>
        <w:tc>
          <w:tcPr>
            <w:tcW w:w="3539" w:type="pct"/>
            <w:vAlign w:val="center"/>
          </w:tcPr>
          <w:p w14:paraId="5561695E">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项目名称</w:t>
            </w:r>
          </w:p>
        </w:tc>
      </w:tr>
      <w:tr w14:paraId="1F27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3E67A03B">
            <w:pPr>
              <w:spacing w:line="240" w:lineRule="auto"/>
              <w:ind w:firstLine="0" w:firstLineChars="0"/>
              <w:jc w:val="center"/>
              <w:rPr>
                <w:rFonts w:cs="Times New Roman"/>
                <w:kern w:val="0"/>
                <w:sz w:val="21"/>
                <w:szCs w:val="21"/>
              </w:rPr>
            </w:pPr>
            <w:r>
              <w:rPr>
                <w:rFonts w:cs="Times New Roman"/>
                <w:kern w:val="0"/>
                <w:sz w:val="21"/>
                <w:szCs w:val="21"/>
              </w:rPr>
              <w:t>交通</w:t>
            </w:r>
          </w:p>
        </w:tc>
        <w:tc>
          <w:tcPr>
            <w:tcW w:w="780" w:type="pct"/>
            <w:vAlign w:val="center"/>
          </w:tcPr>
          <w:p w14:paraId="287ABF11">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公路</w:t>
            </w:r>
          </w:p>
        </w:tc>
        <w:tc>
          <w:tcPr>
            <w:tcW w:w="3539" w:type="pct"/>
            <w:vAlign w:val="center"/>
          </w:tcPr>
          <w:p w14:paraId="0800BB88">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华来镇果松川至八里甸丝房子连接线新建工程、蔡六线蔡俄堡村内道路建设项目、仙人洞烈士陵园道路建设、高俭地至仙人洞红色旅游专线、S305柞本线黑沟至二户来段升级改造工程、S305柞本线木盂子至丫头岭段（新宾界）改建工程、蔡冯线蔡俄堡至冯家堡子连接线新建工程、S305柞本线老虎岭隧道及引线工程、柞本线钓鱼台至丫头岭段改扩建工程</w:t>
            </w:r>
          </w:p>
        </w:tc>
      </w:tr>
      <w:tr w14:paraId="1685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3753E0B2">
            <w:pPr>
              <w:spacing w:line="240" w:lineRule="auto"/>
              <w:ind w:firstLine="0" w:firstLineChars="0"/>
              <w:jc w:val="center"/>
              <w:rPr>
                <w:rFonts w:cs="Times New Roman"/>
                <w:kern w:val="0"/>
                <w:sz w:val="21"/>
                <w:szCs w:val="21"/>
              </w:rPr>
            </w:pPr>
            <w:r>
              <w:rPr>
                <w:rFonts w:hint="eastAsia" w:cs="Times New Roman"/>
                <w:kern w:val="0"/>
                <w:sz w:val="21"/>
                <w:szCs w:val="21"/>
              </w:rPr>
              <w:t>水利</w:t>
            </w:r>
          </w:p>
        </w:tc>
        <w:tc>
          <w:tcPr>
            <w:tcW w:w="780" w:type="pct"/>
            <w:vAlign w:val="center"/>
          </w:tcPr>
          <w:p w14:paraId="27DFE42F">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河道治理</w:t>
            </w:r>
          </w:p>
        </w:tc>
        <w:tc>
          <w:tcPr>
            <w:tcW w:w="3539" w:type="pct"/>
            <w:vAlign w:val="center"/>
          </w:tcPr>
          <w:p w14:paraId="5341988B">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六河（木盂子，华来，桓仁镇段）治理工程、富砂河华来段治理工程、大二河（木盂子、华来镇、桓仁镇段）治理工程、蔡俄堡村净化水工程</w:t>
            </w:r>
          </w:p>
        </w:tc>
      </w:tr>
      <w:tr w14:paraId="217B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2BB6CDD6">
            <w:pPr>
              <w:spacing w:line="240" w:lineRule="auto"/>
              <w:ind w:firstLine="0" w:firstLineChars="0"/>
              <w:jc w:val="center"/>
              <w:rPr>
                <w:rFonts w:cs="Times New Roman"/>
                <w:kern w:val="0"/>
                <w:sz w:val="21"/>
                <w:szCs w:val="21"/>
              </w:rPr>
            </w:pPr>
            <w:r>
              <w:rPr>
                <w:rFonts w:cs="Times New Roman"/>
                <w:kern w:val="0"/>
                <w:sz w:val="21"/>
                <w:szCs w:val="21"/>
              </w:rPr>
              <w:t>能源</w:t>
            </w:r>
          </w:p>
        </w:tc>
        <w:tc>
          <w:tcPr>
            <w:tcW w:w="780" w:type="pct"/>
            <w:vAlign w:val="center"/>
          </w:tcPr>
          <w:p w14:paraId="1F035094">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电力</w:t>
            </w:r>
          </w:p>
        </w:tc>
        <w:tc>
          <w:tcPr>
            <w:tcW w:w="3539" w:type="pct"/>
            <w:vAlign w:val="center"/>
          </w:tcPr>
          <w:p w14:paraId="5D36FC54">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本溪66千伏木盂子变电所新建工程项目、木盂子文化广场光伏发电、本溪华来220千伏变电站2主变扩建工程、本溪华来-双岭-北山66kV线路工程、八里甸66千伏输变电工程、大雅河抽水蓄能电站电源送出工程、大雅河抽水蓄能电站施工送电工程、华来镇抽水蓄能项目、华来镇储能项目</w:t>
            </w:r>
          </w:p>
        </w:tc>
      </w:tr>
      <w:tr w14:paraId="13A5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0A09F460">
            <w:pPr>
              <w:spacing w:line="240" w:lineRule="auto"/>
              <w:ind w:firstLine="0" w:firstLineChars="0"/>
              <w:jc w:val="center"/>
              <w:rPr>
                <w:rFonts w:cs="Times New Roman"/>
                <w:kern w:val="0"/>
                <w:sz w:val="21"/>
                <w:szCs w:val="21"/>
              </w:rPr>
            </w:pPr>
          </w:p>
        </w:tc>
        <w:tc>
          <w:tcPr>
            <w:tcW w:w="780" w:type="pct"/>
            <w:vAlign w:val="center"/>
          </w:tcPr>
          <w:p w14:paraId="3AF0BFD2">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供热</w:t>
            </w:r>
          </w:p>
        </w:tc>
        <w:tc>
          <w:tcPr>
            <w:tcW w:w="3539" w:type="pct"/>
            <w:vAlign w:val="center"/>
          </w:tcPr>
          <w:p w14:paraId="40FBB6ED">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木盂子中心镇区供热设施建设项目</w:t>
            </w:r>
          </w:p>
        </w:tc>
      </w:tr>
      <w:tr w14:paraId="266B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4F680E29">
            <w:pPr>
              <w:spacing w:line="240" w:lineRule="auto"/>
              <w:ind w:firstLine="0" w:firstLineChars="0"/>
              <w:jc w:val="center"/>
              <w:rPr>
                <w:rFonts w:cs="Times New Roman"/>
                <w:kern w:val="0"/>
                <w:sz w:val="21"/>
                <w:szCs w:val="21"/>
              </w:rPr>
            </w:pPr>
            <w:r>
              <w:rPr>
                <w:rFonts w:cs="Times New Roman"/>
                <w:kern w:val="0"/>
                <w:sz w:val="21"/>
                <w:szCs w:val="21"/>
              </w:rPr>
              <w:t>工矿</w:t>
            </w:r>
          </w:p>
        </w:tc>
        <w:tc>
          <w:tcPr>
            <w:tcW w:w="780" w:type="pct"/>
            <w:vAlign w:val="center"/>
          </w:tcPr>
          <w:p w14:paraId="65F4121C">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矿山生态修复</w:t>
            </w:r>
          </w:p>
        </w:tc>
        <w:tc>
          <w:tcPr>
            <w:tcW w:w="3539" w:type="pct"/>
            <w:vAlign w:val="center"/>
          </w:tcPr>
          <w:p w14:paraId="5F67A67E">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桓仁镇——华来镇生产矿山生态修复治理以及历史遗留废弃矿山生态修复治理工程、木盂子煤矿产业项目、木盂子黑色冶金溶剂石灰岩矿项目、高俭地铁矿建设项目</w:t>
            </w:r>
          </w:p>
        </w:tc>
      </w:tr>
      <w:tr w14:paraId="3357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77A98C2C">
            <w:pPr>
              <w:spacing w:line="240" w:lineRule="auto"/>
              <w:ind w:firstLine="0" w:firstLineChars="0"/>
              <w:jc w:val="center"/>
              <w:rPr>
                <w:rFonts w:cs="Times New Roman"/>
                <w:kern w:val="0"/>
                <w:sz w:val="21"/>
                <w:szCs w:val="21"/>
              </w:rPr>
            </w:pPr>
            <w:r>
              <w:rPr>
                <w:rFonts w:cs="Times New Roman"/>
                <w:kern w:val="0"/>
                <w:sz w:val="21"/>
                <w:szCs w:val="21"/>
              </w:rPr>
              <w:t>土地综合整治</w:t>
            </w:r>
          </w:p>
        </w:tc>
        <w:tc>
          <w:tcPr>
            <w:tcW w:w="780" w:type="pct"/>
            <w:vAlign w:val="center"/>
          </w:tcPr>
          <w:p w14:paraId="3E736E45">
            <w:pPr>
              <w:widowControl/>
              <w:adjustRightInd w:val="0"/>
              <w:spacing w:line="240" w:lineRule="auto"/>
              <w:ind w:firstLine="0" w:firstLineChars="0"/>
              <w:contextualSpacing/>
              <w:jc w:val="center"/>
              <w:rPr>
                <w:rFonts w:ascii="Arial" w:hAnsi="Arial" w:cs="Arial"/>
                <w:color w:val="000000"/>
                <w:sz w:val="20"/>
                <w:szCs w:val="20"/>
              </w:rPr>
            </w:pPr>
            <w:r>
              <w:rPr>
                <w:rFonts w:ascii="Arial" w:hAnsi="Arial" w:cs="Arial"/>
                <w:color w:val="000000"/>
                <w:sz w:val="20"/>
                <w:szCs w:val="20"/>
              </w:rPr>
              <w:t>农村土地综合整治</w:t>
            </w:r>
          </w:p>
        </w:tc>
        <w:tc>
          <w:tcPr>
            <w:tcW w:w="3539" w:type="pct"/>
            <w:vAlign w:val="center"/>
          </w:tcPr>
          <w:p w14:paraId="6D5A1153">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华来镇</w:t>
            </w:r>
            <w:r>
              <w:rPr>
                <w:rFonts w:ascii="Arial" w:hAnsi="Arial" w:cs="Arial"/>
                <w:color w:val="000000"/>
                <w:sz w:val="20"/>
                <w:szCs w:val="20"/>
              </w:rPr>
              <w:t>农村建设用地整治重大工程</w:t>
            </w:r>
          </w:p>
        </w:tc>
      </w:tr>
      <w:tr w14:paraId="3BA1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403740AB">
            <w:pPr>
              <w:spacing w:line="240" w:lineRule="auto"/>
              <w:ind w:firstLine="0" w:firstLineChars="0"/>
              <w:jc w:val="center"/>
              <w:rPr>
                <w:rFonts w:cs="Times New Roman"/>
                <w:kern w:val="0"/>
                <w:sz w:val="21"/>
                <w:szCs w:val="21"/>
              </w:rPr>
            </w:pPr>
            <w:r>
              <w:rPr>
                <w:rFonts w:hint="eastAsia" w:cs="Times New Roman"/>
                <w:kern w:val="0"/>
                <w:sz w:val="21"/>
                <w:szCs w:val="21"/>
              </w:rPr>
              <w:t>服务设施</w:t>
            </w:r>
          </w:p>
        </w:tc>
        <w:tc>
          <w:tcPr>
            <w:tcW w:w="780" w:type="pct"/>
            <w:vAlign w:val="center"/>
          </w:tcPr>
          <w:p w14:paraId="22B8C37A">
            <w:pPr>
              <w:widowControl/>
              <w:adjustRightInd w:val="0"/>
              <w:spacing w:line="240" w:lineRule="auto"/>
              <w:ind w:firstLine="0" w:firstLineChars="0"/>
              <w:contextualSpacing/>
              <w:jc w:val="center"/>
              <w:rPr>
                <w:rFonts w:ascii="Arial" w:hAnsi="Arial" w:cs="Arial"/>
                <w:color w:val="000000"/>
                <w:sz w:val="20"/>
                <w:szCs w:val="20"/>
              </w:rPr>
            </w:pPr>
          </w:p>
        </w:tc>
        <w:tc>
          <w:tcPr>
            <w:tcW w:w="3539" w:type="pct"/>
            <w:vAlign w:val="center"/>
          </w:tcPr>
          <w:p w14:paraId="252FF39E">
            <w:pPr>
              <w:widowControl/>
              <w:adjustRightInd w:val="0"/>
              <w:spacing w:line="240" w:lineRule="auto"/>
              <w:ind w:firstLine="0" w:firstLineChars="0"/>
              <w:contextualSpacing/>
              <w:rPr>
                <w:rFonts w:ascii="Arial" w:hAnsi="Arial" w:cs="Arial"/>
                <w:color w:val="000000"/>
                <w:sz w:val="20"/>
                <w:szCs w:val="20"/>
              </w:rPr>
            </w:pPr>
            <w:r>
              <w:rPr>
                <w:rFonts w:hint="eastAsia" w:ascii="Arial" w:hAnsi="Arial" w:cs="Arial"/>
                <w:color w:val="000000"/>
                <w:sz w:val="20"/>
                <w:szCs w:val="20"/>
              </w:rPr>
              <w:t>华来镇铧尖子村西堡公益性公墓建设项目、暖河子村养老项目、暖河子社区文化广场及两侧长廊和步道、华来镇烈士墓建设项目、桓仁满族自治县华来镇公益性公墓建设项目</w:t>
            </w:r>
          </w:p>
        </w:tc>
      </w:tr>
      <w:tr w14:paraId="5B0E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45AED728">
            <w:pPr>
              <w:spacing w:line="240" w:lineRule="auto"/>
              <w:ind w:firstLine="0" w:firstLineChars="0"/>
              <w:jc w:val="center"/>
              <w:rPr>
                <w:rFonts w:cs="Times New Roman"/>
                <w:kern w:val="0"/>
                <w:sz w:val="21"/>
                <w:szCs w:val="21"/>
              </w:rPr>
            </w:pPr>
            <w:r>
              <w:rPr>
                <w:rFonts w:hint="eastAsia" w:cs="Times New Roman"/>
                <w:kern w:val="0"/>
                <w:sz w:val="21"/>
                <w:szCs w:val="21"/>
              </w:rPr>
              <w:t>产业</w:t>
            </w:r>
          </w:p>
        </w:tc>
        <w:tc>
          <w:tcPr>
            <w:tcW w:w="780" w:type="pct"/>
            <w:vAlign w:val="center"/>
          </w:tcPr>
          <w:p w14:paraId="5F80F265">
            <w:pPr>
              <w:widowControl/>
              <w:adjustRightInd w:val="0"/>
              <w:spacing w:line="240" w:lineRule="auto"/>
              <w:ind w:firstLine="0" w:firstLineChars="0"/>
              <w:contextualSpacing/>
              <w:jc w:val="center"/>
              <w:rPr>
                <w:rFonts w:ascii="Arial" w:hAnsi="Arial" w:cs="Arial"/>
                <w:color w:val="000000"/>
                <w:sz w:val="20"/>
                <w:szCs w:val="20"/>
              </w:rPr>
            </w:pPr>
            <w:r>
              <w:rPr>
                <w:rFonts w:hint="eastAsia" w:ascii="Arial" w:hAnsi="Arial" w:cs="Arial"/>
                <w:color w:val="000000"/>
                <w:sz w:val="20"/>
                <w:szCs w:val="20"/>
              </w:rPr>
              <w:t>加工、旅游</w:t>
            </w:r>
          </w:p>
        </w:tc>
        <w:tc>
          <w:tcPr>
            <w:tcW w:w="3539" w:type="pct"/>
            <w:vAlign w:val="center"/>
          </w:tcPr>
          <w:p w14:paraId="70DFF6DD">
            <w:pPr>
              <w:widowControl/>
              <w:adjustRightInd w:val="0"/>
              <w:spacing w:line="240" w:lineRule="auto"/>
              <w:ind w:firstLine="0" w:firstLineChars="0"/>
              <w:contextualSpacing/>
              <w:jc w:val="left"/>
              <w:rPr>
                <w:rFonts w:ascii="Arial" w:hAnsi="Arial" w:cs="Arial"/>
                <w:color w:val="000000"/>
                <w:sz w:val="20"/>
                <w:szCs w:val="20"/>
              </w:rPr>
            </w:pPr>
            <w:r>
              <w:rPr>
                <w:rFonts w:hint="eastAsia" w:ascii="Arial" w:hAnsi="Arial" w:cs="Arial"/>
                <w:color w:val="000000"/>
                <w:sz w:val="20"/>
                <w:szCs w:val="20"/>
              </w:rPr>
              <w:t>华来镇气调库建设项目、华来东堡配送中心项目、桓仁满族自治县华来镇人参加工产业区建设项目、木盂子矿泉水（山泉水）开发项目、木盂子红松果繁育基地建设项目、冰壶沟红色旅游景区项目、高俭地山城旅游开发项目、暖河子温泉（康养）小镇开发项目、华来镇柳林子村人参加工建设项目、华来镇老兵水稻厂房建设项目、华来镇中心镇区人参加工厂房建设项目、高台子村云鹏鹿业场建设项目、柳林子村刘丽新人参加工厂项目、仙人洞村冰壶沟景区建设项目</w:t>
            </w:r>
          </w:p>
        </w:tc>
      </w:tr>
    </w:tbl>
    <w:p w14:paraId="524121D2">
      <w:pPr>
        <w:adjustRightInd w:val="0"/>
        <w:snapToGrid w:val="0"/>
        <w:ind w:firstLine="640"/>
        <w:rPr>
          <w:rFonts w:cs="Times New Roman"/>
          <w:color w:val="000000"/>
          <w:szCs w:val="32"/>
          <w:lang w:bidi="ar"/>
        </w:rPr>
      </w:pPr>
    </w:p>
    <w:p w14:paraId="27BB4876">
      <w:pPr>
        <w:pStyle w:val="4"/>
        <w:numPr>
          <w:ilvl w:val="0"/>
          <w:numId w:val="1"/>
        </w:numPr>
        <w:ind w:left="860" w:firstLine="361" w:firstLineChars="113"/>
      </w:pPr>
      <w:r>
        <w:rPr>
          <w:rFonts w:hint="eastAsia"/>
        </w:rPr>
        <w:t>城镇建设及有机更新</w:t>
      </w:r>
    </w:p>
    <w:p w14:paraId="56D7A22B">
      <w:pPr>
        <w:ind w:firstLine="640"/>
      </w:pPr>
      <w:r>
        <w:rPr>
          <w:rFonts w:hint="eastAsia"/>
        </w:rPr>
        <w:t>进一步完善镇区道路、桥梁、管网等基础设施。加大市政道路建设投入，完善镇区快速路、主干路、次干路、支路建设，健全城市路网系统。坚持适用、经济、绿色、美观的建筑方针，提高城市绿色建筑占新建建筑比重。</w:t>
      </w:r>
    </w:p>
    <w:p w14:paraId="29753A84">
      <w:pPr>
        <w:pStyle w:val="4"/>
        <w:numPr>
          <w:ilvl w:val="0"/>
          <w:numId w:val="1"/>
        </w:numPr>
        <w:ind w:left="860" w:firstLine="361" w:firstLineChars="113"/>
      </w:pPr>
      <w:r>
        <w:rPr>
          <w:rFonts w:hint="eastAsia"/>
        </w:rPr>
        <w:t>基础设施及公共服务设施建设</w:t>
      </w:r>
    </w:p>
    <w:p w14:paraId="1152AD34">
      <w:pPr>
        <w:ind w:firstLine="640"/>
      </w:pPr>
      <w:r>
        <w:rPr>
          <w:rFonts w:hint="eastAsia"/>
        </w:rPr>
        <w:t>完善交通系统建设，强化公共服务设施保障水平。到2025年，公共服务设施体系逐步完善，着力构建便捷的15分钟生活圈。建设高质量教育体系，持续完善城乡教育设施水平及规模。提升全民公共卫生服务覆盖能力。完善全民体育健身公共服务体系，打造城市社区15分钟健身圈，新建多处点状小型体育设施。</w:t>
      </w:r>
    </w:p>
    <w:p w14:paraId="2BCB4FCD">
      <w:pPr>
        <w:ind w:firstLine="640"/>
      </w:pPr>
      <w:r>
        <w:rPr>
          <w:rFonts w:hint="eastAsia"/>
        </w:rPr>
        <w:t>强化城乡基础设施建设。推动由垃圾清理向垃圾治理转变，整体提高垃圾治理水平。统筹推进城乡污水治理，加快污水管网配套和城镇污水处理厂扩容提标改造工程。</w:t>
      </w:r>
    </w:p>
    <w:p w14:paraId="31C12FE2">
      <w:pPr>
        <w:pStyle w:val="4"/>
        <w:numPr>
          <w:ilvl w:val="0"/>
          <w:numId w:val="1"/>
        </w:numPr>
        <w:ind w:left="860" w:firstLine="361" w:firstLineChars="113"/>
      </w:pPr>
      <w:r>
        <w:rPr>
          <w:rFonts w:hint="eastAsia"/>
        </w:rPr>
        <w:t>国土综合整治和生态修复</w:t>
      </w:r>
    </w:p>
    <w:p w14:paraId="5B56C4B8">
      <w:pPr>
        <w:ind w:firstLine="640"/>
      </w:pPr>
      <w:r>
        <w:rPr>
          <w:rFonts w:hint="eastAsia"/>
        </w:rPr>
        <w:t>加强高标准农田建设，完善灌排沟渠、泵站、机井、机耕路、桥涵闸等基础设施，重点推进中低产田改造，提高农业综合生产能力、抗御自然灾害能力；大力发展生态农业，以土壤改良和培肥地力为主，鼓励支持增施有机肥，控制化肥用量；推进镇域内河道整治，开展水域湿地生态修复工程、干渠清淤疏浚工程等；加快推进农村居民点整理，提升土地利用强度。</w:t>
      </w:r>
    </w:p>
    <w:p w14:paraId="2AC5BBF5">
      <w:pPr>
        <w:pStyle w:val="3"/>
        <w:rPr>
          <w:rFonts w:ascii="Times New Roman" w:hAnsi="Times New Roman" w:cs="Times New Roman"/>
        </w:rPr>
      </w:pPr>
      <w:bookmarkStart w:id="211" w:name="_Toc17903"/>
      <w:bookmarkStart w:id="212" w:name="_Toc185931330"/>
      <w:bookmarkStart w:id="213" w:name="_Toc12933"/>
      <w:bookmarkStart w:id="214" w:name="_Toc25427"/>
      <w:bookmarkStart w:id="215" w:name="_Toc175064698"/>
      <w:r>
        <w:rPr>
          <w:rFonts w:ascii="Times New Roman" w:hAnsi="Times New Roman" w:cs="Times New Roman"/>
        </w:rPr>
        <w:t>第四节 “一张图”建设与实施监督</w:t>
      </w:r>
      <w:bookmarkEnd w:id="211"/>
      <w:bookmarkEnd w:id="212"/>
      <w:bookmarkEnd w:id="213"/>
      <w:bookmarkEnd w:id="214"/>
      <w:bookmarkEnd w:id="215"/>
    </w:p>
    <w:p w14:paraId="7EC87C2B">
      <w:pPr>
        <w:pStyle w:val="4"/>
        <w:numPr>
          <w:ilvl w:val="0"/>
          <w:numId w:val="36"/>
        </w:numPr>
        <w:ind w:left="420" w:firstLine="361" w:firstLineChars="113"/>
      </w:pPr>
      <w:r>
        <w:rPr>
          <w:rFonts w:hint="eastAsia"/>
        </w:rPr>
        <w:t>强化国土空间规划“一张图”管理</w:t>
      </w:r>
    </w:p>
    <w:p w14:paraId="6C50797A">
      <w:pPr>
        <w:adjustRightInd w:val="0"/>
        <w:snapToGrid w:val="0"/>
        <w:ind w:firstLine="640"/>
        <w:rPr>
          <w:rFonts w:cs="Times New Roman"/>
          <w:color w:val="000000"/>
          <w:szCs w:val="32"/>
        </w:rPr>
      </w:pPr>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665120E6">
      <w:pPr>
        <w:pStyle w:val="4"/>
        <w:numPr>
          <w:ilvl w:val="0"/>
          <w:numId w:val="1"/>
        </w:numPr>
        <w:ind w:left="860" w:firstLine="361" w:firstLineChars="113"/>
      </w:pPr>
      <w:r>
        <w:t>完善社会监督机制</w:t>
      </w:r>
    </w:p>
    <w:p w14:paraId="516800D4">
      <w:pPr>
        <w:adjustRightInd w:val="0"/>
        <w:snapToGrid w:val="0"/>
        <w:ind w:firstLine="640"/>
        <w:rPr>
          <w:rFonts w:cs="Times New Roman"/>
        </w:rPr>
      </w:pPr>
      <w:r>
        <w:rPr>
          <w:rFonts w:cs="Times New Roman"/>
          <w:color w:val="000000"/>
          <w:szCs w:val="32"/>
          <w:lang w:bidi="ar"/>
        </w:rPr>
        <w:t>坚持开门编规划，建立全流程、多渠道的公众参与和社会协同机制，调动公众和专家参与到规划编制—实施—监督—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p w14:paraId="335D7BE0">
      <w:pPr>
        <w:spacing w:line="560" w:lineRule="exact"/>
        <w:ind w:firstLine="0" w:firstLineChars="0"/>
        <w:rPr>
          <w:rFonts w:cs="Times New Roman"/>
          <w:szCs w:val="36"/>
        </w:rPr>
      </w:pPr>
    </w:p>
    <w:sectPr>
      <w:footerReference r:id="rId12" w:type="default"/>
      <w:pgSz w:w="11906" w:h="16838"/>
      <w:pgMar w:top="1440" w:right="1797" w:bottom="1440"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73EB59-6858-40A1-9280-73471705F10C}"/>
  </w:font>
  <w:font w:name="黑体">
    <w:panose1 w:val="02010609060101010101"/>
    <w:charset w:val="86"/>
    <w:family w:val="auto"/>
    <w:pitch w:val="default"/>
    <w:sig w:usb0="800002BF" w:usb1="38CF7CFA" w:usb2="00000016" w:usb3="00000000" w:csb0="00040001" w:csb1="00000000"/>
    <w:embedRegular r:id="rId2" w:fontKey="{FF96E5CE-53B3-47E0-B83E-A85FBA3D8A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9614489F-7F06-4BAA-92C5-61157707A6CE}"/>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445D3E74-3A85-4C50-8870-D2D26E26B5AB}"/>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5" w:fontKey="{64E2D506-DFC7-43F6-A954-A3BD5C09D8B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6" w:fontKey="{24858642-398D-4EC9-AFCD-C0320177F54B}"/>
  </w:font>
  <w:font w:name="微软雅黑">
    <w:panose1 w:val="020B0503020204020204"/>
    <w:charset w:val="86"/>
    <w:family w:val="swiss"/>
    <w:pitch w:val="default"/>
    <w:sig w:usb0="80000287" w:usb1="2ACF3C50" w:usb2="00000016" w:usb3="00000000" w:csb0="0004001F" w:csb1="00000000"/>
    <w:embedRegular r:id="rId7" w:fontKey="{C7F9690C-6F1C-43F0-942B-C3BFE4AD18A4}"/>
  </w:font>
  <w:font w:name="楷体">
    <w:panose1 w:val="02010609060101010101"/>
    <w:charset w:val="86"/>
    <w:family w:val="modern"/>
    <w:pitch w:val="default"/>
    <w:sig w:usb0="800002BF" w:usb1="38CF7CFA" w:usb2="00000016" w:usb3="00000000" w:csb0="00040001" w:csb1="00000000"/>
    <w:embedRegular r:id="rId8" w:fontKey="{D950C610-05C5-481D-AE98-E7ADC45F9766}"/>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604897"/>
    </w:sdtPr>
    <w:sdtContent>
      <w:p w14:paraId="59CBA424">
        <w:pPr>
          <w:pStyle w:val="11"/>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464CF2B">
    <w:pPr>
      <w:pStyle w:val="11"/>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272C">
    <w:pPr>
      <w:pStyle w:val="11"/>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6FD1A">
    <w:pPr>
      <w:pStyle w:val="11"/>
      <w:ind w:firstLine="360"/>
      <w:jc w:val="center"/>
      <w:rPr>
        <w:rFonts w:hint="eastAsia"/>
      </w:rPr>
    </w:pPr>
  </w:p>
  <w:p w14:paraId="0C58BB3F">
    <w:pPr>
      <w:pStyle w:val="11"/>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768989"/>
    </w:sdtPr>
    <w:sdtContent>
      <w:p w14:paraId="729B248D">
        <w:pPr>
          <w:pStyle w:val="11"/>
          <w:ind w:firstLine="360"/>
          <w:jc w:val="center"/>
          <w:rPr>
            <w:rFonts w:hint="eastAsia"/>
          </w:rPr>
        </w:pPr>
        <w:r>
          <w:fldChar w:fldCharType="begin"/>
        </w:r>
        <w:r>
          <w:instrText xml:space="preserve">PAGE   \* MERGEFORMAT</w:instrText>
        </w:r>
        <w:r>
          <w:fldChar w:fldCharType="separate"/>
        </w:r>
        <w:r>
          <w:rPr>
            <w:lang w:val="zh-CN"/>
          </w:rPr>
          <w:t>III</w:t>
        </w:r>
        <w:r>
          <w:fldChar w:fldCharType="end"/>
        </w:r>
      </w:p>
    </w:sdtContent>
  </w:sdt>
  <w:p w14:paraId="44D62F81">
    <w:pPr>
      <w:pStyle w:val="11"/>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5269648"/>
    </w:sdtPr>
    <w:sdtContent>
      <w:p w14:paraId="7D0E4B17">
        <w:pPr>
          <w:pStyle w:val="11"/>
          <w:ind w:firstLine="360"/>
          <w:jc w:val="center"/>
          <w:rPr>
            <w:rFonts w:hint="eastAsia"/>
          </w:rPr>
        </w:pPr>
        <w:r>
          <w:fldChar w:fldCharType="begin"/>
        </w:r>
        <w:r>
          <w:instrText xml:space="preserve">PAGE   \* MERGEFORMAT</w:instrText>
        </w:r>
        <w:r>
          <w:fldChar w:fldCharType="separate"/>
        </w:r>
        <w:r>
          <w:rPr>
            <w:lang w:val="zh-CN"/>
          </w:rPr>
          <w:t>72</w:t>
        </w:r>
        <w:r>
          <w:fldChar w:fldCharType="end"/>
        </w:r>
      </w:p>
    </w:sdtContent>
  </w:sdt>
  <w:p w14:paraId="2863AEB6">
    <w:pPr>
      <w:pStyle w:val="11"/>
      <w:ind w:firstLine="0" w:firstLineChars="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6F9E0">
    <w:pPr>
      <w:pStyle w:val="67"/>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63037">
    <w:pPr>
      <w:pStyle w:val="12"/>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9F7DB">
    <w:pPr>
      <w:pStyle w:val="67"/>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43FE2"/>
    <w:multiLevelType w:val="singleLevel"/>
    <w:tmpl w:val="CB743FE2"/>
    <w:lvl w:ilvl="0" w:tentative="0">
      <w:start w:val="1"/>
      <w:numFmt w:val="decimal"/>
      <w:pStyle w:val="7"/>
      <w:suff w:val="space"/>
      <w:lvlText w:val="专栏%1"/>
      <w:lvlJc w:val="left"/>
      <w:pPr>
        <w:tabs>
          <w:tab w:val="left" w:pos="5530"/>
        </w:tabs>
      </w:pPr>
      <w:rPr>
        <w:rFonts w:hint="default" w:ascii="黑体" w:hAnsi="黑体" w:eastAsia="黑体" w:cs="仿宋"/>
        <w:b w:val="0"/>
        <w:bCs/>
        <w:color w:val="auto"/>
        <w:sz w:val="30"/>
        <w:szCs w:val="24"/>
      </w:rPr>
    </w:lvl>
  </w:abstractNum>
  <w:abstractNum w:abstractNumId="1">
    <w:nsid w:val="1181304C"/>
    <w:multiLevelType w:val="multilevel"/>
    <w:tmpl w:val="1181304C"/>
    <w:lvl w:ilvl="0" w:tentative="0">
      <w:start w:val="1"/>
      <w:numFmt w:val="decimal"/>
      <w:lvlText w:val="第%1条"/>
      <w:lvlJc w:val="left"/>
      <w:pPr>
        <w:ind w:left="1756" w:hanging="1116"/>
      </w:pPr>
      <w:rPr>
        <w:rFonts w:hint="eastAsia"/>
        <w14:numSpacing w14:val="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2">
    <w:nsid w:val="3930289D"/>
    <w:multiLevelType w:val="multilevel"/>
    <w:tmpl w:val="3930289D"/>
    <w:lvl w:ilvl="0" w:tentative="0">
      <w:start w:val="1"/>
      <w:numFmt w:val="chineseCountingThousand"/>
      <w:pStyle w:val="4"/>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2"/>
  </w:num>
  <w:num w:numId="2">
    <w:abstractNumId w:val="0"/>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1"/>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起">
    <w15:presenceInfo w15:providerId="WPS Office" w15:userId="3193713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2NWYzMzdjMzBhZjRlMjZmODA2NWVjZjNjMTNmNzEifQ=="/>
  </w:docVars>
  <w:rsids>
    <w:rsidRoot w:val="001C0E5E"/>
    <w:rsid w:val="00001FC3"/>
    <w:rsid w:val="00003CCA"/>
    <w:rsid w:val="00004A39"/>
    <w:rsid w:val="00022B12"/>
    <w:rsid w:val="00022F7A"/>
    <w:rsid w:val="00025FCC"/>
    <w:rsid w:val="00031192"/>
    <w:rsid w:val="000318E8"/>
    <w:rsid w:val="00031970"/>
    <w:rsid w:val="00037E7C"/>
    <w:rsid w:val="00037EAE"/>
    <w:rsid w:val="000504A4"/>
    <w:rsid w:val="00055D9A"/>
    <w:rsid w:val="00057CC3"/>
    <w:rsid w:val="00064A58"/>
    <w:rsid w:val="00070A1C"/>
    <w:rsid w:val="0007170F"/>
    <w:rsid w:val="00077CB9"/>
    <w:rsid w:val="00082AB3"/>
    <w:rsid w:val="00084D49"/>
    <w:rsid w:val="000873B0"/>
    <w:rsid w:val="000941AD"/>
    <w:rsid w:val="00094828"/>
    <w:rsid w:val="000A2DD5"/>
    <w:rsid w:val="000A3F7B"/>
    <w:rsid w:val="000A5615"/>
    <w:rsid w:val="000A6F2B"/>
    <w:rsid w:val="000A7224"/>
    <w:rsid w:val="000B0065"/>
    <w:rsid w:val="000B3590"/>
    <w:rsid w:val="000B69A8"/>
    <w:rsid w:val="000C0F2A"/>
    <w:rsid w:val="000C17B9"/>
    <w:rsid w:val="000C2F2E"/>
    <w:rsid w:val="000C5F2D"/>
    <w:rsid w:val="000C686C"/>
    <w:rsid w:val="000C6E55"/>
    <w:rsid w:val="000D181B"/>
    <w:rsid w:val="000D1BFC"/>
    <w:rsid w:val="000D5B51"/>
    <w:rsid w:val="000D6C45"/>
    <w:rsid w:val="000D7FB5"/>
    <w:rsid w:val="000E146D"/>
    <w:rsid w:val="000E2F5F"/>
    <w:rsid w:val="000E338F"/>
    <w:rsid w:val="000E61E6"/>
    <w:rsid w:val="000E7035"/>
    <w:rsid w:val="000E7F94"/>
    <w:rsid w:val="000F332C"/>
    <w:rsid w:val="001020F9"/>
    <w:rsid w:val="00102126"/>
    <w:rsid w:val="00102517"/>
    <w:rsid w:val="00103A83"/>
    <w:rsid w:val="0010482B"/>
    <w:rsid w:val="00111AA2"/>
    <w:rsid w:val="00111C52"/>
    <w:rsid w:val="00117B4A"/>
    <w:rsid w:val="00117BDC"/>
    <w:rsid w:val="00122868"/>
    <w:rsid w:val="0013512D"/>
    <w:rsid w:val="00135583"/>
    <w:rsid w:val="00142A9B"/>
    <w:rsid w:val="00143DC8"/>
    <w:rsid w:val="00147A69"/>
    <w:rsid w:val="00153C89"/>
    <w:rsid w:val="00155787"/>
    <w:rsid w:val="00157ECA"/>
    <w:rsid w:val="001723E2"/>
    <w:rsid w:val="00184031"/>
    <w:rsid w:val="00184DB4"/>
    <w:rsid w:val="00185482"/>
    <w:rsid w:val="00187EFC"/>
    <w:rsid w:val="0019192C"/>
    <w:rsid w:val="001A22B9"/>
    <w:rsid w:val="001B2481"/>
    <w:rsid w:val="001B5B21"/>
    <w:rsid w:val="001C0E5E"/>
    <w:rsid w:val="001C6323"/>
    <w:rsid w:val="001D51A3"/>
    <w:rsid w:val="001E2866"/>
    <w:rsid w:val="001E4141"/>
    <w:rsid w:val="001E663B"/>
    <w:rsid w:val="001F0F9C"/>
    <w:rsid w:val="00203BDB"/>
    <w:rsid w:val="00205D04"/>
    <w:rsid w:val="00206795"/>
    <w:rsid w:val="00207115"/>
    <w:rsid w:val="00207CE4"/>
    <w:rsid w:val="00210160"/>
    <w:rsid w:val="00211C35"/>
    <w:rsid w:val="00214CF0"/>
    <w:rsid w:val="00224B99"/>
    <w:rsid w:val="00226FB8"/>
    <w:rsid w:val="00227375"/>
    <w:rsid w:val="002306DA"/>
    <w:rsid w:val="00230D0D"/>
    <w:rsid w:val="00232208"/>
    <w:rsid w:val="0023606F"/>
    <w:rsid w:val="002451A2"/>
    <w:rsid w:val="00245EDB"/>
    <w:rsid w:val="002564DF"/>
    <w:rsid w:val="00263A07"/>
    <w:rsid w:val="00270BB9"/>
    <w:rsid w:val="00271F11"/>
    <w:rsid w:val="00272087"/>
    <w:rsid w:val="00280769"/>
    <w:rsid w:val="00283C70"/>
    <w:rsid w:val="00284396"/>
    <w:rsid w:val="00285EA1"/>
    <w:rsid w:val="00290E58"/>
    <w:rsid w:val="002937FE"/>
    <w:rsid w:val="0029630B"/>
    <w:rsid w:val="00296FFD"/>
    <w:rsid w:val="002A1A0A"/>
    <w:rsid w:val="002A4982"/>
    <w:rsid w:val="002A68DD"/>
    <w:rsid w:val="002B7B32"/>
    <w:rsid w:val="002C0A61"/>
    <w:rsid w:val="002C0A99"/>
    <w:rsid w:val="002C20B2"/>
    <w:rsid w:val="002C21FA"/>
    <w:rsid w:val="002C69CF"/>
    <w:rsid w:val="002D10A9"/>
    <w:rsid w:val="002E0DC4"/>
    <w:rsid w:val="002E3568"/>
    <w:rsid w:val="002E419E"/>
    <w:rsid w:val="002E668F"/>
    <w:rsid w:val="002F3FF7"/>
    <w:rsid w:val="002F4002"/>
    <w:rsid w:val="002F54E3"/>
    <w:rsid w:val="002F5634"/>
    <w:rsid w:val="002F6A1B"/>
    <w:rsid w:val="003011C6"/>
    <w:rsid w:val="0030690F"/>
    <w:rsid w:val="00307AD5"/>
    <w:rsid w:val="0031149A"/>
    <w:rsid w:val="003126C0"/>
    <w:rsid w:val="00313D9A"/>
    <w:rsid w:val="00316629"/>
    <w:rsid w:val="00316E30"/>
    <w:rsid w:val="00324A76"/>
    <w:rsid w:val="00325794"/>
    <w:rsid w:val="00333E3F"/>
    <w:rsid w:val="00334414"/>
    <w:rsid w:val="00342EB7"/>
    <w:rsid w:val="003462BD"/>
    <w:rsid w:val="0035199A"/>
    <w:rsid w:val="00351EC4"/>
    <w:rsid w:val="0035298B"/>
    <w:rsid w:val="003542BF"/>
    <w:rsid w:val="00354340"/>
    <w:rsid w:val="00354A6C"/>
    <w:rsid w:val="00357373"/>
    <w:rsid w:val="00360776"/>
    <w:rsid w:val="00363255"/>
    <w:rsid w:val="003640DC"/>
    <w:rsid w:val="003642F9"/>
    <w:rsid w:val="00367B28"/>
    <w:rsid w:val="00371F20"/>
    <w:rsid w:val="00372006"/>
    <w:rsid w:val="00373B95"/>
    <w:rsid w:val="0037427F"/>
    <w:rsid w:val="00374DFB"/>
    <w:rsid w:val="00384FD2"/>
    <w:rsid w:val="003855A1"/>
    <w:rsid w:val="003907A1"/>
    <w:rsid w:val="0039272E"/>
    <w:rsid w:val="003963CF"/>
    <w:rsid w:val="00396B02"/>
    <w:rsid w:val="003A2CDE"/>
    <w:rsid w:val="003A316F"/>
    <w:rsid w:val="003A4B38"/>
    <w:rsid w:val="003A578B"/>
    <w:rsid w:val="003A6260"/>
    <w:rsid w:val="003A6916"/>
    <w:rsid w:val="003A6A51"/>
    <w:rsid w:val="003B00D8"/>
    <w:rsid w:val="003B1397"/>
    <w:rsid w:val="003B1764"/>
    <w:rsid w:val="003B1A90"/>
    <w:rsid w:val="003B35C9"/>
    <w:rsid w:val="003B70AF"/>
    <w:rsid w:val="003C10D5"/>
    <w:rsid w:val="003C4D3B"/>
    <w:rsid w:val="003D2302"/>
    <w:rsid w:val="003D2E3D"/>
    <w:rsid w:val="003D4A2D"/>
    <w:rsid w:val="003D6BCF"/>
    <w:rsid w:val="003E0CEB"/>
    <w:rsid w:val="003E1DA7"/>
    <w:rsid w:val="003E4F80"/>
    <w:rsid w:val="003F4682"/>
    <w:rsid w:val="00403B8C"/>
    <w:rsid w:val="00407E49"/>
    <w:rsid w:val="00407FAF"/>
    <w:rsid w:val="00410049"/>
    <w:rsid w:val="00410BCE"/>
    <w:rsid w:val="004110B5"/>
    <w:rsid w:val="00411307"/>
    <w:rsid w:val="00411D48"/>
    <w:rsid w:val="00412AE9"/>
    <w:rsid w:val="004145C4"/>
    <w:rsid w:val="004165D2"/>
    <w:rsid w:val="004211F2"/>
    <w:rsid w:val="00422157"/>
    <w:rsid w:val="00423C5E"/>
    <w:rsid w:val="00423DEA"/>
    <w:rsid w:val="0042674E"/>
    <w:rsid w:val="0042783A"/>
    <w:rsid w:val="00430D02"/>
    <w:rsid w:val="00431AE3"/>
    <w:rsid w:val="004321CB"/>
    <w:rsid w:val="00437141"/>
    <w:rsid w:val="004403F8"/>
    <w:rsid w:val="0044089B"/>
    <w:rsid w:val="004449A6"/>
    <w:rsid w:val="00451BCA"/>
    <w:rsid w:val="004548E7"/>
    <w:rsid w:val="00456128"/>
    <w:rsid w:val="004610D1"/>
    <w:rsid w:val="004709B3"/>
    <w:rsid w:val="004730C2"/>
    <w:rsid w:val="00473161"/>
    <w:rsid w:val="004732E9"/>
    <w:rsid w:val="00474EF0"/>
    <w:rsid w:val="004751C2"/>
    <w:rsid w:val="004930FD"/>
    <w:rsid w:val="00493CBF"/>
    <w:rsid w:val="004A3B61"/>
    <w:rsid w:val="004A673A"/>
    <w:rsid w:val="004A7980"/>
    <w:rsid w:val="004B07EE"/>
    <w:rsid w:val="004B105F"/>
    <w:rsid w:val="004B7898"/>
    <w:rsid w:val="004B79CE"/>
    <w:rsid w:val="004C46D1"/>
    <w:rsid w:val="004C61AB"/>
    <w:rsid w:val="004D4842"/>
    <w:rsid w:val="004D67FC"/>
    <w:rsid w:val="004E2D7E"/>
    <w:rsid w:val="004E4840"/>
    <w:rsid w:val="004F0534"/>
    <w:rsid w:val="004F0AF5"/>
    <w:rsid w:val="004F23B1"/>
    <w:rsid w:val="004F353A"/>
    <w:rsid w:val="004F3F1A"/>
    <w:rsid w:val="004F7815"/>
    <w:rsid w:val="00505CC8"/>
    <w:rsid w:val="00505E74"/>
    <w:rsid w:val="00512738"/>
    <w:rsid w:val="00514CAC"/>
    <w:rsid w:val="005206A9"/>
    <w:rsid w:val="005220A9"/>
    <w:rsid w:val="0053516F"/>
    <w:rsid w:val="00536503"/>
    <w:rsid w:val="0054002C"/>
    <w:rsid w:val="005445C9"/>
    <w:rsid w:val="0054494A"/>
    <w:rsid w:val="00546D69"/>
    <w:rsid w:val="005506FD"/>
    <w:rsid w:val="005513B5"/>
    <w:rsid w:val="00560B3F"/>
    <w:rsid w:val="00560FDC"/>
    <w:rsid w:val="0057287C"/>
    <w:rsid w:val="00573B9D"/>
    <w:rsid w:val="005747AD"/>
    <w:rsid w:val="005805B1"/>
    <w:rsid w:val="005838BD"/>
    <w:rsid w:val="00584BBA"/>
    <w:rsid w:val="005914A2"/>
    <w:rsid w:val="005938A1"/>
    <w:rsid w:val="00594494"/>
    <w:rsid w:val="005A24DD"/>
    <w:rsid w:val="005B0200"/>
    <w:rsid w:val="005B03DB"/>
    <w:rsid w:val="005B0714"/>
    <w:rsid w:val="005B613F"/>
    <w:rsid w:val="005B7511"/>
    <w:rsid w:val="005C62FF"/>
    <w:rsid w:val="005C6BD8"/>
    <w:rsid w:val="005C6CDE"/>
    <w:rsid w:val="005C7A48"/>
    <w:rsid w:val="005D71F5"/>
    <w:rsid w:val="005E4E62"/>
    <w:rsid w:val="005E7F23"/>
    <w:rsid w:val="005F2AB6"/>
    <w:rsid w:val="005F44A1"/>
    <w:rsid w:val="005F6CE7"/>
    <w:rsid w:val="0060036A"/>
    <w:rsid w:val="0060585E"/>
    <w:rsid w:val="00605C51"/>
    <w:rsid w:val="006068C8"/>
    <w:rsid w:val="00607D00"/>
    <w:rsid w:val="006102A7"/>
    <w:rsid w:val="00612EC3"/>
    <w:rsid w:val="0061370B"/>
    <w:rsid w:val="00620546"/>
    <w:rsid w:val="006212DE"/>
    <w:rsid w:val="00622F52"/>
    <w:rsid w:val="00624DDC"/>
    <w:rsid w:val="00634140"/>
    <w:rsid w:val="00640245"/>
    <w:rsid w:val="00640A6A"/>
    <w:rsid w:val="00643405"/>
    <w:rsid w:val="0064419B"/>
    <w:rsid w:val="00652C04"/>
    <w:rsid w:val="0066304D"/>
    <w:rsid w:val="006727FC"/>
    <w:rsid w:val="006748B5"/>
    <w:rsid w:val="006768A2"/>
    <w:rsid w:val="00680438"/>
    <w:rsid w:val="006825E2"/>
    <w:rsid w:val="00690BE8"/>
    <w:rsid w:val="006936B9"/>
    <w:rsid w:val="00695434"/>
    <w:rsid w:val="00696139"/>
    <w:rsid w:val="006973A0"/>
    <w:rsid w:val="00697FAC"/>
    <w:rsid w:val="006A726E"/>
    <w:rsid w:val="006A7613"/>
    <w:rsid w:val="006B00E8"/>
    <w:rsid w:val="006B1932"/>
    <w:rsid w:val="006B322A"/>
    <w:rsid w:val="006B4B5C"/>
    <w:rsid w:val="006B6C91"/>
    <w:rsid w:val="006B77D9"/>
    <w:rsid w:val="006C038C"/>
    <w:rsid w:val="006C4275"/>
    <w:rsid w:val="006D7F1A"/>
    <w:rsid w:val="006E38B1"/>
    <w:rsid w:val="006E3BEC"/>
    <w:rsid w:val="006E58F9"/>
    <w:rsid w:val="006E7845"/>
    <w:rsid w:val="006E7AAB"/>
    <w:rsid w:val="006F2A5A"/>
    <w:rsid w:val="007065AF"/>
    <w:rsid w:val="00710C67"/>
    <w:rsid w:val="00710E27"/>
    <w:rsid w:val="00722D2D"/>
    <w:rsid w:val="00723F44"/>
    <w:rsid w:val="0072475B"/>
    <w:rsid w:val="00730F0A"/>
    <w:rsid w:val="00735DD0"/>
    <w:rsid w:val="007404EF"/>
    <w:rsid w:val="00741909"/>
    <w:rsid w:val="00741935"/>
    <w:rsid w:val="00746E28"/>
    <w:rsid w:val="00755E3E"/>
    <w:rsid w:val="00757DFD"/>
    <w:rsid w:val="00761A9A"/>
    <w:rsid w:val="00761AD6"/>
    <w:rsid w:val="00763766"/>
    <w:rsid w:val="00764819"/>
    <w:rsid w:val="00772D48"/>
    <w:rsid w:val="0077422B"/>
    <w:rsid w:val="00775F40"/>
    <w:rsid w:val="00783080"/>
    <w:rsid w:val="0079019D"/>
    <w:rsid w:val="00792659"/>
    <w:rsid w:val="00796487"/>
    <w:rsid w:val="00796C1B"/>
    <w:rsid w:val="007A0974"/>
    <w:rsid w:val="007A1572"/>
    <w:rsid w:val="007A18B2"/>
    <w:rsid w:val="007A5463"/>
    <w:rsid w:val="007A649E"/>
    <w:rsid w:val="007B128C"/>
    <w:rsid w:val="007B1EA3"/>
    <w:rsid w:val="007C3FD3"/>
    <w:rsid w:val="007C5AF9"/>
    <w:rsid w:val="007C6775"/>
    <w:rsid w:val="007D1014"/>
    <w:rsid w:val="007D26F6"/>
    <w:rsid w:val="007D410B"/>
    <w:rsid w:val="007E2139"/>
    <w:rsid w:val="007E2962"/>
    <w:rsid w:val="007E4DCE"/>
    <w:rsid w:val="007E7732"/>
    <w:rsid w:val="007F016B"/>
    <w:rsid w:val="007F4D77"/>
    <w:rsid w:val="007F5054"/>
    <w:rsid w:val="008011CC"/>
    <w:rsid w:val="00801E86"/>
    <w:rsid w:val="008027A3"/>
    <w:rsid w:val="00805BA4"/>
    <w:rsid w:val="00810515"/>
    <w:rsid w:val="008107D5"/>
    <w:rsid w:val="00811484"/>
    <w:rsid w:val="0081694C"/>
    <w:rsid w:val="00822A67"/>
    <w:rsid w:val="008265F6"/>
    <w:rsid w:val="0082792A"/>
    <w:rsid w:val="008318D9"/>
    <w:rsid w:val="00832200"/>
    <w:rsid w:val="00832647"/>
    <w:rsid w:val="00832E39"/>
    <w:rsid w:val="008334FA"/>
    <w:rsid w:val="00833B8D"/>
    <w:rsid w:val="00834FE3"/>
    <w:rsid w:val="00842EB3"/>
    <w:rsid w:val="00856FF7"/>
    <w:rsid w:val="00860CCE"/>
    <w:rsid w:val="008646A7"/>
    <w:rsid w:val="00870077"/>
    <w:rsid w:val="00872187"/>
    <w:rsid w:val="00873B8D"/>
    <w:rsid w:val="008768BD"/>
    <w:rsid w:val="00880B0F"/>
    <w:rsid w:val="008910F6"/>
    <w:rsid w:val="008A1876"/>
    <w:rsid w:val="008B431C"/>
    <w:rsid w:val="008C346E"/>
    <w:rsid w:val="008C41CD"/>
    <w:rsid w:val="008C4476"/>
    <w:rsid w:val="008C5EE2"/>
    <w:rsid w:val="008D2040"/>
    <w:rsid w:val="008D4B1D"/>
    <w:rsid w:val="008D5218"/>
    <w:rsid w:val="008E17C9"/>
    <w:rsid w:val="008E2E4E"/>
    <w:rsid w:val="008E3B30"/>
    <w:rsid w:val="008E5325"/>
    <w:rsid w:val="008E55E6"/>
    <w:rsid w:val="008E7AE7"/>
    <w:rsid w:val="008F151D"/>
    <w:rsid w:val="00904171"/>
    <w:rsid w:val="009054BA"/>
    <w:rsid w:val="00906C1F"/>
    <w:rsid w:val="00906EF1"/>
    <w:rsid w:val="00911BDF"/>
    <w:rsid w:val="0091770E"/>
    <w:rsid w:val="00922D95"/>
    <w:rsid w:val="00924C10"/>
    <w:rsid w:val="00924F8D"/>
    <w:rsid w:val="009264C4"/>
    <w:rsid w:val="00931D32"/>
    <w:rsid w:val="00936C1B"/>
    <w:rsid w:val="00937AC9"/>
    <w:rsid w:val="0094170C"/>
    <w:rsid w:val="009426AA"/>
    <w:rsid w:val="0094336D"/>
    <w:rsid w:val="00950B3D"/>
    <w:rsid w:val="0095180B"/>
    <w:rsid w:val="00960C08"/>
    <w:rsid w:val="009653BC"/>
    <w:rsid w:val="00966DA5"/>
    <w:rsid w:val="0097205F"/>
    <w:rsid w:val="009809F4"/>
    <w:rsid w:val="00981250"/>
    <w:rsid w:val="00985D45"/>
    <w:rsid w:val="0098686C"/>
    <w:rsid w:val="00991EFA"/>
    <w:rsid w:val="00992AC5"/>
    <w:rsid w:val="00995E56"/>
    <w:rsid w:val="00996B6E"/>
    <w:rsid w:val="009A0D95"/>
    <w:rsid w:val="009A3708"/>
    <w:rsid w:val="009B15CE"/>
    <w:rsid w:val="009B2CE0"/>
    <w:rsid w:val="009B5762"/>
    <w:rsid w:val="009B76DF"/>
    <w:rsid w:val="009C13BF"/>
    <w:rsid w:val="009C2752"/>
    <w:rsid w:val="009C2DF6"/>
    <w:rsid w:val="009C684F"/>
    <w:rsid w:val="009D27A8"/>
    <w:rsid w:val="009D5F1B"/>
    <w:rsid w:val="009E141E"/>
    <w:rsid w:val="009E3606"/>
    <w:rsid w:val="009E420B"/>
    <w:rsid w:val="009E498D"/>
    <w:rsid w:val="009F03E9"/>
    <w:rsid w:val="009F55BF"/>
    <w:rsid w:val="009F5D6E"/>
    <w:rsid w:val="00A01FD2"/>
    <w:rsid w:val="00A02BD0"/>
    <w:rsid w:val="00A04C5A"/>
    <w:rsid w:val="00A13EBB"/>
    <w:rsid w:val="00A147DD"/>
    <w:rsid w:val="00A15795"/>
    <w:rsid w:val="00A15BA3"/>
    <w:rsid w:val="00A1704C"/>
    <w:rsid w:val="00A17980"/>
    <w:rsid w:val="00A23EBE"/>
    <w:rsid w:val="00A3226B"/>
    <w:rsid w:val="00A36F3D"/>
    <w:rsid w:val="00A40782"/>
    <w:rsid w:val="00A41413"/>
    <w:rsid w:val="00A43459"/>
    <w:rsid w:val="00A54DC0"/>
    <w:rsid w:val="00A54FE6"/>
    <w:rsid w:val="00A61808"/>
    <w:rsid w:val="00A655D9"/>
    <w:rsid w:val="00A72EC0"/>
    <w:rsid w:val="00A74F2D"/>
    <w:rsid w:val="00A84A6C"/>
    <w:rsid w:val="00A85287"/>
    <w:rsid w:val="00A873AE"/>
    <w:rsid w:val="00A90D92"/>
    <w:rsid w:val="00A9406F"/>
    <w:rsid w:val="00AA26F3"/>
    <w:rsid w:val="00AA3BB1"/>
    <w:rsid w:val="00AA44B2"/>
    <w:rsid w:val="00AB1AEF"/>
    <w:rsid w:val="00AB4626"/>
    <w:rsid w:val="00AB4B3C"/>
    <w:rsid w:val="00AC1142"/>
    <w:rsid w:val="00AD6B1F"/>
    <w:rsid w:val="00AE137E"/>
    <w:rsid w:val="00AE171F"/>
    <w:rsid w:val="00AE3205"/>
    <w:rsid w:val="00AE6258"/>
    <w:rsid w:val="00AE6617"/>
    <w:rsid w:val="00AF6F8D"/>
    <w:rsid w:val="00AF71BA"/>
    <w:rsid w:val="00B01059"/>
    <w:rsid w:val="00B04B2E"/>
    <w:rsid w:val="00B071A2"/>
    <w:rsid w:val="00B0799D"/>
    <w:rsid w:val="00B23A12"/>
    <w:rsid w:val="00B25F99"/>
    <w:rsid w:val="00B306B0"/>
    <w:rsid w:val="00B308F6"/>
    <w:rsid w:val="00B3177A"/>
    <w:rsid w:val="00B3645E"/>
    <w:rsid w:val="00B4021C"/>
    <w:rsid w:val="00B42FAE"/>
    <w:rsid w:val="00B43973"/>
    <w:rsid w:val="00B45B0C"/>
    <w:rsid w:val="00B46332"/>
    <w:rsid w:val="00B47975"/>
    <w:rsid w:val="00B50C60"/>
    <w:rsid w:val="00B51218"/>
    <w:rsid w:val="00B51E97"/>
    <w:rsid w:val="00B52500"/>
    <w:rsid w:val="00B57036"/>
    <w:rsid w:val="00B632F9"/>
    <w:rsid w:val="00B65C27"/>
    <w:rsid w:val="00B65D12"/>
    <w:rsid w:val="00B66AA2"/>
    <w:rsid w:val="00B71211"/>
    <w:rsid w:val="00B73013"/>
    <w:rsid w:val="00B75BF0"/>
    <w:rsid w:val="00B76925"/>
    <w:rsid w:val="00B81C43"/>
    <w:rsid w:val="00B845F5"/>
    <w:rsid w:val="00B84EC5"/>
    <w:rsid w:val="00B90C60"/>
    <w:rsid w:val="00B93D2E"/>
    <w:rsid w:val="00BA1256"/>
    <w:rsid w:val="00BA1E28"/>
    <w:rsid w:val="00BA6E2E"/>
    <w:rsid w:val="00BB1287"/>
    <w:rsid w:val="00BB4D6A"/>
    <w:rsid w:val="00BC40DB"/>
    <w:rsid w:val="00BD10AD"/>
    <w:rsid w:val="00BD21BA"/>
    <w:rsid w:val="00BD73BB"/>
    <w:rsid w:val="00BE0D73"/>
    <w:rsid w:val="00BF3F19"/>
    <w:rsid w:val="00BF4097"/>
    <w:rsid w:val="00C031CE"/>
    <w:rsid w:val="00C04ACB"/>
    <w:rsid w:val="00C04F14"/>
    <w:rsid w:val="00C0593B"/>
    <w:rsid w:val="00C11411"/>
    <w:rsid w:val="00C16B2D"/>
    <w:rsid w:val="00C17A89"/>
    <w:rsid w:val="00C2089C"/>
    <w:rsid w:val="00C20EE0"/>
    <w:rsid w:val="00C20F71"/>
    <w:rsid w:val="00C22E93"/>
    <w:rsid w:val="00C246A5"/>
    <w:rsid w:val="00C25217"/>
    <w:rsid w:val="00C4085C"/>
    <w:rsid w:val="00C410E9"/>
    <w:rsid w:val="00C423EF"/>
    <w:rsid w:val="00C44E8B"/>
    <w:rsid w:val="00C453CE"/>
    <w:rsid w:val="00C605A8"/>
    <w:rsid w:val="00C62264"/>
    <w:rsid w:val="00C62B08"/>
    <w:rsid w:val="00C705D6"/>
    <w:rsid w:val="00C80C19"/>
    <w:rsid w:val="00C83534"/>
    <w:rsid w:val="00C83B31"/>
    <w:rsid w:val="00C849D7"/>
    <w:rsid w:val="00C90C14"/>
    <w:rsid w:val="00C93107"/>
    <w:rsid w:val="00C950F6"/>
    <w:rsid w:val="00CA1A39"/>
    <w:rsid w:val="00CA36CF"/>
    <w:rsid w:val="00CA66E7"/>
    <w:rsid w:val="00CB19C1"/>
    <w:rsid w:val="00CD158E"/>
    <w:rsid w:val="00CD5C1C"/>
    <w:rsid w:val="00CD5ECA"/>
    <w:rsid w:val="00CE316C"/>
    <w:rsid w:val="00CE3BCE"/>
    <w:rsid w:val="00CE785C"/>
    <w:rsid w:val="00CF498D"/>
    <w:rsid w:val="00CF4A34"/>
    <w:rsid w:val="00D0051D"/>
    <w:rsid w:val="00D00D54"/>
    <w:rsid w:val="00D038B8"/>
    <w:rsid w:val="00D05023"/>
    <w:rsid w:val="00D05DBA"/>
    <w:rsid w:val="00D061B0"/>
    <w:rsid w:val="00D07132"/>
    <w:rsid w:val="00D07875"/>
    <w:rsid w:val="00D100EE"/>
    <w:rsid w:val="00D1653C"/>
    <w:rsid w:val="00D352F1"/>
    <w:rsid w:val="00D4261B"/>
    <w:rsid w:val="00D43098"/>
    <w:rsid w:val="00D43B25"/>
    <w:rsid w:val="00D447F6"/>
    <w:rsid w:val="00D4698E"/>
    <w:rsid w:val="00D5720D"/>
    <w:rsid w:val="00D62E38"/>
    <w:rsid w:val="00D63662"/>
    <w:rsid w:val="00D648F2"/>
    <w:rsid w:val="00D66651"/>
    <w:rsid w:val="00D670FB"/>
    <w:rsid w:val="00D731DD"/>
    <w:rsid w:val="00D77D8A"/>
    <w:rsid w:val="00D81471"/>
    <w:rsid w:val="00D835B6"/>
    <w:rsid w:val="00D835C2"/>
    <w:rsid w:val="00D84386"/>
    <w:rsid w:val="00D848B9"/>
    <w:rsid w:val="00D848C8"/>
    <w:rsid w:val="00D866BD"/>
    <w:rsid w:val="00D9282C"/>
    <w:rsid w:val="00D9313E"/>
    <w:rsid w:val="00D96DC7"/>
    <w:rsid w:val="00D97F0C"/>
    <w:rsid w:val="00DB2959"/>
    <w:rsid w:val="00DB5965"/>
    <w:rsid w:val="00DB6C4C"/>
    <w:rsid w:val="00DC1CF2"/>
    <w:rsid w:val="00DC25D5"/>
    <w:rsid w:val="00DC61F7"/>
    <w:rsid w:val="00DD02E7"/>
    <w:rsid w:val="00DD3248"/>
    <w:rsid w:val="00DD5D12"/>
    <w:rsid w:val="00DE706A"/>
    <w:rsid w:val="00DF03DD"/>
    <w:rsid w:val="00DF102D"/>
    <w:rsid w:val="00DF3C2A"/>
    <w:rsid w:val="00E01371"/>
    <w:rsid w:val="00E040EA"/>
    <w:rsid w:val="00E1263D"/>
    <w:rsid w:val="00E15C4E"/>
    <w:rsid w:val="00E30B61"/>
    <w:rsid w:val="00E3342C"/>
    <w:rsid w:val="00E372D8"/>
    <w:rsid w:val="00E462D7"/>
    <w:rsid w:val="00E521A9"/>
    <w:rsid w:val="00E52870"/>
    <w:rsid w:val="00E6146B"/>
    <w:rsid w:val="00E6513B"/>
    <w:rsid w:val="00E65C2C"/>
    <w:rsid w:val="00E6659F"/>
    <w:rsid w:val="00E66A73"/>
    <w:rsid w:val="00E728A8"/>
    <w:rsid w:val="00E7460B"/>
    <w:rsid w:val="00E80EEA"/>
    <w:rsid w:val="00E82FAB"/>
    <w:rsid w:val="00E86A1C"/>
    <w:rsid w:val="00E87D41"/>
    <w:rsid w:val="00E92F24"/>
    <w:rsid w:val="00E953B3"/>
    <w:rsid w:val="00E95E9A"/>
    <w:rsid w:val="00EA002F"/>
    <w:rsid w:val="00EA245E"/>
    <w:rsid w:val="00EA28B8"/>
    <w:rsid w:val="00EA5866"/>
    <w:rsid w:val="00EB3388"/>
    <w:rsid w:val="00ED3DDE"/>
    <w:rsid w:val="00ED691F"/>
    <w:rsid w:val="00ED74CC"/>
    <w:rsid w:val="00EE35A5"/>
    <w:rsid w:val="00EE469D"/>
    <w:rsid w:val="00EE4C13"/>
    <w:rsid w:val="00EE6883"/>
    <w:rsid w:val="00EE7C34"/>
    <w:rsid w:val="00EF05C1"/>
    <w:rsid w:val="00EF101F"/>
    <w:rsid w:val="00EF57D9"/>
    <w:rsid w:val="00F02065"/>
    <w:rsid w:val="00F0248C"/>
    <w:rsid w:val="00F14610"/>
    <w:rsid w:val="00F15065"/>
    <w:rsid w:val="00F1771B"/>
    <w:rsid w:val="00F17870"/>
    <w:rsid w:val="00F231C9"/>
    <w:rsid w:val="00F31717"/>
    <w:rsid w:val="00F317E8"/>
    <w:rsid w:val="00F338DC"/>
    <w:rsid w:val="00F413D3"/>
    <w:rsid w:val="00F4572F"/>
    <w:rsid w:val="00F5267E"/>
    <w:rsid w:val="00F55C0F"/>
    <w:rsid w:val="00F5626A"/>
    <w:rsid w:val="00F70109"/>
    <w:rsid w:val="00F70C61"/>
    <w:rsid w:val="00F77DE7"/>
    <w:rsid w:val="00F842DB"/>
    <w:rsid w:val="00F950B1"/>
    <w:rsid w:val="00FA0CF9"/>
    <w:rsid w:val="00FA3BA4"/>
    <w:rsid w:val="00FB2003"/>
    <w:rsid w:val="00FB336D"/>
    <w:rsid w:val="00FB3DEC"/>
    <w:rsid w:val="00FB5F8D"/>
    <w:rsid w:val="00FC0DDA"/>
    <w:rsid w:val="00FC7628"/>
    <w:rsid w:val="00FE38D8"/>
    <w:rsid w:val="00FF1492"/>
    <w:rsid w:val="00FF5E33"/>
    <w:rsid w:val="03DD6F69"/>
    <w:rsid w:val="06B156A8"/>
    <w:rsid w:val="073765D4"/>
    <w:rsid w:val="07970545"/>
    <w:rsid w:val="08113F5D"/>
    <w:rsid w:val="0883697F"/>
    <w:rsid w:val="099E1F14"/>
    <w:rsid w:val="0DD34156"/>
    <w:rsid w:val="0DFA7935"/>
    <w:rsid w:val="104E43FB"/>
    <w:rsid w:val="10B33421"/>
    <w:rsid w:val="119F4A22"/>
    <w:rsid w:val="12694E41"/>
    <w:rsid w:val="126D6927"/>
    <w:rsid w:val="12883761"/>
    <w:rsid w:val="137D2B9A"/>
    <w:rsid w:val="13AD3C2D"/>
    <w:rsid w:val="13D75B0F"/>
    <w:rsid w:val="13F80CC8"/>
    <w:rsid w:val="16647AFE"/>
    <w:rsid w:val="16E73D9E"/>
    <w:rsid w:val="17422768"/>
    <w:rsid w:val="17D36362"/>
    <w:rsid w:val="17E659EF"/>
    <w:rsid w:val="1CC932F4"/>
    <w:rsid w:val="1E3306B3"/>
    <w:rsid w:val="1F3D3B25"/>
    <w:rsid w:val="1F7C3CCA"/>
    <w:rsid w:val="24973CD7"/>
    <w:rsid w:val="24CB79A4"/>
    <w:rsid w:val="27170B66"/>
    <w:rsid w:val="27681876"/>
    <w:rsid w:val="295219C7"/>
    <w:rsid w:val="297B4D9F"/>
    <w:rsid w:val="29C50461"/>
    <w:rsid w:val="2CF83005"/>
    <w:rsid w:val="2E303401"/>
    <w:rsid w:val="2FFA5900"/>
    <w:rsid w:val="309E22DC"/>
    <w:rsid w:val="31EE4C2D"/>
    <w:rsid w:val="35F22A9F"/>
    <w:rsid w:val="395F496C"/>
    <w:rsid w:val="3A3E6B0B"/>
    <w:rsid w:val="3A5C5FF0"/>
    <w:rsid w:val="3ABB6DCC"/>
    <w:rsid w:val="3B756E6C"/>
    <w:rsid w:val="3D08103A"/>
    <w:rsid w:val="3DAF2B3B"/>
    <w:rsid w:val="3DFF5D7C"/>
    <w:rsid w:val="3E1A3557"/>
    <w:rsid w:val="3E5F4F3D"/>
    <w:rsid w:val="3FA41114"/>
    <w:rsid w:val="41807B75"/>
    <w:rsid w:val="418A1F04"/>
    <w:rsid w:val="41C17A3D"/>
    <w:rsid w:val="41DD0B24"/>
    <w:rsid w:val="423D15C3"/>
    <w:rsid w:val="42962E63"/>
    <w:rsid w:val="4355293C"/>
    <w:rsid w:val="43747266"/>
    <w:rsid w:val="44CE6E4A"/>
    <w:rsid w:val="456B4699"/>
    <w:rsid w:val="45954F09"/>
    <w:rsid w:val="459E7001"/>
    <w:rsid w:val="462A2A4B"/>
    <w:rsid w:val="466716AC"/>
    <w:rsid w:val="4691012F"/>
    <w:rsid w:val="469F40CF"/>
    <w:rsid w:val="46A53BB8"/>
    <w:rsid w:val="47C16EC7"/>
    <w:rsid w:val="47EC23B5"/>
    <w:rsid w:val="4B7A3887"/>
    <w:rsid w:val="4C516396"/>
    <w:rsid w:val="4CB451F4"/>
    <w:rsid w:val="4DB56DF9"/>
    <w:rsid w:val="51D9775A"/>
    <w:rsid w:val="521F6F37"/>
    <w:rsid w:val="524E63C9"/>
    <w:rsid w:val="52FE2CD0"/>
    <w:rsid w:val="544D1B39"/>
    <w:rsid w:val="547B3A4E"/>
    <w:rsid w:val="54813CE6"/>
    <w:rsid w:val="553C395C"/>
    <w:rsid w:val="55784826"/>
    <w:rsid w:val="5579695E"/>
    <w:rsid w:val="578A1A24"/>
    <w:rsid w:val="59021413"/>
    <w:rsid w:val="5D1B16E2"/>
    <w:rsid w:val="5D9B78FA"/>
    <w:rsid w:val="605C563B"/>
    <w:rsid w:val="61D859B6"/>
    <w:rsid w:val="63175D49"/>
    <w:rsid w:val="635E0636"/>
    <w:rsid w:val="649D4417"/>
    <w:rsid w:val="693A3094"/>
    <w:rsid w:val="6E5A01A7"/>
    <w:rsid w:val="70930DA5"/>
    <w:rsid w:val="723D7D5A"/>
    <w:rsid w:val="72593103"/>
    <w:rsid w:val="728C694C"/>
    <w:rsid w:val="73944E9E"/>
    <w:rsid w:val="748B0261"/>
    <w:rsid w:val="74A0585D"/>
    <w:rsid w:val="753C330D"/>
    <w:rsid w:val="75D1002B"/>
    <w:rsid w:val="76413D9E"/>
    <w:rsid w:val="76891F79"/>
    <w:rsid w:val="769D2054"/>
    <w:rsid w:val="775F3364"/>
    <w:rsid w:val="782204D0"/>
    <w:rsid w:val="79DC2E94"/>
    <w:rsid w:val="7A555342"/>
    <w:rsid w:val="7AE75B3A"/>
    <w:rsid w:val="7B5C26B1"/>
    <w:rsid w:val="7C360AF9"/>
    <w:rsid w:val="7D0467F5"/>
    <w:rsid w:val="7F833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next w:val="1"/>
    <w:link w:val="24"/>
    <w:qFormat/>
    <w:uiPriority w:val="9"/>
    <w:pPr>
      <w:keepNext/>
      <w:keepLines/>
      <w:pageBreakBefore/>
      <w:spacing w:before="100" w:beforeLines="100" w:after="100" w:afterLines="100"/>
      <w:jc w:val="center"/>
      <w:outlineLvl w:val="0"/>
    </w:pPr>
    <w:rPr>
      <w:rFonts w:ascii="方正小标宋简体" w:hAnsi="黑体" w:eastAsia="方正小标宋简体" w:cs="黑体"/>
      <w:color w:val="000000"/>
      <w:kern w:val="2"/>
      <w:sz w:val="36"/>
      <w:szCs w:val="22"/>
      <w:lang w:val="en-US" w:eastAsia="zh-CN" w:bidi="ar-SA"/>
    </w:rPr>
  </w:style>
  <w:style w:type="paragraph" w:styleId="3">
    <w:name w:val="heading 2"/>
    <w:next w:val="1"/>
    <w:link w:val="25"/>
    <w:unhideWhenUsed/>
    <w:qFormat/>
    <w:uiPriority w:val="9"/>
    <w:pPr>
      <w:keepNext/>
      <w:keepLines/>
      <w:spacing w:before="12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26"/>
    <w:unhideWhenUsed/>
    <w:qFormat/>
    <w:uiPriority w:val="9"/>
    <w:pPr>
      <w:keepNext/>
      <w:keepLines/>
      <w:numPr>
        <w:ilvl w:val="0"/>
        <w:numId w:val="1"/>
      </w:numPr>
      <w:spacing w:before="120" w:after="120"/>
      <w:ind w:left="420" w:firstLine="113" w:firstLineChars="113"/>
      <w:outlineLvl w:val="2"/>
      <w:pPrChange w:id="0" w:author="起 杨" w:date="2026-02-09T14:36:00Z">
        <w:pPr>
          <w:keepNext/>
          <w:keepLines/>
          <w:widowControl w:val="0"/>
          <w:numPr>
            <w:numId w:val="1"/>
          </w:numPr>
          <w:spacing w:before="120" w:after="120" w:line="600" w:lineRule="exact"/>
          <w:ind w:left="860" w:hanging="440" w:firstLineChars="200"/>
          <w:jc w:val="both"/>
          <w:outlineLvl w:val="2"/>
        </w:pPr>
      </w:pPrChange>
    </w:pPr>
    <w:rPr>
      <w:rFonts w:eastAsia="楷体_GB2312"/>
      <w:bCs/>
      <w:szCs w:val="32"/>
      <w:rPrChange w:id="1" w:author="起 杨" w:date="2026-02-09T14:36:00Z">
        <w:rPr>
          <w:rFonts w:eastAsia="楷体_GB2312" w:cstheme="minorBidi"/>
          <w:bCs/>
          <w:kern w:val="2"/>
          <w:sz w:val="32"/>
          <w:szCs w:val="32"/>
          <w:lang w:val="en-US" w:eastAsia="zh-CN" w:bidi="ar-SA"/>
        </w:rPr>
      </w:rPrChange>
    </w:rPr>
  </w:style>
  <w:style w:type="paragraph" w:styleId="6">
    <w:name w:val="heading 4"/>
    <w:basedOn w:val="1"/>
    <w:next w:val="1"/>
    <w:link w:val="29"/>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autoRedefine/>
    <w:qFormat/>
    <w:uiPriority w:val="34"/>
    <w:pPr>
      <w:ind w:firstLine="420"/>
    </w:pPr>
  </w:style>
  <w:style w:type="paragraph" w:styleId="7">
    <w:name w:val="caption"/>
    <w:basedOn w:val="1"/>
    <w:next w:val="1"/>
    <w:autoRedefine/>
    <w:qFormat/>
    <w:uiPriority w:val="35"/>
    <w:pPr>
      <w:numPr>
        <w:ilvl w:val="0"/>
        <w:numId w:val="2"/>
      </w:numPr>
      <w:tabs>
        <w:tab w:val="left" w:pos="0"/>
      </w:tabs>
      <w:spacing w:line="500" w:lineRule="exact"/>
      <w:ind w:firstLine="0" w:firstLineChars="0"/>
      <w:jc w:val="center"/>
    </w:pPr>
    <w:rPr>
      <w:rFonts w:ascii="黑体" w:hAnsi="黑体" w:eastAsia="黑体" w:cs="黑体"/>
      <w:sz w:val="28"/>
      <w:szCs w:val="30"/>
    </w:rPr>
  </w:style>
  <w:style w:type="paragraph" w:styleId="8">
    <w:name w:val="annotation text"/>
    <w:basedOn w:val="1"/>
    <w:link w:val="27"/>
    <w:autoRedefine/>
    <w:semiHidden/>
    <w:unhideWhenUsed/>
    <w:qFormat/>
    <w:uiPriority w:val="99"/>
    <w:pPr>
      <w:jc w:val="left"/>
    </w:pPr>
  </w:style>
  <w:style w:type="paragraph" w:styleId="9">
    <w:name w:val="Date"/>
    <w:basedOn w:val="1"/>
    <w:next w:val="1"/>
    <w:link w:val="69"/>
    <w:semiHidden/>
    <w:unhideWhenUsed/>
    <w:qFormat/>
    <w:uiPriority w:val="99"/>
    <w:pPr>
      <w:ind w:left="100" w:leftChars="2500"/>
    </w:pPr>
  </w:style>
  <w:style w:type="paragraph" w:styleId="10">
    <w:name w:val="Balloon Text"/>
    <w:basedOn w:val="1"/>
    <w:link w:val="65"/>
    <w:autoRedefine/>
    <w:semiHidden/>
    <w:unhideWhenUsed/>
    <w:qFormat/>
    <w:uiPriority w:val="99"/>
    <w:pPr>
      <w:spacing w:line="240" w:lineRule="auto"/>
    </w:pPr>
    <w:rPr>
      <w:sz w:val="18"/>
      <w:szCs w:val="18"/>
    </w:rPr>
  </w:style>
  <w:style w:type="paragraph" w:styleId="11">
    <w:name w:val="footer"/>
    <w:basedOn w:val="1"/>
    <w:link w:val="32"/>
    <w:autoRedefine/>
    <w:unhideWhenUsed/>
    <w:qFormat/>
    <w:uiPriority w:val="99"/>
    <w:pPr>
      <w:widowControl/>
      <w:tabs>
        <w:tab w:val="center" w:pos="4153"/>
        <w:tab w:val="right" w:pos="8306"/>
      </w:tabs>
      <w:adjustRightInd w:val="0"/>
      <w:snapToGrid w:val="0"/>
      <w:spacing w:line="240" w:lineRule="auto"/>
    </w:pPr>
    <w:rPr>
      <w:rFonts w:ascii="仿宋_GB2312" w:hAnsi="仿宋" w:cs="仿宋"/>
      <w:color w:val="000000"/>
      <w:sz w:val="18"/>
      <w:szCs w:val="18"/>
    </w:rPr>
  </w:style>
  <w:style w:type="paragraph" w:styleId="12">
    <w:name w:val="header"/>
    <w:basedOn w:val="1"/>
    <w:link w:val="33"/>
    <w:autoRedefine/>
    <w:unhideWhenUsed/>
    <w:qFormat/>
    <w:uiPriority w:val="99"/>
    <w:pPr>
      <w:widowControl/>
      <w:pBdr>
        <w:bottom w:val="single" w:color="auto" w:sz="6" w:space="1"/>
      </w:pBdr>
      <w:tabs>
        <w:tab w:val="center" w:pos="4153"/>
        <w:tab w:val="right" w:pos="8306"/>
      </w:tabs>
      <w:adjustRightInd w:val="0"/>
      <w:snapToGrid w:val="0"/>
      <w:spacing w:line="240" w:lineRule="auto"/>
      <w:jc w:val="center"/>
    </w:pPr>
    <w:rPr>
      <w:rFonts w:ascii="仿宋_GB2312" w:hAnsi="仿宋" w:cs="仿宋"/>
      <w:color w:val="000000"/>
      <w:sz w:val="18"/>
      <w:szCs w:val="18"/>
    </w:rPr>
  </w:style>
  <w:style w:type="paragraph" w:styleId="13">
    <w:name w:val="toc 1"/>
    <w:basedOn w:val="1"/>
    <w:next w:val="1"/>
    <w:autoRedefine/>
    <w:unhideWhenUsed/>
    <w:qFormat/>
    <w:uiPriority w:val="39"/>
    <w:pPr>
      <w:tabs>
        <w:tab w:val="right" w:leader="dot" w:pos="8302"/>
      </w:tabs>
      <w:ind w:firstLine="640" w:firstLineChars="0"/>
    </w:pPr>
    <w:rPr>
      <w:rFonts w:eastAsia="黑体" w:asciiTheme="majorHAnsi" w:hAnsiTheme="majorHAnsi"/>
    </w:rPr>
  </w:style>
  <w:style w:type="paragraph" w:styleId="14">
    <w:name w:val="toc 2"/>
    <w:basedOn w:val="1"/>
    <w:next w:val="1"/>
    <w:autoRedefine/>
    <w:unhideWhenUsed/>
    <w:qFormat/>
    <w:uiPriority w:val="39"/>
    <w:pPr>
      <w:ind w:left="200" w:leftChars="200"/>
    </w:pPr>
  </w:style>
  <w:style w:type="paragraph" w:styleId="15">
    <w:name w:val="Normal (Web)"/>
    <w:basedOn w:val="1"/>
    <w:autoRedefine/>
    <w:unhideWhenUsed/>
    <w:qFormat/>
    <w:uiPriority w:val="99"/>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6">
    <w:name w:val="annotation subject"/>
    <w:basedOn w:val="8"/>
    <w:next w:val="8"/>
    <w:link w:val="28"/>
    <w:autoRedefine/>
    <w:semiHidden/>
    <w:unhideWhenUsed/>
    <w:qFormat/>
    <w:uiPriority w:val="99"/>
    <w:rPr>
      <w:b/>
      <w:bCs/>
    </w:rPr>
  </w:style>
  <w:style w:type="table" w:styleId="18">
    <w:name w:val="Table Grid"/>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autoRedefine/>
    <w:unhideWhenUsed/>
    <w:qFormat/>
    <w:uiPriority w:val="99"/>
    <w:rPr>
      <w:color w:val="0563C1" w:themeColor="hyperlink"/>
      <w:u w:val="single"/>
      <w14:textFill>
        <w14:solidFill>
          <w14:schemeClr w14:val="hlink"/>
        </w14:solidFill>
      </w14:textFill>
    </w:rPr>
  </w:style>
  <w:style w:type="character" w:styleId="21">
    <w:name w:val="annotation reference"/>
    <w:basedOn w:val="19"/>
    <w:autoRedefine/>
    <w:semiHidden/>
    <w:unhideWhenUsed/>
    <w:qFormat/>
    <w:uiPriority w:val="99"/>
    <w:rPr>
      <w:sz w:val="21"/>
      <w:szCs w:val="21"/>
    </w:rPr>
  </w:style>
  <w:style w:type="paragraph" w:customStyle="1" w:styleId="22">
    <w:name w:val="封面"/>
    <w:basedOn w:val="1"/>
    <w:link w:val="23"/>
    <w:autoRedefine/>
    <w:qFormat/>
    <w:uiPriority w:val="0"/>
    <w:pPr>
      <w:ind w:firstLine="640"/>
      <w:jc w:val="center"/>
    </w:pPr>
    <w:rPr>
      <w:rFonts w:eastAsia="方正小标宋简体"/>
      <w:sz w:val="52"/>
    </w:rPr>
  </w:style>
  <w:style w:type="character" w:customStyle="1" w:styleId="23">
    <w:name w:val="封面 字符"/>
    <w:basedOn w:val="19"/>
    <w:link w:val="22"/>
    <w:autoRedefine/>
    <w:qFormat/>
    <w:uiPriority w:val="0"/>
    <w:rPr>
      <w:rFonts w:ascii="Times New Roman" w:hAnsi="Times New Roman" w:eastAsia="方正小标宋简体"/>
      <w:sz w:val="52"/>
    </w:rPr>
  </w:style>
  <w:style w:type="character" w:customStyle="1" w:styleId="24">
    <w:name w:val="标题 1 字符"/>
    <w:basedOn w:val="19"/>
    <w:link w:val="2"/>
    <w:autoRedefine/>
    <w:qFormat/>
    <w:uiPriority w:val="9"/>
    <w:rPr>
      <w:rFonts w:ascii="方正小标宋简体" w:hAnsi="黑体" w:eastAsia="方正小标宋简体" w:cs="黑体"/>
      <w:color w:val="000000"/>
      <w:sz w:val="36"/>
    </w:rPr>
  </w:style>
  <w:style w:type="character" w:customStyle="1" w:styleId="25">
    <w:name w:val="标题 2 字符"/>
    <w:basedOn w:val="19"/>
    <w:link w:val="3"/>
    <w:autoRedefine/>
    <w:qFormat/>
    <w:uiPriority w:val="9"/>
    <w:rPr>
      <w:rFonts w:ascii="黑体" w:hAnsi="黑体" w:eastAsia="黑体" w:cs="黑体"/>
      <w:color w:val="000000"/>
      <w:sz w:val="32"/>
    </w:rPr>
  </w:style>
  <w:style w:type="character" w:customStyle="1" w:styleId="26">
    <w:name w:val="标题 3 字符"/>
    <w:basedOn w:val="19"/>
    <w:link w:val="4"/>
    <w:autoRedefine/>
    <w:qFormat/>
    <w:uiPriority w:val="9"/>
    <w:rPr>
      <w:rFonts w:eastAsia="楷体_GB2312" w:cstheme="minorBidi"/>
      <w:bCs/>
      <w:kern w:val="2"/>
      <w:sz w:val="32"/>
      <w:szCs w:val="32"/>
    </w:rPr>
  </w:style>
  <w:style w:type="character" w:customStyle="1" w:styleId="27">
    <w:name w:val="批注文字 字符"/>
    <w:basedOn w:val="19"/>
    <w:link w:val="8"/>
    <w:autoRedefine/>
    <w:semiHidden/>
    <w:qFormat/>
    <w:uiPriority w:val="99"/>
    <w:rPr>
      <w:rFonts w:ascii="Times New Roman" w:hAnsi="Times New Roman" w:eastAsia="仿宋_GB2312"/>
      <w:sz w:val="32"/>
    </w:rPr>
  </w:style>
  <w:style w:type="character" w:customStyle="1" w:styleId="28">
    <w:name w:val="批注主题 字符"/>
    <w:basedOn w:val="27"/>
    <w:link w:val="16"/>
    <w:autoRedefine/>
    <w:semiHidden/>
    <w:qFormat/>
    <w:uiPriority w:val="99"/>
    <w:rPr>
      <w:rFonts w:ascii="Times New Roman" w:hAnsi="Times New Roman" w:eastAsia="仿宋_GB2312"/>
      <w:b/>
      <w:bCs/>
      <w:sz w:val="32"/>
    </w:rPr>
  </w:style>
  <w:style w:type="character" w:customStyle="1" w:styleId="29">
    <w:name w:val="标题 4 字符"/>
    <w:basedOn w:val="19"/>
    <w:link w:val="6"/>
    <w:autoRedefine/>
    <w:qFormat/>
    <w:uiPriority w:val="9"/>
    <w:rPr>
      <w:rFonts w:asciiTheme="majorHAnsi" w:hAnsiTheme="majorHAnsi" w:eastAsiaTheme="majorEastAsia" w:cstheme="majorBidi"/>
      <w:b/>
      <w:bCs/>
      <w:sz w:val="28"/>
      <w:szCs w:val="28"/>
    </w:rPr>
  </w:style>
  <w:style w:type="table" w:customStyle="1" w:styleId="30">
    <w:name w:val="Table Normal"/>
    <w:autoRedefine/>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31">
    <w:name w:val="Table Paragraph"/>
    <w:basedOn w:val="1"/>
    <w:autoRedefine/>
    <w:qFormat/>
    <w:uiPriority w:val="1"/>
    <w:pPr>
      <w:spacing w:line="240" w:lineRule="auto"/>
      <w:ind w:firstLine="0" w:firstLineChars="0"/>
      <w:jc w:val="left"/>
    </w:pPr>
    <w:rPr>
      <w:rFonts w:asciiTheme="minorHAnsi" w:hAnsiTheme="minorHAnsi" w:eastAsiaTheme="minorEastAsia"/>
      <w:kern w:val="0"/>
      <w:sz w:val="22"/>
      <w:lang w:eastAsia="en-US"/>
    </w:rPr>
  </w:style>
  <w:style w:type="character" w:customStyle="1" w:styleId="32">
    <w:name w:val="页脚 字符"/>
    <w:basedOn w:val="19"/>
    <w:link w:val="11"/>
    <w:autoRedefine/>
    <w:qFormat/>
    <w:uiPriority w:val="99"/>
    <w:rPr>
      <w:rFonts w:ascii="仿宋_GB2312" w:hAnsi="仿宋" w:eastAsia="仿宋_GB2312" w:cs="仿宋"/>
      <w:color w:val="000000"/>
      <w:sz w:val="18"/>
      <w:szCs w:val="18"/>
    </w:rPr>
  </w:style>
  <w:style w:type="character" w:customStyle="1" w:styleId="33">
    <w:name w:val="页眉 字符"/>
    <w:basedOn w:val="19"/>
    <w:link w:val="12"/>
    <w:autoRedefine/>
    <w:qFormat/>
    <w:uiPriority w:val="99"/>
    <w:rPr>
      <w:rFonts w:ascii="仿宋_GB2312" w:hAnsi="仿宋" w:eastAsia="仿宋_GB2312" w:cs="仿宋"/>
      <w:color w:val="000000"/>
      <w:sz w:val="18"/>
      <w:szCs w:val="18"/>
    </w:rPr>
  </w:style>
  <w:style w:type="paragraph" w:customStyle="1" w:styleId="34">
    <w:name w:val="font7"/>
    <w:basedOn w:val="1"/>
    <w:autoRedefine/>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5">
    <w:name w:val="专栏正文"/>
    <w:basedOn w:val="1"/>
    <w:link w:val="36"/>
    <w:autoRedefine/>
    <w:qFormat/>
    <w:uiPriority w:val="0"/>
    <w:pPr>
      <w:widowControl/>
      <w:adjustRightInd w:val="0"/>
      <w:snapToGrid w:val="0"/>
      <w:spacing w:line="240" w:lineRule="auto"/>
      <w:jc w:val="left"/>
    </w:pPr>
    <w:rPr>
      <w:sz w:val="24"/>
      <w:szCs w:val="20"/>
    </w:rPr>
  </w:style>
  <w:style w:type="character" w:customStyle="1" w:styleId="36">
    <w:name w:val="专栏正文 字符"/>
    <w:basedOn w:val="19"/>
    <w:link w:val="35"/>
    <w:autoRedefine/>
    <w:qFormat/>
    <w:uiPriority w:val="0"/>
    <w:rPr>
      <w:rFonts w:ascii="Times New Roman" w:hAnsi="Times New Roman" w:eastAsia="仿宋_GB2312"/>
      <w:sz w:val="24"/>
      <w:szCs w:val="20"/>
    </w:rPr>
  </w:style>
  <w:style w:type="table" w:customStyle="1" w:styleId="37">
    <w:name w:val="网格型1"/>
    <w:basedOn w:val="17"/>
    <w:autoRedefine/>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font11"/>
    <w:basedOn w:val="19"/>
    <w:autoRedefine/>
    <w:qFormat/>
    <w:uiPriority w:val="0"/>
    <w:rPr>
      <w:rFonts w:hint="eastAsia" w:ascii="仿宋" w:hAnsi="仿宋" w:eastAsia="仿宋" w:cs="仿宋"/>
      <w:b/>
      <w:bCs/>
      <w:color w:val="000000"/>
      <w:sz w:val="21"/>
      <w:szCs w:val="21"/>
      <w:u w:val="none"/>
    </w:rPr>
  </w:style>
  <w:style w:type="character" w:customStyle="1" w:styleId="39">
    <w:name w:val="font21"/>
    <w:basedOn w:val="19"/>
    <w:autoRedefine/>
    <w:qFormat/>
    <w:uiPriority w:val="0"/>
    <w:rPr>
      <w:rFonts w:hint="eastAsia" w:ascii="仿宋" w:hAnsi="仿宋" w:eastAsia="仿宋" w:cs="仿宋"/>
      <w:color w:val="000000"/>
      <w:sz w:val="21"/>
      <w:szCs w:val="21"/>
      <w:u w:val="none"/>
    </w:rPr>
  </w:style>
  <w:style w:type="paragraph" w:customStyle="1" w:styleId="40">
    <w:name w:val="附表最后"/>
    <w:autoRedefine/>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character" w:customStyle="1" w:styleId="41">
    <w:name w:val="font41"/>
    <w:basedOn w:val="19"/>
    <w:autoRedefine/>
    <w:qFormat/>
    <w:uiPriority w:val="0"/>
    <w:rPr>
      <w:rFonts w:hint="eastAsia" w:ascii="仿宋_GB2312" w:eastAsia="仿宋_GB2312" w:cs="仿宋_GB2312"/>
      <w:color w:val="000000"/>
      <w:sz w:val="20"/>
      <w:szCs w:val="20"/>
      <w:u w:val="none"/>
    </w:rPr>
  </w:style>
  <w:style w:type="paragraph" w:customStyle="1" w:styleId="42">
    <w:name w:val="msonormal"/>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3">
    <w:name w:val="font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2"/>
    </w:rPr>
  </w:style>
  <w:style w:type="paragraph" w:customStyle="1" w:styleId="44">
    <w:name w:val="font1"/>
    <w:basedOn w:val="1"/>
    <w:autoRedefine/>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45">
    <w:name w:val="font2"/>
    <w:basedOn w:val="1"/>
    <w:autoRedefine/>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1"/>
      <w:szCs w:val="21"/>
    </w:rPr>
  </w:style>
  <w:style w:type="paragraph" w:customStyle="1" w:styleId="46">
    <w:name w:val="font3"/>
    <w:basedOn w:val="1"/>
    <w:autoRedefine/>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7">
    <w:name w:val="font4"/>
    <w:basedOn w:val="1"/>
    <w:autoRedefine/>
    <w:qFormat/>
    <w:uiPriority w:val="0"/>
    <w:pPr>
      <w:widowControl/>
      <w:spacing w:before="100" w:beforeAutospacing="1" w:after="100" w:afterAutospacing="1" w:line="240" w:lineRule="auto"/>
      <w:ind w:firstLine="0" w:firstLineChars="0"/>
      <w:jc w:val="left"/>
    </w:pPr>
    <w:rPr>
      <w:rFonts w:ascii="仿宋_GB2312" w:hAnsi="宋体" w:cs="宋体"/>
      <w:color w:val="FF0000"/>
      <w:kern w:val="0"/>
      <w:sz w:val="20"/>
      <w:szCs w:val="20"/>
    </w:rPr>
  </w:style>
  <w:style w:type="paragraph" w:customStyle="1" w:styleId="48">
    <w:name w:val="font5"/>
    <w:basedOn w:val="1"/>
    <w:autoRedefine/>
    <w:qFormat/>
    <w:uiPriority w:val="0"/>
    <w:pPr>
      <w:widowControl/>
      <w:spacing w:before="100" w:beforeAutospacing="1" w:after="100" w:afterAutospacing="1" w:line="240" w:lineRule="auto"/>
      <w:ind w:firstLine="0" w:firstLineChars="0"/>
      <w:jc w:val="left"/>
    </w:pPr>
    <w:rPr>
      <w:rFonts w:ascii="黑体" w:hAnsi="黑体" w:eastAsia="黑体" w:cs="宋体"/>
      <w:color w:val="000000"/>
      <w:kern w:val="0"/>
      <w:sz w:val="24"/>
      <w:szCs w:val="24"/>
    </w:rPr>
  </w:style>
  <w:style w:type="paragraph" w:customStyle="1" w:styleId="49">
    <w:name w:val="et2"/>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0">
    <w:name w:val="et3"/>
    <w:basedOn w:val="1"/>
    <w:autoRedefine/>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1">
    <w:name w:val="et4"/>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2">
    <w:name w:val="et5"/>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3">
    <w:name w:val="et6"/>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4">
    <w:name w:val="et7"/>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5">
    <w:name w:val="et8"/>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6">
    <w:name w:val="et9"/>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仿宋" w:hAnsi="仿宋" w:eastAsia="仿宋" w:cs="宋体"/>
      <w:kern w:val="0"/>
      <w:sz w:val="21"/>
      <w:szCs w:val="21"/>
    </w:rPr>
  </w:style>
  <w:style w:type="paragraph" w:customStyle="1" w:styleId="57">
    <w:name w:val="et10"/>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仿宋" w:hAnsi="仿宋" w:eastAsia="仿宋" w:cs="宋体"/>
      <w:kern w:val="0"/>
      <w:sz w:val="21"/>
      <w:szCs w:val="21"/>
    </w:rPr>
  </w:style>
  <w:style w:type="paragraph" w:customStyle="1" w:styleId="58">
    <w:name w:val="et11"/>
    <w:basedOn w:val="1"/>
    <w:autoRedefine/>
    <w:qFormat/>
    <w:uiPriority w:val="0"/>
    <w:pPr>
      <w:widowControl/>
      <w:pBdr>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9">
    <w:name w:val="et13"/>
    <w:basedOn w:val="1"/>
    <w:autoRedefine/>
    <w:qFormat/>
    <w:uiPriority w:val="0"/>
    <w:pPr>
      <w:widowControl/>
      <w:pBdr>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60">
    <w:name w:val="et14"/>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FF0000"/>
      <w:kern w:val="0"/>
      <w:sz w:val="20"/>
      <w:szCs w:val="20"/>
    </w:rPr>
  </w:style>
  <w:style w:type="paragraph" w:customStyle="1" w:styleId="61">
    <w:name w:val="et15"/>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仿宋" w:hAnsi="仿宋" w:eastAsia="仿宋" w:cs="宋体"/>
      <w:kern w:val="0"/>
      <w:sz w:val="21"/>
      <w:szCs w:val="21"/>
    </w:rPr>
  </w:style>
  <w:style w:type="paragraph" w:customStyle="1" w:styleId="62">
    <w:name w:val="et16"/>
    <w:basedOn w:val="1"/>
    <w:autoRedefine/>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黑体" w:hAnsi="黑体" w:eastAsia="黑体" w:cs="宋体"/>
      <w:color w:val="000000"/>
      <w:kern w:val="0"/>
      <w:sz w:val="24"/>
      <w:szCs w:val="24"/>
    </w:rPr>
  </w:style>
  <w:style w:type="character" w:customStyle="1" w:styleId="63">
    <w:name w:val="font31"/>
    <w:basedOn w:val="19"/>
    <w:autoRedefine/>
    <w:qFormat/>
    <w:uiPriority w:val="0"/>
    <w:rPr>
      <w:rFonts w:hint="eastAsia" w:ascii="仿宋_GB2312" w:eastAsia="仿宋_GB2312"/>
      <w:color w:val="000000"/>
      <w:sz w:val="20"/>
      <w:szCs w:val="20"/>
      <w:u w:val="none"/>
    </w:rPr>
  </w:style>
  <w:style w:type="paragraph" w:customStyle="1" w:styleId="64">
    <w:name w:val="修订1"/>
    <w:autoRedefine/>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65">
    <w:name w:val="批注框文本 字符"/>
    <w:basedOn w:val="19"/>
    <w:link w:val="10"/>
    <w:autoRedefine/>
    <w:semiHidden/>
    <w:qFormat/>
    <w:uiPriority w:val="99"/>
    <w:rPr>
      <w:rFonts w:eastAsia="仿宋_GB2312" w:cstheme="minorBidi"/>
      <w:kern w:val="2"/>
      <w:sz w:val="18"/>
      <w:szCs w:val="18"/>
    </w:rPr>
  </w:style>
  <w:style w:type="paragraph" w:customStyle="1" w:styleId="66">
    <w:name w:val="修订2"/>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67">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68">
    <w:name w:val="font6"/>
    <w:basedOn w:val="1"/>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b/>
      <w:bCs/>
      <w:kern w:val="0"/>
      <w:sz w:val="21"/>
      <w:szCs w:val="21"/>
    </w:rPr>
  </w:style>
  <w:style w:type="character" w:customStyle="1" w:styleId="69">
    <w:name w:val="日期 字符"/>
    <w:basedOn w:val="19"/>
    <w:link w:val="9"/>
    <w:semiHidden/>
    <w:qFormat/>
    <w:uiPriority w:val="99"/>
    <w:rPr>
      <w:rFonts w:eastAsia="仿宋_GB2312" w:cstheme="minorBidi"/>
      <w:kern w:val="2"/>
      <w:sz w:val="32"/>
      <w:szCs w:val="22"/>
    </w:rPr>
  </w:style>
  <w:style w:type="paragraph" w:customStyle="1" w:styleId="70">
    <w:name w:val="修订3"/>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71">
    <w:name w:val="Revision"/>
    <w:hidden/>
    <w:unhideWhenUsed/>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FB302-7E5C-4CA1-B190-A69C9FC285CC}">
  <ds:schemaRefs/>
</ds:datastoreItem>
</file>

<file path=docProps/app.xml><?xml version="1.0" encoding="utf-8"?>
<Properties xmlns="http://schemas.openxmlformats.org/officeDocument/2006/extended-properties" xmlns:vt="http://schemas.openxmlformats.org/officeDocument/2006/docPropsVTypes">
  <Template>Normal.dotm</Template>
  <Pages>84</Pages>
  <Words>6392</Words>
  <Characters>6893</Characters>
  <Lines>413</Lines>
  <Paragraphs>116</Paragraphs>
  <TotalTime>0</TotalTime>
  <ScaleCrop>false</ScaleCrop>
  <LinksUpToDate>false</LinksUpToDate>
  <CharactersWithSpaces>7040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2024-12-18T08:48:00Z</dcterms:created>
  <dc:creator>zxn</dc:creator>
  <cp:lastModifiedBy>杨起</cp:lastModifiedBy>
  <cp:lastPrinted>2025-08-08T04:05:00Z</cp:lastPrinted>
  <dcterms:modified xsi:type="dcterms:W3CDTF">2026-03-24T07:29:01Z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971A45F9CEAF46B6A8742173440168CE_12</vt:lpwstr>
  </property>
  <property fmtid="{D5CDD505-2E9C-101B-9397-08002B2CF9AE}" pid="4" name="KSOTemplateDocerSaveRecord">
    <vt:lpwstr>eyJoZGlkIjoiOGQzMDYwYTU2NDdjMDE1YjIxNmRiZGU2ZDFkZmVlNmYiLCJ1c2VySWQiOiIxNDkzNjE0MzUyIn0=</vt:lpwstr>
  </property>
</Properties>
</file>