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DE42A">
      <w:pPr>
        <w:pStyle w:val="20"/>
        <w:ind w:firstLine="0" w:firstLineChars="0"/>
        <w:rPr>
          <w:rFonts w:cs="Times New Roman"/>
        </w:rPr>
      </w:pPr>
    </w:p>
    <w:p w14:paraId="4F68AACD">
      <w:pPr>
        <w:ind w:firstLine="0" w:firstLineChars="0"/>
        <w:jc w:val="center"/>
        <w:rPr>
          <w:rFonts w:eastAsia="方正小标宋简体" w:cs="Times New Roman"/>
          <w:sz w:val="52"/>
          <w:szCs w:val="52"/>
        </w:rPr>
      </w:pPr>
    </w:p>
    <w:p w14:paraId="218E3F7C">
      <w:pPr>
        <w:ind w:firstLine="0" w:firstLineChars="0"/>
        <w:jc w:val="center"/>
        <w:rPr>
          <w:rFonts w:eastAsia="方正小标宋简体" w:cs="Times New Roman"/>
          <w:sz w:val="52"/>
          <w:szCs w:val="52"/>
        </w:rPr>
      </w:pPr>
    </w:p>
    <w:p w14:paraId="0676408E">
      <w:pPr>
        <w:ind w:firstLine="0" w:firstLineChars="0"/>
        <w:jc w:val="center"/>
        <w:rPr>
          <w:rFonts w:hint="eastAsia" w:eastAsia="方正小标宋简体" w:cs="Times New Roman"/>
          <w:sz w:val="52"/>
          <w:szCs w:val="52"/>
        </w:rPr>
      </w:pPr>
    </w:p>
    <w:p w14:paraId="5FE1F95E">
      <w:pPr>
        <w:ind w:firstLine="0" w:firstLineChars="0"/>
        <w:jc w:val="center"/>
        <w:rPr>
          <w:rFonts w:eastAsia="方正小标宋简体" w:cs="Times New Roman"/>
          <w:sz w:val="52"/>
          <w:szCs w:val="52"/>
        </w:rPr>
      </w:pPr>
    </w:p>
    <w:p w14:paraId="18B56775">
      <w:pPr>
        <w:widowControl/>
        <w:adjustRightInd w:val="0"/>
        <w:snapToGrid w:val="0"/>
        <w:spacing w:line="240" w:lineRule="auto"/>
        <w:ind w:left="-160" w:leftChars="-50" w:right="-160" w:rightChars="-50" w:firstLine="0" w:firstLineChars="0"/>
        <w:jc w:val="center"/>
        <w:rPr>
          <w:rFonts w:ascii="方正小标宋简体" w:hAnsi="方正小标宋简体" w:eastAsia="方正小标宋简体" w:cs="方正小标宋简体"/>
          <w:spacing w:val="-20"/>
          <w:kern w:val="0"/>
          <w:sz w:val="52"/>
          <w:szCs w:val="52"/>
        </w:rPr>
      </w:pPr>
      <w:bookmarkStart w:id="0" w:name="_Hlk205557124"/>
      <w:r>
        <w:rPr>
          <w:rFonts w:ascii="方正小标宋简体" w:hAnsi="方正小标宋简体" w:eastAsia="方正小标宋简体" w:cs="方正小标宋简体"/>
          <w:spacing w:val="-20"/>
          <w:kern w:val="0"/>
          <w:sz w:val="52"/>
          <w:szCs w:val="52"/>
        </w:rPr>
        <w:t>桓仁满族自治县</w:t>
      </w:r>
      <w:r>
        <w:rPr>
          <w:rFonts w:hint="eastAsia" w:ascii="方正小标宋简体" w:hAnsi="方正小标宋简体" w:eastAsia="方正小标宋简体" w:cs="方正小标宋简体"/>
          <w:spacing w:val="-20"/>
          <w:kern w:val="0"/>
          <w:sz w:val="52"/>
          <w:szCs w:val="52"/>
        </w:rPr>
        <w:t>北甸子</w:t>
      </w:r>
      <w:r>
        <w:rPr>
          <w:rFonts w:ascii="方正小标宋简体" w:hAnsi="方正小标宋简体" w:eastAsia="方正小标宋简体" w:cs="方正小标宋简体"/>
          <w:spacing w:val="-20"/>
          <w:kern w:val="0"/>
          <w:sz w:val="52"/>
          <w:szCs w:val="52"/>
        </w:rPr>
        <w:t>乡</w:t>
      </w:r>
    </w:p>
    <w:p w14:paraId="2F5171D5">
      <w:pPr>
        <w:widowControl/>
        <w:adjustRightInd w:val="0"/>
        <w:snapToGrid w:val="0"/>
        <w:spacing w:line="240" w:lineRule="auto"/>
        <w:ind w:left="-160" w:leftChars="-50" w:right="-160" w:rightChars="-50" w:firstLine="0" w:firstLineChars="0"/>
        <w:jc w:val="center"/>
        <w:rPr>
          <w:rFonts w:ascii="方正小标宋简体" w:hAnsi="方正小标宋简体" w:eastAsia="方正小标宋简体" w:cs="方正小标宋简体"/>
          <w:spacing w:val="-20"/>
          <w:kern w:val="0"/>
          <w:sz w:val="52"/>
          <w:szCs w:val="52"/>
        </w:rPr>
      </w:pPr>
      <w:r>
        <w:rPr>
          <w:rFonts w:ascii="方正小标宋简体" w:hAnsi="方正小标宋简体" w:eastAsia="方正小标宋简体" w:cs="方正小标宋简体"/>
          <w:spacing w:val="-20"/>
          <w:kern w:val="0"/>
          <w:sz w:val="52"/>
          <w:szCs w:val="52"/>
        </w:rPr>
        <w:t>国土空间总体规划</w:t>
      </w:r>
    </w:p>
    <w:p w14:paraId="6BC17043">
      <w:pPr>
        <w:widowControl/>
        <w:adjustRightInd w:val="0"/>
        <w:snapToGrid w:val="0"/>
        <w:spacing w:line="240" w:lineRule="auto"/>
        <w:ind w:firstLine="0" w:firstLineChars="0"/>
        <w:jc w:val="center"/>
        <w:rPr>
          <w:rFonts w:ascii="方正小标宋简体" w:hAnsi="方正小标宋简体" w:eastAsia="方正小标宋简体" w:cs="方正小标宋简体"/>
          <w:kern w:val="0"/>
          <w:sz w:val="48"/>
          <w:szCs w:val="48"/>
        </w:rPr>
      </w:pPr>
      <w:r>
        <w:rPr>
          <w:rFonts w:ascii="方正小标宋简体" w:hAnsi="方正小标宋简体" w:eastAsia="方正小标宋简体" w:cs="方正小标宋简体"/>
          <w:kern w:val="0"/>
          <w:sz w:val="48"/>
          <w:szCs w:val="48"/>
        </w:rPr>
        <w:t>（2021-2035年）</w:t>
      </w:r>
    </w:p>
    <w:p w14:paraId="5A8BAB87">
      <w:pPr>
        <w:spacing w:line="240" w:lineRule="auto"/>
        <w:ind w:firstLine="0" w:firstLineChars="0"/>
        <w:jc w:val="center"/>
        <w:rPr>
          <w:rFonts w:hint="default" w:eastAsia="方正小标宋简体" w:cs="Times New Roman"/>
          <w:sz w:val="40"/>
          <w:szCs w:val="40"/>
          <w:lang w:val="en-US" w:eastAsia="zh-CN"/>
        </w:rPr>
      </w:pPr>
      <w:r>
        <w:rPr>
          <w:rFonts w:hint="eastAsia" w:eastAsia="方正小标宋简体" w:cs="Times New Roman"/>
          <w:sz w:val="40"/>
          <w:szCs w:val="40"/>
          <w:lang w:val="en-US" w:eastAsia="zh-CN"/>
        </w:rPr>
        <w:t>说明书</w:t>
      </w:r>
    </w:p>
    <w:p w14:paraId="6CE34C26">
      <w:pPr>
        <w:spacing w:line="240" w:lineRule="auto"/>
        <w:ind w:firstLine="0" w:firstLineChars="0"/>
        <w:jc w:val="center"/>
        <w:rPr>
          <w:rFonts w:eastAsia="楷体_GB2312" w:cs="Times New Roman"/>
          <w:sz w:val="36"/>
          <w:szCs w:val="36"/>
        </w:rPr>
      </w:pPr>
    </w:p>
    <w:p w14:paraId="2D1ACADA">
      <w:pPr>
        <w:ind w:firstLine="0" w:firstLineChars="0"/>
        <w:rPr>
          <w:rFonts w:cs="Times New Roman"/>
        </w:rPr>
      </w:pPr>
    </w:p>
    <w:p w14:paraId="589C64C2">
      <w:pPr>
        <w:ind w:firstLine="0" w:firstLineChars="0"/>
        <w:rPr>
          <w:rFonts w:cs="Times New Roman"/>
        </w:rPr>
      </w:pPr>
    </w:p>
    <w:p w14:paraId="71505030">
      <w:pPr>
        <w:ind w:firstLine="0" w:firstLineChars="0"/>
        <w:rPr>
          <w:rFonts w:cs="Times New Roman"/>
        </w:rPr>
      </w:pPr>
    </w:p>
    <w:p w14:paraId="0F8E5254">
      <w:pPr>
        <w:ind w:firstLine="0" w:firstLineChars="0"/>
        <w:rPr>
          <w:rFonts w:cs="Times New Roman"/>
        </w:rPr>
      </w:pPr>
    </w:p>
    <w:p w14:paraId="14EF9712">
      <w:pPr>
        <w:ind w:firstLine="0" w:firstLineChars="0"/>
        <w:rPr>
          <w:rFonts w:cs="Times New Roman"/>
        </w:rPr>
      </w:pPr>
    </w:p>
    <w:p w14:paraId="24E33592">
      <w:pPr>
        <w:ind w:firstLine="0" w:firstLineChars="0"/>
        <w:rPr>
          <w:rFonts w:cs="Times New Roman"/>
        </w:rPr>
      </w:pPr>
    </w:p>
    <w:p w14:paraId="63650965">
      <w:pPr>
        <w:ind w:firstLine="0" w:firstLineChars="0"/>
        <w:rPr>
          <w:rFonts w:cs="Times New Roman"/>
        </w:rPr>
      </w:pPr>
    </w:p>
    <w:p w14:paraId="0A9EFAFE">
      <w:pPr>
        <w:ind w:firstLine="0" w:firstLineChars="0"/>
        <w:rPr>
          <w:rFonts w:cs="Times New Roman"/>
        </w:rPr>
      </w:pPr>
    </w:p>
    <w:p w14:paraId="2523D0DC">
      <w:pPr>
        <w:ind w:firstLine="0" w:firstLineChars="0"/>
        <w:rPr>
          <w:rFonts w:cs="Times New Roman"/>
        </w:rPr>
      </w:pPr>
    </w:p>
    <w:p w14:paraId="286AF325">
      <w:pPr>
        <w:ind w:firstLine="0" w:firstLineChars="0"/>
        <w:jc w:val="center"/>
        <w:rPr>
          <w:rFonts w:eastAsia="楷体_GB2312" w:cs="Times New Roman"/>
          <w:szCs w:val="32"/>
        </w:rPr>
      </w:pPr>
      <w:r>
        <w:rPr>
          <w:rFonts w:hint="eastAsia" w:eastAsia="楷体_GB2312" w:cs="Times New Roman"/>
          <w:szCs w:val="32"/>
        </w:rPr>
        <w:t>北甸子</w:t>
      </w:r>
      <w:r>
        <w:rPr>
          <w:rFonts w:eastAsia="楷体_GB2312" w:cs="Times New Roman"/>
          <w:szCs w:val="32"/>
        </w:rPr>
        <w:t>乡人民政府</w:t>
      </w:r>
    </w:p>
    <w:p w14:paraId="14228A44">
      <w:pPr>
        <w:ind w:firstLine="0" w:firstLineChars="0"/>
        <w:jc w:val="center"/>
        <w:rPr>
          <w:rFonts w:eastAsia="楷体_GB2312" w:cs="Times New Roman"/>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425" w:num="1"/>
          <w:docGrid w:type="lines" w:linePitch="312" w:charSpace="0"/>
        </w:sectPr>
      </w:pPr>
      <w:r>
        <w:rPr>
          <w:rFonts w:eastAsia="楷体_GB2312" w:cs="Times New Roman"/>
          <w:szCs w:val="32"/>
        </w:rPr>
        <w:t>202</w:t>
      </w:r>
      <w:r>
        <w:rPr>
          <w:rFonts w:hint="eastAsia" w:eastAsia="楷体_GB2312" w:cs="Times New Roman"/>
          <w:szCs w:val="32"/>
        </w:rPr>
        <w:t>5</w:t>
      </w:r>
      <w:r>
        <w:rPr>
          <w:rFonts w:eastAsia="楷体_GB2312" w:cs="Times New Roman"/>
          <w:szCs w:val="32"/>
        </w:rPr>
        <w:t>年</w:t>
      </w:r>
      <w:r>
        <w:rPr>
          <w:rFonts w:hint="eastAsia" w:eastAsia="楷体_GB2312" w:cs="Times New Roman"/>
          <w:szCs w:val="32"/>
          <w:lang w:val="en-US" w:eastAsia="zh-CN"/>
        </w:rPr>
        <w:t>12</w:t>
      </w:r>
      <w:r>
        <w:rPr>
          <w:rFonts w:eastAsia="楷体_GB2312" w:cs="Times New Roman"/>
          <w:szCs w:val="32"/>
        </w:rPr>
        <w:t>月</w:t>
      </w:r>
    </w:p>
    <w:bookmarkEnd w:id="0"/>
    <w:p w14:paraId="68B76E24">
      <w:pPr>
        <w:ind w:firstLine="720"/>
        <w:jc w:val="center"/>
        <w:rPr>
          <w:rFonts w:hint="eastAsia" w:eastAsia="方正小标宋简体" w:cs="Times New Roman"/>
          <w:sz w:val="36"/>
          <w:szCs w:val="36"/>
        </w:rPr>
      </w:pPr>
      <w:r>
        <w:rPr>
          <w:rFonts w:eastAsia="方正小标宋简体" w:cs="Times New Roman"/>
          <w:sz w:val="40"/>
          <w:szCs w:val="40"/>
        </w:rPr>
        <w:t>目  录</w:t>
      </w:r>
    </w:p>
    <w:p w14:paraId="51724806">
      <w:pPr>
        <w:pStyle w:val="11"/>
        <w:tabs>
          <w:tab w:val="right" w:leader="dot" w:pos="8312"/>
          <w:tab w:val="clear" w:pos="8302"/>
        </w:tabs>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rPr>
          <w:rFonts w:eastAsia="黑体" w:cs="Times New Roman"/>
        </w:rPr>
        <w:fldChar w:fldCharType="begin"/>
      </w:r>
      <w:r>
        <w:rPr>
          <w:rFonts w:eastAsia="黑体" w:cs="Times New Roman"/>
        </w:rPr>
        <w:instrText xml:space="preserve"> HYPERLINK \l _Toc19208 </w:instrText>
      </w:r>
      <w:r>
        <w:rPr>
          <w:rFonts w:eastAsia="黑体" w:cs="Times New Roman"/>
        </w:rPr>
        <w:fldChar w:fldCharType="separate"/>
      </w:r>
      <w:r>
        <w:rPr>
          <w:rFonts w:ascii="Times New Roman" w:hAnsi="Times New Roman" w:cs="Times New Roman"/>
        </w:rPr>
        <w:t>第一章 总 则</w:t>
      </w:r>
      <w:r>
        <w:tab/>
      </w:r>
      <w:r>
        <w:fldChar w:fldCharType="begin"/>
      </w:r>
      <w:r>
        <w:instrText xml:space="preserve"> PAGEREF _Toc19208 \h </w:instrText>
      </w:r>
      <w:r>
        <w:fldChar w:fldCharType="separate"/>
      </w:r>
      <w:r>
        <w:t>1</w:t>
      </w:r>
      <w:r>
        <w:fldChar w:fldCharType="end"/>
      </w:r>
      <w:r>
        <w:rPr>
          <w:rFonts w:eastAsia="黑体" w:cs="Times New Roman"/>
        </w:rPr>
        <w:fldChar w:fldCharType="end"/>
      </w:r>
    </w:p>
    <w:p w14:paraId="17E5940B">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_Toc10061 </w:instrText>
      </w:r>
      <w:r>
        <w:rPr>
          <w:rFonts w:eastAsia="黑体" w:cs="Times New Roman"/>
        </w:rPr>
        <w:fldChar w:fldCharType="separate"/>
      </w:r>
      <w:r>
        <w:rPr>
          <w:rFonts w:ascii="Times New Roman" w:hAnsi="Times New Roman" w:cs="Times New Roman"/>
        </w:rPr>
        <w:t>第二章 发展定位与目标</w:t>
      </w:r>
      <w:r>
        <w:tab/>
      </w:r>
      <w:r>
        <w:fldChar w:fldCharType="begin"/>
      </w:r>
      <w:r>
        <w:instrText xml:space="preserve"> PAGEREF _Toc10061 \h </w:instrText>
      </w:r>
      <w:r>
        <w:fldChar w:fldCharType="separate"/>
      </w:r>
      <w:r>
        <w:t>6</w:t>
      </w:r>
      <w:r>
        <w:fldChar w:fldCharType="end"/>
      </w:r>
      <w:r>
        <w:rPr>
          <w:rFonts w:eastAsia="黑体" w:cs="Times New Roman"/>
        </w:rPr>
        <w:fldChar w:fldCharType="end"/>
      </w:r>
    </w:p>
    <w:p w14:paraId="0FA313D7">
      <w:pPr>
        <w:pStyle w:val="12"/>
        <w:tabs>
          <w:tab w:val="right" w:leader="dot" w:pos="8312"/>
        </w:tabs>
      </w:pPr>
      <w:r>
        <w:rPr>
          <w:rFonts w:eastAsia="黑体" w:cs="Times New Roman"/>
        </w:rPr>
        <w:fldChar w:fldCharType="begin"/>
      </w:r>
      <w:r>
        <w:rPr>
          <w:rFonts w:eastAsia="黑体" w:cs="Times New Roman"/>
        </w:rPr>
        <w:instrText xml:space="preserve"> HYPERLINK \l _Toc16128 </w:instrText>
      </w:r>
      <w:r>
        <w:rPr>
          <w:rFonts w:eastAsia="黑体" w:cs="Times New Roman"/>
        </w:rPr>
        <w:fldChar w:fldCharType="separate"/>
      </w:r>
      <w:r>
        <w:rPr>
          <w:rFonts w:ascii="Times New Roman" w:hAnsi="Times New Roman" w:cs="Times New Roman"/>
        </w:rPr>
        <w:t>第一节 乡镇功能定位</w:t>
      </w:r>
      <w:r>
        <w:tab/>
      </w:r>
      <w:r>
        <w:fldChar w:fldCharType="begin"/>
      </w:r>
      <w:r>
        <w:instrText xml:space="preserve"> PAGEREF _Toc16128 \h </w:instrText>
      </w:r>
      <w:r>
        <w:fldChar w:fldCharType="separate"/>
      </w:r>
      <w:r>
        <w:t>6</w:t>
      </w:r>
      <w:r>
        <w:fldChar w:fldCharType="end"/>
      </w:r>
      <w:r>
        <w:rPr>
          <w:rFonts w:eastAsia="黑体" w:cs="Times New Roman"/>
        </w:rPr>
        <w:fldChar w:fldCharType="end"/>
      </w:r>
    </w:p>
    <w:p w14:paraId="7096F9FE">
      <w:pPr>
        <w:pStyle w:val="12"/>
        <w:tabs>
          <w:tab w:val="right" w:leader="dot" w:pos="8312"/>
        </w:tabs>
      </w:pPr>
      <w:r>
        <w:rPr>
          <w:rFonts w:eastAsia="黑体" w:cs="Times New Roman"/>
        </w:rPr>
        <w:fldChar w:fldCharType="begin"/>
      </w:r>
      <w:r>
        <w:rPr>
          <w:rFonts w:eastAsia="黑体" w:cs="Times New Roman"/>
        </w:rPr>
        <w:instrText xml:space="preserve"> HYPERLINK \l _Toc24656 </w:instrText>
      </w:r>
      <w:r>
        <w:rPr>
          <w:rFonts w:eastAsia="黑体" w:cs="Times New Roman"/>
        </w:rPr>
        <w:fldChar w:fldCharType="separate"/>
      </w:r>
      <w:r>
        <w:rPr>
          <w:rFonts w:ascii="Times New Roman" w:hAnsi="Times New Roman" w:cs="Times New Roman"/>
        </w:rPr>
        <w:t>第二节 国土空间开发保护目标</w:t>
      </w:r>
      <w:r>
        <w:tab/>
      </w:r>
      <w:r>
        <w:fldChar w:fldCharType="begin"/>
      </w:r>
      <w:r>
        <w:instrText xml:space="preserve"> PAGEREF _Toc24656 \h </w:instrText>
      </w:r>
      <w:r>
        <w:fldChar w:fldCharType="separate"/>
      </w:r>
      <w:r>
        <w:t>7</w:t>
      </w:r>
      <w:r>
        <w:fldChar w:fldCharType="end"/>
      </w:r>
      <w:r>
        <w:rPr>
          <w:rFonts w:eastAsia="黑体" w:cs="Times New Roman"/>
        </w:rPr>
        <w:fldChar w:fldCharType="end"/>
      </w:r>
    </w:p>
    <w:p w14:paraId="5961FC52">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_Toc14680 </w:instrText>
      </w:r>
      <w:r>
        <w:rPr>
          <w:rFonts w:eastAsia="黑体" w:cs="Times New Roman"/>
        </w:rPr>
        <w:fldChar w:fldCharType="separate"/>
      </w:r>
      <w:r>
        <w:rPr>
          <w:rFonts w:ascii="Times New Roman" w:hAnsi="Times New Roman" w:cs="Times New Roman"/>
        </w:rPr>
        <w:t>第三章 国土空间开发保护格局</w:t>
      </w:r>
      <w:r>
        <w:tab/>
      </w:r>
      <w:r>
        <w:fldChar w:fldCharType="begin"/>
      </w:r>
      <w:r>
        <w:instrText xml:space="preserve"> PAGEREF _Toc14680 \h </w:instrText>
      </w:r>
      <w:r>
        <w:fldChar w:fldCharType="separate"/>
      </w:r>
      <w:r>
        <w:t>10</w:t>
      </w:r>
      <w:r>
        <w:fldChar w:fldCharType="end"/>
      </w:r>
      <w:r>
        <w:rPr>
          <w:rFonts w:eastAsia="黑体" w:cs="Times New Roman"/>
        </w:rPr>
        <w:fldChar w:fldCharType="end"/>
      </w:r>
    </w:p>
    <w:p w14:paraId="0A8FD36B">
      <w:pPr>
        <w:pStyle w:val="12"/>
        <w:tabs>
          <w:tab w:val="right" w:leader="dot" w:pos="8312"/>
        </w:tabs>
      </w:pPr>
      <w:r>
        <w:rPr>
          <w:rFonts w:eastAsia="黑体" w:cs="Times New Roman"/>
        </w:rPr>
        <w:fldChar w:fldCharType="begin"/>
      </w:r>
      <w:r>
        <w:rPr>
          <w:rFonts w:eastAsia="黑体" w:cs="Times New Roman"/>
        </w:rPr>
        <w:instrText xml:space="preserve"> HYPERLINK \l _Toc21703 </w:instrText>
      </w:r>
      <w:r>
        <w:rPr>
          <w:rFonts w:eastAsia="黑体" w:cs="Times New Roman"/>
        </w:rPr>
        <w:fldChar w:fldCharType="separate"/>
      </w:r>
      <w:r>
        <w:rPr>
          <w:rFonts w:ascii="Times New Roman" w:hAnsi="Times New Roman" w:cs="Times New Roman"/>
        </w:rPr>
        <w:t>第一节 总体格局</w:t>
      </w:r>
      <w:r>
        <w:tab/>
      </w:r>
      <w:r>
        <w:fldChar w:fldCharType="begin"/>
      </w:r>
      <w:r>
        <w:instrText xml:space="preserve"> PAGEREF _Toc21703 \h </w:instrText>
      </w:r>
      <w:r>
        <w:fldChar w:fldCharType="separate"/>
      </w:r>
      <w:r>
        <w:t>10</w:t>
      </w:r>
      <w:r>
        <w:fldChar w:fldCharType="end"/>
      </w:r>
      <w:r>
        <w:rPr>
          <w:rFonts w:eastAsia="黑体" w:cs="Times New Roman"/>
        </w:rPr>
        <w:fldChar w:fldCharType="end"/>
      </w:r>
    </w:p>
    <w:p w14:paraId="0CBB75FD">
      <w:pPr>
        <w:pStyle w:val="12"/>
        <w:tabs>
          <w:tab w:val="right" w:leader="dot" w:pos="8312"/>
        </w:tabs>
      </w:pPr>
      <w:r>
        <w:rPr>
          <w:rFonts w:eastAsia="黑体" w:cs="Times New Roman"/>
        </w:rPr>
        <w:fldChar w:fldCharType="begin"/>
      </w:r>
      <w:r>
        <w:rPr>
          <w:rFonts w:eastAsia="黑体" w:cs="Times New Roman"/>
        </w:rPr>
        <w:instrText xml:space="preserve"> HYPERLINK \l _Toc13975 </w:instrText>
      </w:r>
      <w:r>
        <w:rPr>
          <w:rFonts w:eastAsia="黑体" w:cs="Times New Roman"/>
        </w:rPr>
        <w:fldChar w:fldCharType="separate"/>
      </w:r>
      <w:r>
        <w:rPr>
          <w:rFonts w:ascii="Times New Roman" w:hAnsi="Times New Roman" w:cs="Times New Roman"/>
        </w:rPr>
        <w:t>第二节 重要控制线划定</w:t>
      </w:r>
      <w:r>
        <w:tab/>
      </w:r>
      <w:r>
        <w:fldChar w:fldCharType="begin"/>
      </w:r>
      <w:r>
        <w:instrText xml:space="preserve"> PAGEREF _Toc13975 \h </w:instrText>
      </w:r>
      <w:r>
        <w:fldChar w:fldCharType="separate"/>
      </w:r>
      <w:r>
        <w:t>11</w:t>
      </w:r>
      <w:r>
        <w:fldChar w:fldCharType="end"/>
      </w:r>
      <w:r>
        <w:rPr>
          <w:rFonts w:eastAsia="黑体" w:cs="Times New Roman"/>
        </w:rPr>
        <w:fldChar w:fldCharType="end"/>
      </w:r>
    </w:p>
    <w:p w14:paraId="07714DF2">
      <w:pPr>
        <w:pStyle w:val="12"/>
        <w:tabs>
          <w:tab w:val="right" w:leader="dot" w:pos="8312"/>
        </w:tabs>
      </w:pPr>
      <w:r>
        <w:rPr>
          <w:rFonts w:eastAsia="黑体" w:cs="Times New Roman"/>
        </w:rPr>
        <w:fldChar w:fldCharType="begin"/>
      </w:r>
      <w:r>
        <w:rPr>
          <w:rFonts w:eastAsia="黑体" w:cs="Times New Roman"/>
        </w:rPr>
        <w:instrText xml:space="preserve"> HYPERLINK \l _Toc15806 </w:instrText>
      </w:r>
      <w:r>
        <w:rPr>
          <w:rFonts w:eastAsia="黑体" w:cs="Times New Roman"/>
        </w:rPr>
        <w:fldChar w:fldCharType="separate"/>
      </w:r>
      <w:r>
        <w:rPr>
          <w:rFonts w:ascii="Times New Roman" w:hAnsi="Times New Roman" w:cs="Times New Roman"/>
        </w:rPr>
        <w:t>第三节 规划分区</w:t>
      </w:r>
      <w:r>
        <w:tab/>
      </w:r>
      <w:r>
        <w:fldChar w:fldCharType="begin"/>
      </w:r>
      <w:r>
        <w:instrText xml:space="preserve"> PAGEREF _Toc15806 \h </w:instrText>
      </w:r>
      <w:r>
        <w:fldChar w:fldCharType="separate"/>
      </w:r>
      <w:r>
        <w:t>14</w:t>
      </w:r>
      <w:r>
        <w:fldChar w:fldCharType="end"/>
      </w:r>
      <w:r>
        <w:rPr>
          <w:rFonts w:eastAsia="黑体" w:cs="Times New Roman"/>
        </w:rPr>
        <w:fldChar w:fldCharType="end"/>
      </w:r>
    </w:p>
    <w:p w14:paraId="6099F2CE">
      <w:pPr>
        <w:pStyle w:val="12"/>
        <w:tabs>
          <w:tab w:val="right" w:leader="dot" w:pos="8312"/>
        </w:tabs>
      </w:pPr>
      <w:r>
        <w:rPr>
          <w:rFonts w:eastAsia="黑体" w:cs="Times New Roman"/>
        </w:rPr>
        <w:fldChar w:fldCharType="begin"/>
      </w:r>
      <w:r>
        <w:rPr>
          <w:rFonts w:eastAsia="黑体" w:cs="Times New Roman"/>
        </w:rPr>
        <w:instrText xml:space="preserve"> HYPERLINK \l _Toc1971 </w:instrText>
      </w:r>
      <w:r>
        <w:rPr>
          <w:rFonts w:eastAsia="黑体" w:cs="Times New Roman"/>
        </w:rPr>
        <w:fldChar w:fldCharType="separate"/>
      </w:r>
      <w:r>
        <w:rPr>
          <w:rFonts w:ascii="Times New Roman" w:hAnsi="Times New Roman" w:cs="Times New Roman"/>
        </w:rPr>
        <w:t>第四节 国土空间用途结构优化</w:t>
      </w:r>
      <w:r>
        <w:tab/>
      </w:r>
      <w:r>
        <w:fldChar w:fldCharType="begin"/>
      </w:r>
      <w:r>
        <w:instrText xml:space="preserve"> PAGEREF _Toc1971 \h </w:instrText>
      </w:r>
      <w:r>
        <w:fldChar w:fldCharType="separate"/>
      </w:r>
      <w:r>
        <w:t>15</w:t>
      </w:r>
      <w:r>
        <w:fldChar w:fldCharType="end"/>
      </w:r>
      <w:r>
        <w:rPr>
          <w:rFonts w:eastAsia="黑体" w:cs="Times New Roman"/>
        </w:rPr>
        <w:fldChar w:fldCharType="end"/>
      </w:r>
    </w:p>
    <w:p w14:paraId="384ABB0E">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_Toc7175 </w:instrText>
      </w:r>
      <w:r>
        <w:rPr>
          <w:rFonts w:eastAsia="黑体" w:cs="Times New Roman"/>
        </w:rPr>
        <w:fldChar w:fldCharType="separate"/>
      </w:r>
      <w:r>
        <w:rPr>
          <w:rFonts w:ascii="Times New Roman" w:hAnsi="Times New Roman" w:cs="Times New Roman"/>
        </w:rPr>
        <w:t>第四章 资源保护与利用</w:t>
      </w:r>
      <w:r>
        <w:tab/>
      </w:r>
      <w:r>
        <w:fldChar w:fldCharType="begin"/>
      </w:r>
      <w:r>
        <w:instrText xml:space="preserve"> PAGEREF _Toc7175 \h </w:instrText>
      </w:r>
      <w:r>
        <w:fldChar w:fldCharType="separate"/>
      </w:r>
      <w:r>
        <w:t>17</w:t>
      </w:r>
      <w:r>
        <w:fldChar w:fldCharType="end"/>
      </w:r>
      <w:r>
        <w:rPr>
          <w:rFonts w:eastAsia="黑体" w:cs="Times New Roman"/>
        </w:rPr>
        <w:fldChar w:fldCharType="end"/>
      </w:r>
    </w:p>
    <w:p w14:paraId="20AAEE68">
      <w:pPr>
        <w:pStyle w:val="12"/>
        <w:tabs>
          <w:tab w:val="right" w:leader="dot" w:pos="8312"/>
        </w:tabs>
      </w:pPr>
      <w:r>
        <w:rPr>
          <w:rFonts w:eastAsia="黑体" w:cs="Times New Roman"/>
        </w:rPr>
        <w:fldChar w:fldCharType="begin"/>
      </w:r>
      <w:r>
        <w:rPr>
          <w:rFonts w:eastAsia="黑体" w:cs="Times New Roman"/>
        </w:rPr>
        <w:instrText xml:space="preserve"> HYPERLINK \l _Toc5919 </w:instrText>
      </w:r>
      <w:r>
        <w:rPr>
          <w:rFonts w:eastAsia="黑体" w:cs="Times New Roman"/>
        </w:rPr>
        <w:fldChar w:fldCharType="separate"/>
      </w:r>
      <w:r>
        <w:rPr>
          <w:rFonts w:ascii="Times New Roman" w:hAnsi="Times New Roman" w:cs="Times New Roman"/>
        </w:rPr>
        <w:t>第一节 耕地资源</w:t>
      </w:r>
      <w:r>
        <w:tab/>
      </w:r>
      <w:r>
        <w:fldChar w:fldCharType="begin"/>
      </w:r>
      <w:r>
        <w:instrText xml:space="preserve"> PAGEREF _Toc5919 \h </w:instrText>
      </w:r>
      <w:r>
        <w:fldChar w:fldCharType="separate"/>
      </w:r>
      <w:r>
        <w:t>17</w:t>
      </w:r>
      <w:r>
        <w:fldChar w:fldCharType="end"/>
      </w:r>
      <w:r>
        <w:rPr>
          <w:rFonts w:eastAsia="黑体" w:cs="Times New Roman"/>
        </w:rPr>
        <w:fldChar w:fldCharType="end"/>
      </w:r>
    </w:p>
    <w:p w14:paraId="3FF0C1F9">
      <w:pPr>
        <w:pStyle w:val="12"/>
        <w:tabs>
          <w:tab w:val="right" w:leader="dot" w:pos="8312"/>
        </w:tabs>
      </w:pPr>
      <w:r>
        <w:rPr>
          <w:rFonts w:eastAsia="黑体" w:cs="Times New Roman"/>
        </w:rPr>
        <w:fldChar w:fldCharType="begin"/>
      </w:r>
      <w:r>
        <w:rPr>
          <w:rFonts w:eastAsia="黑体" w:cs="Times New Roman"/>
        </w:rPr>
        <w:instrText xml:space="preserve"> HYPERLINK \l _Toc4491 </w:instrText>
      </w:r>
      <w:r>
        <w:rPr>
          <w:rFonts w:eastAsia="黑体" w:cs="Times New Roman"/>
        </w:rPr>
        <w:fldChar w:fldCharType="separate"/>
      </w:r>
      <w:r>
        <w:rPr>
          <w:rFonts w:ascii="Times New Roman" w:hAnsi="Times New Roman" w:cs="Times New Roman"/>
        </w:rPr>
        <w:t>第二节 水资源</w:t>
      </w:r>
      <w:r>
        <w:tab/>
      </w:r>
      <w:r>
        <w:fldChar w:fldCharType="begin"/>
      </w:r>
      <w:r>
        <w:instrText xml:space="preserve"> PAGEREF _Toc4491 \h </w:instrText>
      </w:r>
      <w:r>
        <w:fldChar w:fldCharType="separate"/>
      </w:r>
      <w:r>
        <w:t>19</w:t>
      </w:r>
      <w:r>
        <w:fldChar w:fldCharType="end"/>
      </w:r>
      <w:r>
        <w:rPr>
          <w:rFonts w:eastAsia="黑体" w:cs="Times New Roman"/>
        </w:rPr>
        <w:fldChar w:fldCharType="end"/>
      </w:r>
    </w:p>
    <w:p w14:paraId="4DB9132E">
      <w:pPr>
        <w:pStyle w:val="12"/>
        <w:tabs>
          <w:tab w:val="right" w:leader="dot" w:pos="8312"/>
        </w:tabs>
      </w:pPr>
      <w:r>
        <w:rPr>
          <w:rFonts w:eastAsia="黑体" w:cs="Times New Roman"/>
        </w:rPr>
        <w:fldChar w:fldCharType="begin"/>
      </w:r>
      <w:r>
        <w:rPr>
          <w:rFonts w:eastAsia="黑体" w:cs="Times New Roman"/>
        </w:rPr>
        <w:instrText xml:space="preserve"> HYPERLINK \l _Toc25438 </w:instrText>
      </w:r>
      <w:r>
        <w:rPr>
          <w:rFonts w:eastAsia="黑体" w:cs="Times New Roman"/>
        </w:rPr>
        <w:fldChar w:fldCharType="separate"/>
      </w:r>
      <w:r>
        <w:rPr>
          <w:rFonts w:ascii="Times New Roman" w:hAnsi="Times New Roman" w:cs="Times New Roman"/>
        </w:rPr>
        <w:t>第三节 湿地资源</w:t>
      </w:r>
      <w:r>
        <w:tab/>
      </w:r>
      <w:r>
        <w:fldChar w:fldCharType="begin"/>
      </w:r>
      <w:r>
        <w:instrText xml:space="preserve"> PAGEREF _Toc25438 \h </w:instrText>
      </w:r>
      <w:r>
        <w:fldChar w:fldCharType="separate"/>
      </w:r>
      <w:r>
        <w:t>20</w:t>
      </w:r>
      <w:r>
        <w:fldChar w:fldCharType="end"/>
      </w:r>
      <w:r>
        <w:rPr>
          <w:rFonts w:eastAsia="黑体" w:cs="Times New Roman"/>
        </w:rPr>
        <w:fldChar w:fldCharType="end"/>
      </w:r>
    </w:p>
    <w:p w14:paraId="7E4BE60E">
      <w:pPr>
        <w:pStyle w:val="12"/>
        <w:tabs>
          <w:tab w:val="right" w:leader="dot" w:pos="8312"/>
        </w:tabs>
      </w:pPr>
      <w:r>
        <w:rPr>
          <w:rFonts w:eastAsia="黑体" w:cs="Times New Roman"/>
        </w:rPr>
        <w:fldChar w:fldCharType="begin"/>
      </w:r>
      <w:r>
        <w:rPr>
          <w:rFonts w:eastAsia="黑体" w:cs="Times New Roman"/>
        </w:rPr>
        <w:instrText xml:space="preserve"> HYPERLINK \l _Toc24083 </w:instrText>
      </w:r>
      <w:r>
        <w:rPr>
          <w:rFonts w:eastAsia="黑体" w:cs="Times New Roman"/>
        </w:rPr>
        <w:fldChar w:fldCharType="separate"/>
      </w:r>
      <w:r>
        <w:rPr>
          <w:rFonts w:ascii="Times New Roman" w:hAnsi="Times New Roman" w:cs="Times New Roman"/>
        </w:rPr>
        <w:t>第四节 林草资源</w:t>
      </w:r>
      <w:r>
        <w:tab/>
      </w:r>
      <w:r>
        <w:fldChar w:fldCharType="begin"/>
      </w:r>
      <w:r>
        <w:instrText xml:space="preserve"> PAGEREF _Toc24083 \h </w:instrText>
      </w:r>
      <w:r>
        <w:fldChar w:fldCharType="separate"/>
      </w:r>
      <w:r>
        <w:t>20</w:t>
      </w:r>
      <w:r>
        <w:fldChar w:fldCharType="end"/>
      </w:r>
      <w:r>
        <w:rPr>
          <w:rFonts w:eastAsia="黑体" w:cs="Times New Roman"/>
        </w:rPr>
        <w:fldChar w:fldCharType="end"/>
      </w:r>
    </w:p>
    <w:p w14:paraId="429AC333">
      <w:pPr>
        <w:pStyle w:val="12"/>
        <w:tabs>
          <w:tab w:val="right" w:leader="dot" w:pos="8312"/>
        </w:tabs>
      </w:pPr>
      <w:r>
        <w:rPr>
          <w:rFonts w:eastAsia="黑体" w:cs="Times New Roman"/>
        </w:rPr>
        <w:fldChar w:fldCharType="begin"/>
      </w:r>
      <w:r>
        <w:rPr>
          <w:rFonts w:eastAsia="黑体" w:cs="Times New Roman"/>
        </w:rPr>
        <w:instrText xml:space="preserve"> HYPERLINK \l _Toc17179 </w:instrText>
      </w:r>
      <w:r>
        <w:rPr>
          <w:rFonts w:eastAsia="黑体" w:cs="Times New Roman"/>
        </w:rPr>
        <w:fldChar w:fldCharType="separate"/>
      </w:r>
      <w:r>
        <w:rPr>
          <w:rFonts w:ascii="Times New Roman" w:hAnsi="Times New Roman" w:cs="Times New Roman"/>
        </w:rPr>
        <w:t>第五节 矿产资源</w:t>
      </w:r>
      <w:r>
        <w:tab/>
      </w:r>
      <w:r>
        <w:fldChar w:fldCharType="begin"/>
      </w:r>
      <w:r>
        <w:instrText xml:space="preserve"> PAGEREF _Toc17179 \h </w:instrText>
      </w:r>
      <w:r>
        <w:fldChar w:fldCharType="separate"/>
      </w:r>
      <w:r>
        <w:t>21</w:t>
      </w:r>
      <w:r>
        <w:fldChar w:fldCharType="end"/>
      </w:r>
      <w:r>
        <w:rPr>
          <w:rFonts w:eastAsia="黑体" w:cs="Times New Roman"/>
        </w:rPr>
        <w:fldChar w:fldCharType="end"/>
      </w:r>
    </w:p>
    <w:p w14:paraId="45099797">
      <w:pPr>
        <w:pStyle w:val="12"/>
        <w:tabs>
          <w:tab w:val="right" w:leader="dot" w:pos="8312"/>
        </w:tabs>
      </w:pPr>
      <w:r>
        <w:rPr>
          <w:rFonts w:eastAsia="黑体" w:cs="Times New Roman"/>
        </w:rPr>
        <w:fldChar w:fldCharType="begin"/>
      </w:r>
      <w:r>
        <w:rPr>
          <w:rFonts w:eastAsia="黑体" w:cs="Times New Roman"/>
        </w:rPr>
        <w:instrText xml:space="preserve"> HYPERLINK \l _Toc25468 </w:instrText>
      </w:r>
      <w:r>
        <w:rPr>
          <w:rFonts w:eastAsia="黑体" w:cs="Times New Roman"/>
        </w:rPr>
        <w:fldChar w:fldCharType="separate"/>
      </w:r>
      <w:r>
        <w:rPr>
          <w:rFonts w:ascii="Times New Roman" w:hAnsi="Times New Roman" w:cs="Times New Roman"/>
        </w:rPr>
        <w:t>第六节 历史文化资源</w:t>
      </w:r>
      <w:r>
        <w:tab/>
      </w:r>
      <w:r>
        <w:fldChar w:fldCharType="begin"/>
      </w:r>
      <w:r>
        <w:instrText xml:space="preserve"> PAGEREF _Toc25468 \h </w:instrText>
      </w:r>
      <w:r>
        <w:fldChar w:fldCharType="separate"/>
      </w:r>
      <w:r>
        <w:t>22</w:t>
      </w:r>
      <w:r>
        <w:fldChar w:fldCharType="end"/>
      </w:r>
      <w:r>
        <w:rPr>
          <w:rFonts w:eastAsia="黑体" w:cs="Times New Roman"/>
        </w:rPr>
        <w:fldChar w:fldCharType="end"/>
      </w:r>
    </w:p>
    <w:p w14:paraId="77E00E4E">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_Toc26392 </w:instrText>
      </w:r>
      <w:r>
        <w:rPr>
          <w:rFonts w:eastAsia="黑体" w:cs="Times New Roman"/>
        </w:rPr>
        <w:fldChar w:fldCharType="separate"/>
      </w:r>
      <w:r>
        <w:rPr>
          <w:rFonts w:ascii="Times New Roman" w:hAnsi="Times New Roman" w:cs="Times New Roman"/>
        </w:rPr>
        <w:t>第五章 镇村统筹发展</w:t>
      </w:r>
      <w:r>
        <w:tab/>
      </w:r>
      <w:r>
        <w:fldChar w:fldCharType="begin"/>
      </w:r>
      <w:r>
        <w:instrText xml:space="preserve"> PAGEREF _Toc26392 \h </w:instrText>
      </w:r>
      <w:r>
        <w:fldChar w:fldCharType="separate"/>
      </w:r>
      <w:r>
        <w:t>24</w:t>
      </w:r>
      <w:r>
        <w:fldChar w:fldCharType="end"/>
      </w:r>
      <w:r>
        <w:rPr>
          <w:rFonts w:eastAsia="黑体" w:cs="Times New Roman"/>
        </w:rPr>
        <w:fldChar w:fldCharType="end"/>
      </w:r>
    </w:p>
    <w:p w14:paraId="40B8A312">
      <w:pPr>
        <w:pStyle w:val="12"/>
        <w:tabs>
          <w:tab w:val="right" w:leader="dot" w:pos="8312"/>
        </w:tabs>
      </w:pPr>
      <w:r>
        <w:rPr>
          <w:rFonts w:eastAsia="黑体" w:cs="Times New Roman"/>
        </w:rPr>
        <w:fldChar w:fldCharType="begin"/>
      </w:r>
      <w:r>
        <w:rPr>
          <w:rFonts w:eastAsia="黑体" w:cs="Times New Roman"/>
        </w:rPr>
        <w:instrText xml:space="preserve"> HYPERLINK \l _Toc29816 </w:instrText>
      </w:r>
      <w:r>
        <w:rPr>
          <w:rFonts w:eastAsia="黑体" w:cs="Times New Roman"/>
        </w:rPr>
        <w:fldChar w:fldCharType="separate"/>
      </w:r>
      <w:r>
        <w:rPr>
          <w:rFonts w:ascii="Times New Roman" w:hAnsi="Times New Roman" w:cs="Times New Roman"/>
        </w:rPr>
        <w:t>第一节 镇村体系</w:t>
      </w:r>
      <w:r>
        <w:tab/>
      </w:r>
      <w:r>
        <w:fldChar w:fldCharType="begin"/>
      </w:r>
      <w:r>
        <w:instrText xml:space="preserve"> PAGEREF _Toc29816 \h </w:instrText>
      </w:r>
      <w:r>
        <w:fldChar w:fldCharType="separate"/>
      </w:r>
      <w:r>
        <w:t>24</w:t>
      </w:r>
      <w:r>
        <w:fldChar w:fldCharType="end"/>
      </w:r>
      <w:r>
        <w:rPr>
          <w:rFonts w:eastAsia="黑体" w:cs="Times New Roman"/>
        </w:rPr>
        <w:fldChar w:fldCharType="end"/>
      </w:r>
    </w:p>
    <w:p w14:paraId="5197AC61">
      <w:pPr>
        <w:pStyle w:val="12"/>
        <w:tabs>
          <w:tab w:val="right" w:leader="dot" w:pos="8312"/>
        </w:tabs>
      </w:pPr>
      <w:r>
        <w:rPr>
          <w:rFonts w:eastAsia="黑体" w:cs="Times New Roman"/>
        </w:rPr>
        <w:fldChar w:fldCharType="begin"/>
      </w:r>
      <w:r>
        <w:rPr>
          <w:rFonts w:eastAsia="黑体" w:cs="Times New Roman"/>
        </w:rPr>
        <w:instrText xml:space="preserve"> HYPERLINK \l _Toc28781 </w:instrText>
      </w:r>
      <w:r>
        <w:rPr>
          <w:rFonts w:eastAsia="黑体" w:cs="Times New Roman"/>
        </w:rPr>
        <w:fldChar w:fldCharType="separate"/>
      </w:r>
      <w:r>
        <w:rPr>
          <w:rFonts w:ascii="Times New Roman" w:hAnsi="Times New Roman" w:cs="Times New Roman"/>
        </w:rPr>
        <w:t>第二节 村庄布局</w:t>
      </w:r>
      <w:r>
        <w:tab/>
      </w:r>
      <w:r>
        <w:fldChar w:fldCharType="begin"/>
      </w:r>
      <w:r>
        <w:instrText xml:space="preserve"> PAGEREF _Toc28781 \h </w:instrText>
      </w:r>
      <w:r>
        <w:fldChar w:fldCharType="separate"/>
      </w:r>
      <w:r>
        <w:t>25</w:t>
      </w:r>
      <w:r>
        <w:fldChar w:fldCharType="end"/>
      </w:r>
      <w:r>
        <w:rPr>
          <w:rFonts w:eastAsia="黑体" w:cs="Times New Roman"/>
        </w:rPr>
        <w:fldChar w:fldCharType="end"/>
      </w:r>
    </w:p>
    <w:p w14:paraId="3D0A92CC">
      <w:pPr>
        <w:pStyle w:val="12"/>
        <w:tabs>
          <w:tab w:val="right" w:leader="dot" w:pos="8312"/>
        </w:tabs>
      </w:pPr>
      <w:r>
        <w:rPr>
          <w:rFonts w:eastAsia="黑体" w:cs="Times New Roman"/>
        </w:rPr>
        <w:fldChar w:fldCharType="begin"/>
      </w:r>
      <w:r>
        <w:rPr>
          <w:rFonts w:eastAsia="黑体" w:cs="Times New Roman"/>
        </w:rPr>
        <w:instrText xml:space="preserve"> HYPERLINK \l _Toc2621 </w:instrText>
      </w:r>
      <w:r>
        <w:rPr>
          <w:rFonts w:eastAsia="黑体" w:cs="Times New Roman"/>
        </w:rPr>
        <w:fldChar w:fldCharType="separate"/>
      </w:r>
      <w:r>
        <w:rPr>
          <w:rFonts w:hint="eastAsia" w:ascii="Times New Roman" w:hAnsi="Times New Roman" w:cs="Times New Roman"/>
        </w:rPr>
        <w:t>第三节“通则式”村庄规划管理规定</w:t>
      </w:r>
      <w:r>
        <w:tab/>
      </w:r>
      <w:r>
        <w:fldChar w:fldCharType="begin"/>
      </w:r>
      <w:r>
        <w:instrText xml:space="preserve"> PAGEREF _Toc2621 \h </w:instrText>
      </w:r>
      <w:r>
        <w:fldChar w:fldCharType="separate"/>
      </w:r>
      <w:r>
        <w:t>26</w:t>
      </w:r>
      <w:r>
        <w:fldChar w:fldCharType="end"/>
      </w:r>
      <w:r>
        <w:rPr>
          <w:rFonts w:eastAsia="黑体" w:cs="Times New Roman"/>
        </w:rPr>
        <w:fldChar w:fldCharType="end"/>
      </w:r>
    </w:p>
    <w:p w14:paraId="1AFE503F">
      <w:pPr>
        <w:pStyle w:val="12"/>
        <w:tabs>
          <w:tab w:val="right" w:leader="dot" w:pos="8312"/>
        </w:tabs>
      </w:pPr>
      <w:r>
        <w:rPr>
          <w:rFonts w:eastAsia="黑体" w:cs="Times New Roman"/>
        </w:rPr>
        <w:fldChar w:fldCharType="begin"/>
      </w:r>
      <w:r>
        <w:rPr>
          <w:rFonts w:eastAsia="黑体" w:cs="Times New Roman"/>
        </w:rPr>
        <w:instrText xml:space="preserve"> HYPERLINK \l _Toc26098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四</w:t>
      </w:r>
      <w:r>
        <w:rPr>
          <w:rFonts w:ascii="Times New Roman" w:hAnsi="Times New Roman" w:cs="Times New Roman"/>
        </w:rPr>
        <w:t>节 产业布局</w:t>
      </w:r>
      <w:r>
        <w:tab/>
      </w:r>
      <w:r>
        <w:fldChar w:fldCharType="begin"/>
      </w:r>
      <w:r>
        <w:instrText xml:space="preserve"> PAGEREF _Toc26098 \h </w:instrText>
      </w:r>
      <w:r>
        <w:fldChar w:fldCharType="separate"/>
      </w:r>
      <w:r>
        <w:t>31</w:t>
      </w:r>
      <w:r>
        <w:fldChar w:fldCharType="end"/>
      </w:r>
      <w:r>
        <w:rPr>
          <w:rFonts w:eastAsia="黑体" w:cs="Times New Roman"/>
        </w:rPr>
        <w:fldChar w:fldCharType="end"/>
      </w:r>
    </w:p>
    <w:p w14:paraId="71B252C3">
      <w:pPr>
        <w:pStyle w:val="12"/>
        <w:tabs>
          <w:tab w:val="right" w:leader="dot" w:pos="8312"/>
        </w:tabs>
      </w:pPr>
      <w:r>
        <w:rPr>
          <w:rFonts w:eastAsia="黑体" w:cs="Times New Roman"/>
        </w:rPr>
        <w:fldChar w:fldCharType="begin"/>
      </w:r>
      <w:r>
        <w:rPr>
          <w:rFonts w:eastAsia="黑体" w:cs="Times New Roman"/>
        </w:rPr>
        <w:instrText xml:space="preserve"> HYPERLINK \l _Toc8407 </w:instrText>
      </w:r>
      <w:r>
        <w:rPr>
          <w:rFonts w:eastAsia="黑体" w:cs="Times New Roman"/>
        </w:rPr>
        <w:fldChar w:fldCharType="separate"/>
      </w:r>
      <w:r>
        <w:rPr>
          <w:rFonts w:ascii="Times New Roman" w:hAnsi="Times New Roman" w:cs="Times New Roman"/>
        </w:rPr>
        <w:t>第</w:t>
      </w:r>
      <w:r>
        <w:rPr>
          <w:rFonts w:hint="eastAsia" w:ascii="Times New Roman" w:hAnsi="Times New Roman" w:cs="Times New Roman"/>
        </w:rPr>
        <w:t>五</w:t>
      </w:r>
      <w:r>
        <w:rPr>
          <w:rFonts w:ascii="Times New Roman" w:hAnsi="Times New Roman" w:cs="Times New Roman"/>
        </w:rPr>
        <w:t>节 景观风貌</w:t>
      </w:r>
      <w:r>
        <w:tab/>
      </w:r>
      <w:r>
        <w:fldChar w:fldCharType="begin"/>
      </w:r>
      <w:r>
        <w:instrText xml:space="preserve"> PAGEREF _Toc8407 \h </w:instrText>
      </w:r>
      <w:r>
        <w:fldChar w:fldCharType="separate"/>
      </w:r>
      <w:r>
        <w:t>33</w:t>
      </w:r>
      <w:r>
        <w:fldChar w:fldCharType="end"/>
      </w:r>
      <w:r>
        <w:rPr>
          <w:rFonts w:eastAsia="黑体" w:cs="Times New Roman"/>
        </w:rPr>
        <w:fldChar w:fldCharType="end"/>
      </w:r>
    </w:p>
    <w:p w14:paraId="2EB1A0BF">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_Toc27082 </w:instrText>
      </w:r>
      <w:r>
        <w:rPr>
          <w:rFonts w:eastAsia="黑体" w:cs="Times New Roman"/>
        </w:rPr>
        <w:fldChar w:fldCharType="separate"/>
      </w:r>
      <w:r>
        <w:rPr>
          <w:rFonts w:ascii="Times New Roman" w:hAnsi="Times New Roman" w:cs="Times New Roman"/>
        </w:rPr>
        <w:t>第六章 生态修复和国土综合整治</w:t>
      </w:r>
      <w:r>
        <w:tab/>
      </w:r>
      <w:r>
        <w:fldChar w:fldCharType="begin"/>
      </w:r>
      <w:r>
        <w:instrText xml:space="preserve"> PAGEREF _Toc27082 \h </w:instrText>
      </w:r>
      <w:r>
        <w:fldChar w:fldCharType="separate"/>
      </w:r>
      <w:r>
        <w:t>36</w:t>
      </w:r>
      <w:r>
        <w:fldChar w:fldCharType="end"/>
      </w:r>
      <w:r>
        <w:rPr>
          <w:rFonts w:eastAsia="黑体" w:cs="Times New Roman"/>
        </w:rPr>
        <w:fldChar w:fldCharType="end"/>
      </w:r>
    </w:p>
    <w:p w14:paraId="18B5BC70">
      <w:pPr>
        <w:pStyle w:val="12"/>
        <w:tabs>
          <w:tab w:val="right" w:leader="dot" w:pos="8312"/>
        </w:tabs>
      </w:pPr>
      <w:r>
        <w:rPr>
          <w:rFonts w:eastAsia="黑体" w:cs="Times New Roman"/>
        </w:rPr>
        <w:fldChar w:fldCharType="begin"/>
      </w:r>
      <w:r>
        <w:rPr>
          <w:rFonts w:eastAsia="黑体" w:cs="Times New Roman"/>
        </w:rPr>
        <w:instrText xml:space="preserve"> HYPERLINK \l _Toc14080 </w:instrText>
      </w:r>
      <w:r>
        <w:rPr>
          <w:rFonts w:eastAsia="黑体" w:cs="Times New Roman"/>
        </w:rPr>
        <w:fldChar w:fldCharType="separate"/>
      </w:r>
      <w:r>
        <w:rPr>
          <w:rFonts w:ascii="Times New Roman" w:hAnsi="Times New Roman" w:cs="Times New Roman"/>
        </w:rPr>
        <w:t>第一节 生态修复</w:t>
      </w:r>
      <w:r>
        <w:tab/>
      </w:r>
      <w:r>
        <w:fldChar w:fldCharType="begin"/>
      </w:r>
      <w:r>
        <w:instrText xml:space="preserve"> PAGEREF _Toc14080 \h </w:instrText>
      </w:r>
      <w:r>
        <w:fldChar w:fldCharType="separate"/>
      </w:r>
      <w:r>
        <w:t>36</w:t>
      </w:r>
      <w:r>
        <w:fldChar w:fldCharType="end"/>
      </w:r>
      <w:r>
        <w:rPr>
          <w:rFonts w:eastAsia="黑体" w:cs="Times New Roman"/>
        </w:rPr>
        <w:fldChar w:fldCharType="end"/>
      </w:r>
    </w:p>
    <w:p w14:paraId="2C531C84">
      <w:pPr>
        <w:pStyle w:val="12"/>
        <w:tabs>
          <w:tab w:val="right" w:leader="dot" w:pos="8312"/>
        </w:tabs>
      </w:pPr>
      <w:r>
        <w:rPr>
          <w:rFonts w:eastAsia="黑体" w:cs="Times New Roman"/>
        </w:rPr>
        <w:fldChar w:fldCharType="begin"/>
      </w:r>
      <w:r>
        <w:rPr>
          <w:rFonts w:eastAsia="黑体" w:cs="Times New Roman"/>
        </w:rPr>
        <w:instrText xml:space="preserve"> HYPERLINK \l _Toc22625 </w:instrText>
      </w:r>
      <w:r>
        <w:rPr>
          <w:rFonts w:eastAsia="黑体" w:cs="Times New Roman"/>
        </w:rPr>
        <w:fldChar w:fldCharType="separate"/>
      </w:r>
      <w:r>
        <w:rPr>
          <w:rFonts w:ascii="Times New Roman" w:hAnsi="Times New Roman" w:cs="Times New Roman"/>
        </w:rPr>
        <w:t>第二节 国土综合整治</w:t>
      </w:r>
      <w:r>
        <w:tab/>
      </w:r>
      <w:r>
        <w:fldChar w:fldCharType="begin"/>
      </w:r>
      <w:r>
        <w:instrText xml:space="preserve"> PAGEREF _Toc22625 \h </w:instrText>
      </w:r>
      <w:r>
        <w:fldChar w:fldCharType="separate"/>
      </w:r>
      <w:r>
        <w:t>37</w:t>
      </w:r>
      <w:r>
        <w:fldChar w:fldCharType="end"/>
      </w:r>
      <w:r>
        <w:rPr>
          <w:rFonts w:eastAsia="黑体" w:cs="Times New Roman"/>
        </w:rPr>
        <w:fldChar w:fldCharType="end"/>
      </w:r>
    </w:p>
    <w:p w14:paraId="547F6AB5">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_Toc5536 </w:instrText>
      </w:r>
      <w:r>
        <w:rPr>
          <w:rFonts w:eastAsia="黑体" w:cs="Times New Roman"/>
        </w:rPr>
        <w:fldChar w:fldCharType="separate"/>
      </w:r>
      <w:r>
        <w:rPr>
          <w:rFonts w:ascii="Times New Roman" w:hAnsi="Times New Roman" w:cs="Times New Roman"/>
        </w:rPr>
        <w:t>第七章 乡中心区功能布局与规划管控</w:t>
      </w:r>
      <w:r>
        <w:tab/>
      </w:r>
      <w:r>
        <w:fldChar w:fldCharType="begin"/>
      </w:r>
      <w:r>
        <w:instrText xml:space="preserve"> PAGEREF _Toc5536 \h </w:instrText>
      </w:r>
      <w:r>
        <w:fldChar w:fldCharType="separate"/>
      </w:r>
      <w:r>
        <w:t>40</w:t>
      </w:r>
      <w:r>
        <w:fldChar w:fldCharType="end"/>
      </w:r>
      <w:r>
        <w:rPr>
          <w:rFonts w:eastAsia="黑体" w:cs="Times New Roman"/>
        </w:rPr>
        <w:fldChar w:fldCharType="end"/>
      </w:r>
    </w:p>
    <w:p w14:paraId="37F15CA7">
      <w:pPr>
        <w:pStyle w:val="12"/>
        <w:tabs>
          <w:tab w:val="right" w:leader="dot" w:pos="8312"/>
        </w:tabs>
      </w:pPr>
      <w:r>
        <w:rPr>
          <w:rFonts w:eastAsia="黑体" w:cs="Times New Roman"/>
        </w:rPr>
        <w:fldChar w:fldCharType="begin"/>
      </w:r>
      <w:r>
        <w:rPr>
          <w:rFonts w:eastAsia="黑体" w:cs="Times New Roman"/>
        </w:rPr>
        <w:instrText xml:space="preserve"> HYPERLINK \l _Toc1130 </w:instrText>
      </w:r>
      <w:r>
        <w:rPr>
          <w:rFonts w:eastAsia="黑体" w:cs="Times New Roman"/>
        </w:rPr>
        <w:fldChar w:fldCharType="separate"/>
      </w:r>
      <w:r>
        <w:rPr>
          <w:rFonts w:ascii="Times New Roman" w:hAnsi="Times New Roman" w:cs="Times New Roman"/>
        </w:rPr>
        <w:t>第一节 规划分区与用途管制</w:t>
      </w:r>
      <w:r>
        <w:tab/>
      </w:r>
      <w:r>
        <w:fldChar w:fldCharType="begin"/>
      </w:r>
      <w:r>
        <w:instrText xml:space="preserve"> PAGEREF _Toc1130 \h </w:instrText>
      </w:r>
      <w:r>
        <w:fldChar w:fldCharType="separate"/>
      </w:r>
      <w:r>
        <w:t>40</w:t>
      </w:r>
      <w:r>
        <w:fldChar w:fldCharType="end"/>
      </w:r>
      <w:r>
        <w:rPr>
          <w:rFonts w:eastAsia="黑体" w:cs="Times New Roman"/>
        </w:rPr>
        <w:fldChar w:fldCharType="end"/>
      </w:r>
    </w:p>
    <w:p w14:paraId="4493CEBE">
      <w:pPr>
        <w:pStyle w:val="12"/>
        <w:tabs>
          <w:tab w:val="right" w:leader="dot" w:pos="8312"/>
        </w:tabs>
      </w:pPr>
      <w:r>
        <w:rPr>
          <w:rFonts w:eastAsia="黑体" w:cs="Times New Roman"/>
        </w:rPr>
        <w:fldChar w:fldCharType="begin"/>
      </w:r>
      <w:r>
        <w:rPr>
          <w:rFonts w:eastAsia="黑体" w:cs="Times New Roman"/>
        </w:rPr>
        <w:instrText xml:space="preserve"> HYPERLINK \l _Toc25703 </w:instrText>
      </w:r>
      <w:r>
        <w:rPr>
          <w:rFonts w:eastAsia="黑体" w:cs="Times New Roman"/>
        </w:rPr>
        <w:fldChar w:fldCharType="separate"/>
      </w:r>
      <w:r>
        <w:rPr>
          <w:rFonts w:ascii="Times New Roman" w:hAnsi="Times New Roman" w:cs="Times New Roman"/>
        </w:rPr>
        <w:t>第二节 用地结构和布局</w:t>
      </w:r>
      <w:r>
        <w:tab/>
      </w:r>
      <w:r>
        <w:fldChar w:fldCharType="begin"/>
      </w:r>
      <w:r>
        <w:instrText xml:space="preserve"> PAGEREF _Toc25703 \h </w:instrText>
      </w:r>
      <w:r>
        <w:fldChar w:fldCharType="separate"/>
      </w:r>
      <w:r>
        <w:t>41</w:t>
      </w:r>
      <w:r>
        <w:fldChar w:fldCharType="end"/>
      </w:r>
      <w:r>
        <w:rPr>
          <w:rFonts w:eastAsia="黑体" w:cs="Times New Roman"/>
        </w:rPr>
        <w:fldChar w:fldCharType="end"/>
      </w:r>
    </w:p>
    <w:p w14:paraId="3DD1F2E0">
      <w:pPr>
        <w:pStyle w:val="12"/>
        <w:tabs>
          <w:tab w:val="right" w:leader="dot" w:pos="8312"/>
        </w:tabs>
      </w:pPr>
      <w:r>
        <w:rPr>
          <w:rFonts w:eastAsia="黑体" w:cs="Times New Roman"/>
        </w:rPr>
        <w:fldChar w:fldCharType="begin"/>
      </w:r>
      <w:r>
        <w:rPr>
          <w:rFonts w:eastAsia="黑体" w:cs="Times New Roman"/>
        </w:rPr>
        <w:instrText xml:space="preserve"> HYPERLINK \l _Toc8082 </w:instrText>
      </w:r>
      <w:r>
        <w:rPr>
          <w:rFonts w:eastAsia="黑体" w:cs="Times New Roman"/>
        </w:rPr>
        <w:fldChar w:fldCharType="separate"/>
      </w:r>
      <w:r>
        <w:rPr>
          <w:rFonts w:ascii="Times New Roman" w:hAnsi="Times New Roman" w:cs="Times New Roman"/>
        </w:rPr>
        <w:t>第三节 绿地系统和开敞空间</w:t>
      </w:r>
      <w:r>
        <w:tab/>
      </w:r>
      <w:r>
        <w:fldChar w:fldCharType="begin"/>
      </w:r>
      <w:r>
        <w:instrText xml:space="preserve"> PAGEREF _Toc8082 \h </w:instrText>
      </w:r>
      <w:r>
        <w:fldChar w:fldCharType="separate"/>
      </w:r>
      <w:r>
        <w:t>43</w:t>
      </w:r>
      <w:r>
        <w:fldChar w:fldCharType="end"/>
      </w:r>
      <w:r>
        <w:rPr>
          <w:rFonts w:eastAsia="黑体" w:cs="Times New Roman"/>
        </w:rPr>
        <w:fldChar w:fldCharType="end"/>
      </w:r>
    </w:p>
    <w:p w14:paraId="0B6158C3">
      <w:pPr>
        <w:pStyle w:val="12"/>
        <w:tabs>
          <w:tab w:val="right" w:leader="dot" w:pos="8312"/>
        </w:tabs>
      </w:pPr>
      <w:r>
        <w:rPr>
          <w:rFonts w:eastAsia="黑体" w:cs="Times New Roman"/>
        </w:rPr>
        <w:fldChar w:fldCharType="begin"/>
      </w:r>
      <w:r>
        <w:rPr>
          <w:rFonts w:eastAsia="黑体" w:cs="Times New Roman"/>
        </w:rPr>
        <w:instrText xml:space="preserve"> HYPERLINK \l _Toc31774 </w:instrText>
      </w:r>
      <w:r>
        <w:rPr>
          <w:rFonts w:eastAsia="黑体" w:cs="Times New Roman"/>
        </w:rPr>
        <w:fldChar w:fldCharType="separate"/>
      </w:r>
      <w:r>
        <w:rPr>
          <w:rFonts w:ascii="Times New Roman" w:hAnsi="Times New Roman" w:cs="Times New Roman"/>
        </w:rPr>
        <w:t>第四节 景观风貌</w:t>
      </w:r>
      <w:r>
        <w:tab/>
      </w:r>
      <w:r>
        <w:fldChar w:fldCharType="begin"/>
      </w:r>
      <w:r>
        <w:instrText xml:space="preserve"> PAGEREF _Toc31774 \h </w:instrText>
      </w:r>
      <w:r>
        <w:fldChar w:fldCharType="separate"/>
      </w:r>
      <w:r>
        <w:t>45</w:t>
      </w:r>
      <w:r>
        <w:fldChar w:fldCharType="end"/>
      </w:r>
      <w:r>
        <w:rPr>
          <w:rFonts w:eastAsia="黑体" w:cs="Times New Roman"/>
        </w:rPr>
        <w:fldChar w:fldCharType="end"/>
      </w:r>
    </w:p>
    <w:p w14:paraId="1807445C">
      <w:pPr>
        <w:pStyle w:val="12"/>
        <w:tabs>
          <w:tab w:val="right" w:leader="dot" w:pos="8312"/>
        </w:tabs>
      </w:pPr>
      <w:r>
        <w:rPr>
          <w:rFonts w:eastAsia="黑体" w:cs="Times New Roman"/>
        </w:rPr>
        <w:fldChar w:fldCharType="begin"/>
      </w:r>
      <w:r>
        <w:rPr>
          <w:rFonts w:eastAsia="黑体" w:cs="Times New Roman"/>
        </w:rPr>
        <w:instrText xml:space="preserve"> HYPERLINK \l _Toc7684 </w:instrText>
      </w:r>
      <w:r>
        <w:rPr>
          <w:rFonts w:eastAsia="黑体" w:cs="Times New Roman"/>
        </w:rPr>
        <w:fldChar w:fldCharType="separate"/>
      </w:r>
      <w:r>
        <w:rPr>
          <w:rFonts w:ascii="Times New Roman" w:hAnsi="Times New Roman" w:cs="Times New Roman"/>
        </w:rPr>
        <w:t>第五节 住房保障</w:t>
      </w:r>
      <w:r>
        <w:tab/>
      </w:r>
      <w:r>
        <w:fldChar w:fldCharType="begin"/>
      </w:r>
      <w:r>
        <w:instrText xml:space="preserve"> PAGEREF _Toc7684 \h </w:instrText>
      </w:r>
      <w:r>
        <w:fldChar w:fldCharType="separate"/>
      </w:r>
      <w:r>
        <w:t>48</w:t>
      </w:r>
      <w:r>
        <w:fldChar w:fldCharType="end"/>
      </w:r>
      <w:r>
        <w:rPr>
          <w:rFonts w:eastAsia="黑体" w:cs="Times New Roman"/>
        </w:rPr>
        <w:fldChar w:fldCharType="end"/>
      </w:r>
    </w:p>
    <w:p w14:paraId="46C9457E">
      <w:pPr>
        <w:pStyle w:val="12"/>
        <w:tabs>
          <w:tab w:val="right" w:leader="dot" w:pos="8312"/>
        </w:tabs>
      </w:pPr>
      <w:r>
        <w:rPr>
          <w:rFonts w:eastAsia="黑体" w:cs="Times New Roman"/>
        </w:rPr>
        <w:fldChar w:fldCharType="begin"/>
      </w:r>
      <w:r>
        <w:rPr>
          <w:rFonts w:eastAsia="黑体" w:cs="Times New Roman"/>
        </w:rPr>
        <w:instrText xml:space="preserve"> HYPERLINK \l _Toc11428 </w:instrText>
      </w:r>
      <w:r>
        <w:rPr>
          <w:rFonts w:eastAsia="黑体" w:cs="Times New Roman"/>
        </w:rPr>
        <w:fldChar w:fldCharType="separate"/>
      </w:r>
      <w:r>
        <w:rPr>
          <w:rFonts w:ascii="Times New Roman" w:hAnsi="Times New Roman" w:cs="Times New Roman"/>
        </w:rPr>
        <w:t>第六节 城镇更新</w:t>
      </w:r>
      <w:r>
        <w:tab/>
      </w:r>
      <w:r>
        <w:fldChar w:fldCharType="begin"/>
      </w:r>
      <w:r>
        <w:instrText xml:space="preserve"> PAGEREF _Toc11428 \h </w:instrText>
      </w:r>
      <w:r>
        <w:fldChar w:fldCharType="separate"/>
      </w:r>
      <w:r>
        <w:t>48</w:t>
      </w:r>
      <w:r>
        <w:fldChar w:fldCharType="end"/>
      </w:r>
      <w:r>
        <w:rPr>
          <w:rFonts w:eastAsia="黑体" w:cs="Times New Roman"/>
        </w:rPr>
        <w:fldChar w:fldCharType="end"/>
      </w:r>
    </w:p>
    <w:p w14:paraId="69DC4801">
      <w:pPr>
        <w:pStyle w:val="12"/>
        <w:tabs>
          <w:tab w:val="right" w:leader="dot" w:pos="8312"/>
        </w:tabs>
      </w:pPr>
      <w:r>
        <w:rPr>
          <w:rFonts w:eastAsia="黑体" w:cs="Times New Roman"/>
        </w:rPr>
        <w:fldChar w:fldCharType="begin"/>
      </w:r>
      <w:r>
        <w:rPr>
          <w:rFonts w:eastAsia="黑体" w:cs="Times New Roman"/>
        </w:rPr>
        <w:instrText xml:space="preserve"> HYPERLINK \l _Toc4861 </w:instrText>
      </w:r>
      <w:r>
        <w:rPr>
          <w:rFonts w:eastAsia="黑体" w:cs="Times New Roman"/>
        </w:rPr>
        <w:fldChar w:fldCharType="separate"/>
      </w:r>
      <w:r>
        <w:rPr>
          <w:rFonts w:ascii="Times New Roman" w:hAnsi="Times New Roman" w:cs="Times New Roman"/>
        </w:rPr>
        <w:t>第七节 “四线”管控</w:t>
      </w:r>
      <w:r>
        <w:tab/>
      </w:r>
      <w:r>
        <w:fldChar w:fldCharType="begin"/>
      </w:r>
      <w:r>
        <w:instrText xml:space="preserve"> PAGEREF _Toc4861 \h </w:instrText>
      </w:r>
      <w:r>
        <w:fldChar w:fldCharType="separate"/>
      </w:r>
      <w:r>
        <w:t>49</w:t>
      </w:r>
      <w:r>
        <w:fldChar w:fldCharType="end"/>
      </w:r>
      <w:r>
        <w:rPr>
          <w:rFonts w:eastAsia="黑体" w:cs="Times New Roman"/>
        </w:rPr>
        <w:fldChar w:fldCharType="end"/>
      </w:r>
    </w:p>
    <w:p w14:paraId="71376845">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_Toc7092 </w:instrText>
      </w:r>
      <w:r>
        <w:rPr>
          <w:rFonts w:eastAsia="黑体" w:cs="Times New Roman"/>
        </w:rPr>
        <w:fldChar w:fldCharType="separate"/>
      </w:r>
      <w:r>
        <w:rPr>
          <w:rFonts w:ascii="Times New Roman" w:hAnsi="Times New Roman" w:cs="Times New Roman"/>
        </w:rPr>
        <w:t>第八章 国土空间保障支撑体系</w:t>
      </w:r>
      <w:r>
        <w:tab/>
      </w:r>
      <w:r>
        <w:fldChar w:fldCharType="begin"/>
      </w:r>
      <w:r>
        <w:instrText xml:space="preserve"> PAGEREF _Toc7092 \h </w:instrText>
      </w:r>
      <w:r>
        <w:fldChar w:fldCharType="separate"/>
      </w:r>
      <w:r>
        <w:t>51</w:t>
      </w:r>
      <w:r>
        <w:fldChar w:fldCharType="end"/>
      </w:r>
      <w:r>
        <w:rPr>
          <w:rFonts w:eastAsia="黑体" w:cs="Times New Roman"/>
        </w:rPr>
        <w:fldChar w:fldCharType="end"/>
      </w:r>
    </w:p>
    <w:p w14:paraId="519DAB1B">
      <w:pPr>
        <w:pStyle w:val="12"/>
        <w:tabs>
          <w:tab w:val="right" w:leader="dot" w:pos="8312"/>
        </w:tabs>
      </w:pPr>
      <w:r>
        <w:rPr>
          <w:rFonts w:eastAsia="黑体" w:cs="Times New Roman"/>
        </w:rPr>
        <w:fldChar w:fldCharType="begin"/>
      </w:r>
      <w:r>
        <w:rPr>
          <w:rFonts w:eastAsia="黑体" w:cs="Times New Roman"/>
        </w:rPr>
        <w:instrText xml:space="preserve"> HYPERLINK \l _Toc14073 </w:instrText>
      </w:r>
      <w:r>
        <w:rPr>
          <w:rFonts w:eastAsia="黑体" w:cs="Times New Roman"/>
        </w:rPr>
        <w:fldChar w:fldCharType="separate"/>
      </w:r>
      <w:r>
        <w:rPr>
          <w:rFonts w:ascii="Times New Roman" w:hAnsi="Times New Roman" w:cs="Times New Roman"/>
        </w:rPr>
        <w:t>第一节 公共服务设施</w:t>
      </w:r>
      <w:r>
        <w:tab/>
      </w:r>
      <w:r>
        <w:fldChar w:fldCharType="begin"/>
      </w:r>
      <w:r>
        <w:instrText xml:space="preserve"> PAGEREF _Toc14073 \h </w:instrText>
      </w:r>
      <w:r>
        <w:fldChar w:fldCharType="separate"/>
      </w:r>
      <w:r>
        <w:t>51</w:t>
      </w:r>
      <w:r>
        <w:fldChar w:fldCharType="end"/>
      </w:r>
      <w:r>
        <w:rPr>
          <w:rFonts w:eastAsia="黑体" w:cs="Times New Roman"/>
        </w:rPr>
        <w:fldChar w:fldCharType="end"/>
      </w:r>
    </w:p>
    <w:p w14:paraId="10D712AB">
      <w:pPr>
        <w:pStyle w:val="12"/>
        <w:tabs>
          <w:tab w:val="right" w:leader="dot" w:pos="8312"/>
        </w:tabs>
      </w:pPr>
      <w:r>
        <w:rPr>
          <w:rFonts w:eastAsia="黑体" w:cs="Times New Roman"/>
        </w:rPr>
        <w:fldChar w:fldCharType="begin"/>
      </w:r>
      <w:r>
        <w:rPr>
          <w:rFonts w:eastAsia="黑体" w:cs="Times New Roman"/>
        </w:rPr>
        <w:instrText xml:space="preserve"> HYPERLINK \l _Toc19167 </w:instrText>
      </w:r>
      <w:r>
        <w:rPr>
          <w:rFonts w:eastAsia="黑体" w:cs="Times New Roman"/>
        </w:rPr>
        <w:fldChar w:fldCharType="separate"/>
      </w:r>
      <w:r>
        <w:rPr>
          <w:rFonts w:ascii="Times New Roman" w:hAnsi="Times New Roman" w:cs="Times New Roman"/>
        </w:rPr>
        <w:t>第二节 综合交通设施</w:t>
      </w:r>
      <w:r>
        <w:tab/>
      </w:r>
      <w:r>
        <w:fldChar w:fldCharType="begin"/>
      </w:r>
      <w:r>
        <w:instrText xml:space="preserve"> PAGEREF _Toc19167 \h </w:instrText>
      </w:r>
      <w:r>
        <w:fldChar w:fldCharType="separate"/>
      </w:r>
      <w:r>
        <w:t>56</w:t>
      </w:r>
      <w:r>
        <w:fldChar w:fldCharType="end"/>
      </w:r>
      <w:r>
        <w:rPr>
          <w:rFonts w:eastAsia="黑体" w:cs="Times New Roman"/>
        </w:rPr>
        <w:fldChar w:fldCharType="end"/>
      </w:r>
    </w:p>
    <w:p w14:paraId="2B193C97">
      <w:pPr>
        <w:pStyle w:val="12"/>
        <w:tabs>
          <w:tab w:val="right" w:leader="dot" w:pos="8312"/>
        </w:tabs>
      </w:pPr>
      <w:r>
        <w:rPr>
          <w:rFonts w:eastAsia="黑体" w:cs="Times New Roman"/>
        </w:rPr>
        <w:fldChar w:fldCharType="begin"/>
      </w:r>
      <w:r>
        <w:rPr>
          <w:rFonts w:eastAsia="黑体" w:cs="Times New Roman"/>
        </w:rPr>
        <w:instrText xml:space="preserve"> HYPERLINK \l _Toc3133 </w:instrText>
      </w:r>
      <w:r>
        <w:rPr>
          <w:rFonts w:eastAsia="黑体" w:cs="Times New Roman"/>
        </w:rPr>
        <w:fldChar w:fldCharType="separate"/>
      </w:r>
      <w:r>
        <w:rPr>
          <w:rFonts w:ascii="Times New Roman" w:hAnsi="Times New Roman" w:cs="Times New Roman"/>
        </w:rPr>
        <w:t>第三节 市政基础设施</w:t>
      </w:r>
      <w:r>
        <w:tab/>
      </w:r>
      <w:r>
        <w:fldChar w:fldCharType="begin"/>
      </w:r>
      <w:r>
        <w:instrText xml:space="preserve"> PAGEREF _Toc3133 \h </w:instrText>
      </w:r>
      <w:r>
        <w:fldChar w:fldCharType="separate"/>
      </w:r>
      <w:r>
        <w:t>58</w:t>
      </w:r>
      <w:r>
        <w:fldChar w:fldCharType="end"/>
      </w:r>
      <w:r>
        <w:rPr>
          <w:rFonts w:eastAsia="黑体" w:cs="Times New Roman"/>
        </w:rPr>
        <w:fldChar w:fldCharType="end"/>
      </w:r>
    </w:p>
    <w:p w14:paraId="0AF00242">
      <w:pPr>
        <w:pStyle w:val="12"/>
        <w:tabs>
          <w:tab w:val="right" w:leader="dot" w:pos="8312"/>
        </w:tabs>
      </w:pPr>
      <w:r>
        <w:rPr>
          <w:rFonts w:eastAsia="黑体" w:cs="Times New Roman"/>
        </w:rPr>
        <w:fldChar w:fldCharType="begin"/>
      </w:r>
      <w:r>
        <w:rPr>
          <w:rFonts w:eastAsia="黑体" w:cs="Times New Roman"/>
        </w:rPr>
        <w:instrText xml:space="preserve"> HYPERLINK \l _Toc1638 </w:instrText>
      </w:r>
      <w:r>
        <w:rPr>
          <w:rFonts w:eastAsia="黑体" w:cs="Times New Roman"/>
        </w:rPr>
        <w:fldChar w:fldCharType="separate"/>
      </w:r>
      <w:r>
        <w:rPr>
          <w:rFonts w:ascii="Times New Roman" w:hAnsi="Times New Roman" w:cs="Times New Roman"/>
        </w:rPr>
        <w:t>第四节 防灾减灾设施</w:t>
      </w:r>
      <w:r>
        <w:tab/>
      </w:r>
      <w:r>
        <w:fldChar w:fldCharType="begin"/>
      </w:r>
      <w:r>
        <w:instrText xml:space="preserve"> PAGEREF _Toc1638 \h </w:instrText>
      </w:r>
      <w:r>
        <w:fldChar w:fldCharType="separate"/>
      </w:r>
      <w:r>
        <w:t>65</w:t>
      </w:r>
      <w:r>
        <w:fldChar w:fldCharType="end"/>
      </w:r>
      <w:r>
        <w:rPr>
          <w:rFonts w:eastAsia="黑体" w:cs="Times New Roman"/>
        </w:rPr>
        <w:fldChar w:fldCharType="end"/>
      </w:r>
    </w:p>
    <w:p w14:paraId="10E4E511">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_Toc31952 </w:instrText>
      </w:r>
      <w:r>
        <w:rPr>
          <w:rFonts w:eastAsia="黑体" w:cs="Times New Roman"/>
        </w:rPr>
        <w:fldChar w:fldCharType="separate"/>
      </w:r>
      <w:r>
        <w:rPr>
          <w:rFonts w:ascii="Times New Roman" w:hAnsi="Times New Roman" w:cs="Times New Roman"/>
        </w:rPr>
        <w:t>第九章 规划传导与近期建设</w:t>
      </w:r>
      <w:r>
        <w:tab/>
      </w:r>
      <w:r>
        <w:fldChar w:fldCharType="begin"/>
      </w:r>
      <w:r>
        <w:instrText xml:space="preserve"> PAGEREF _Toc31952 \h </w:instrText>
      </w:r>
      <w:r>
        <w:fldChar w:fldCharType="separate"/>
      </w:r>
      <w:r>
        <w:t>71</w:t>
      </w:r>
      <w:r>
        <w:fldChar w:fldCharType="end"/>
      </w:r>
      <w:r>
        <w:rPr>
          <w:rFonts w:eastAsia="黑体" w:cs="Times New Roman"/>
        </w:rPr>
        <w:fldChar w:fldCharType="end"/>
      </w:r>
    </w:p>
    <w:p w14:paraId="42E885BB">
      <w:pPr>
        <w:pStyle w:val="12"/>
        <w:tabs>
          <w:tab w:val="right" w:leader="dot" w:pos="8312"/>
        </w:tabs>
      </w:pPr>
      <w:r>
        <w:rPr>
          <w:rFonts w:eastAsia="黑体" w:cs="Times New Roman"/>
        </w:rPr>
        <w:fldChar w:fldCharType="begin"/>
      </w:r>
      <w:r>
        <w:rPr>
          <w:rFonts w:eastAsia="黑体" w:cs="Times New Roman"/>
        </w:rPr>
        <w:instrText xml:space="preserve"> HYPERLINK \l _Toc19415 </w:instrText>
      </w:r>
      <w:r>
        <w:rPr>
          <w:rFonts w:eastAsia="黑体" w:cs="Times New Roman"/>
        </w:rPr>
        <w:fldChar w:fldCharType="separate"/>
      </w:r>
      <w:r>
        <w:rPr>
          <w:rFonts w:ascii="Times New Roman" w:hAnsi="Times New Roman" w:cs="Times New Roman"/>
        </w:rPr>
        <w:t>第一节 加强党的领导</w:t>
      </w:r>
      <w:r>
        <w:tab/>
      </w:r>
      <w:r>
        <w:fldChar w:fldCharType="begin"/>
      </w:r>
      <w:r>
        <w:instrText xml:space="preserve"> PAGEREF _Toc19415 \h </w:instrText>
      </w:r>
      <w:r>
        <w:fldChar w:fldCharType="separate"/>
      </w:r>
      <w:r>
        <w:t>71</w:t>
      </w:r>
      <w:r>
        <w:fldChar w:fldCharType="end"/>
      </w:r>
      <w:r>
        <w:rPr>
          <w:rFonts w:eastAsia="黑体" w:cs="Times New Roman"/>
        </w:rPr>
        <w:fldChar w:fldCharType="end"/>
      </w:r>
    </w:p>
    <w:p w14:paraId="4378332B">
      <w:pPr>
        <w:pStyle w:val="12"/>
        <w:tabs>
          <w:tab w:val="right" w:leader="dot" w:pos="8312"/>
        </w:tabs>
      </w:pPr>
      <w:r>
        <w:rPr>
          <w:rFonts w:eastAsia="黑体" w:cs="Times New Roman"/>
        </w:rPr>
        <w:fldChar w:fldCharType="begin"/>
      </w:r>
      <w:r>
        <w:rPr>
          <w:rFonts w:eastAsia="黑体" w:cs="Times New Roman"/>
        </w:rPr>
        <w:instrText xml:space="preserve"> HYPERLINK \l _Toc25887 </w:instrText>
      </w:r>
      <w:r>
        <w:rPr>
          <w:rFonts w:eastAsia="黑体" w:cs="Times New Roman"/>
        </w:rPr>
        <w:fldChar w:fldCharType="separate"/>
      </w:r>
      <w:r>
        <w:rPr>
          <w:rFonts w:ascii="Times New Roman" w:hAnsi="Times New Roman" w:cs="Times New Roman"/>
        </w:rPr>
        <w:t>第二节 详细规划传导</w:t>
      </w:r>
      <w:r>
        <w:tab/>
      </w:r>
      <w:r>
        <w:fldChar w:fldCharType="begin"/>
      </w:r>
      <w:r>
        <w:instrText xml:space="preserve"> PAGEREF _Toc25887 \h </w:instrText>
      </w:r>
      <w:r>
        <w:fldChar w:fldCharType="separate"/>
      </w:r>
      <w:r>
        <w:t>72</w:t>
      </w:r>
      <w:r>
        <w:fldChar w:fldCharType="end"/>
      </w:r>
      <w:r>
        <w:rPr>
          <w:rFonts w:eastAsia="黑体" w:cs="Times New Roman"/>
        </w:rPr>
        <w:fldChar w:fldCharType="end"/>
      </w:r>
    </w:p>
    <w:p w14:paraId="204CD561">
      <w:pPr>
        <w:pStyle w:val="12"/>
        <w:tabs>
          <w:tab w:val="right" w:leader="dot" w:pos="8312"/>
        </w:tabs>
      </w:pPr>
      <w:r>
        <w:rPr>
          <w:rFonts w:eastAsia="黑体" w:cs="Times New Roman"/>
        </w:rPr>
        <w:fldChar w:fldCharType="begin"/>
      </w:r>
      <w:r>
        <w:rPr>
          <w:rFonts w:eastAsia="黑体" w:cs="Times New Roman"/>
        </w:rPr>
        <w:instrText xml:space="preserve"> HYPERLINK \l _Toc28314 </w:instrText>
      </w:r>
      <w:r>
        <w:rPr>
          <w:rFonts w:eastAsia="黑体" w:cs="Times New Roman"/>
        </w:rPr>
        <w:fldChar w:fldCharType="separate"/>
      </w:r>
      <w:r>
        <w:rPr>
          <w:rFonts w:ascii="Times New Roman" w:hAnsi="Times New Roman" w:cs="Times New Roman"/>
        </w:rPr>
        <w:t>第三节 近期建设</w:t>
      </w:r>
      <w:r>
        <w:tab/>
      </w:r>
      <w:r>
        <w:fldChar w:fldCharType="begin"/>
      </w:r>
      <w:r>
        <w:instrText xml:space="preserve"> PAGEREF _Toc28314 \h </w:instrText>
      </w:r>
      <w:r>
        <w:fldChar w:fldCharType="separate"/>
      </w:r>
      <w:r>
        <w:t>74</w:t>
      </w:r>
      <w:r>
        <w:fldChar w:fldCharType="end"/>
      </w:r>
      <w:r>
        <w:rPr>
          <w:rFonts w:eastAsia="黑体" w:cs="Times New Roman"/>
        </w:rPr>
        <w:fldChar w:fldCharType="end"/>
      </w:r>
    </w:p>
    <w:p w14:paraId="61ED2F64">
      <w:pPr>
        <w:pStyle w:val="12"/>
        <w:tabs>
          <w:tab w:val="right" w:leader="dot" w:pos="8312"/>
        </w:tabs>
      </w:pPr>
      <w:r>
        <w:rPr>
          <w:rFonts w:eastAsia="黑体" w:cs="Times New Roman"/>
        </w:rPr>
        <w:fldChar w:fldCharType="begin"/>
      </w:r>
      <w:r>
        <w:rPr>
          <w:rFonts w:eastAsia="黑体" w:cs="Times New Roman"/>
        </w:rPr>
        <w:instrText xml:space="preserve"> HYPERLINK \l _Toc22754 </w:instrText>
      </w:r>
      <w:r>
        <w:rPr>
          <w:rFonts w:eastAsia="黑体" w:cs="Times New Roman"/>
        </w:rPr>
        <w:fldChar w:fldCharType="separate"/>
      </w:r>
      <w:r>
        <w:rPr>
          <w:rFonts w:ascii="Times New Roman" w:hAnsi="Times New Roman" w:cs="Times New Roman"/>
        </w:rPr>
        <w:t>第四节 “一张图”建设与实施监督</w:t>
      </w:r>
      <w:r>
        <w:tab/>
      </w:r>
      <w:r>
        <w:fldChar w:fldCharType="begin"/>
      </w:r>
      <w:r>
        <w:instrText xml:space="preserve"> PAGEREF _Toc22754 \h </w:instrText>
      </w:r>
      <w:r>
        <w:fldChar w:fldCharType="separate"/>
      </w:r>
      <w:r>
        <w:t>76</w:t>
      </w:r>
      <w:r>
        <w:fldChar w:fldCharType="end"/>
      </w:r>
      <w:r>
        <w:rPr>
          <w:rFonts w:eastAsia="黑体" w:cs="Times New Roman"/>
        </w:rPr>
        <w:fldChar w:fldCharType="end"/>
      </w:r>
    </w:p>
    <w:p w14:paraId="55709561">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_Toc12749 </w:instrText>
      </w:r>
      <w:r>
        <w:rPr>
          <w:rFonts w:eastAsia="黑体" w:cs="Times New Roman"/>
        </w:rPr>
        <w:fldChar w:fldCharType="separate"/>
      </w:r>
      <w:r>
        <w:rPr>
          <w:rFonts w:eastAsia="方正小标宋简体" w:cs="Times New Roman"/>
        </w:rPr>
        <w:t>附表</w:t>
      </w:r>
      <w:r>
        <w:tab/>
      </w:r>
      <w:r>
        <w:fldChar w:fldCharType="begin"/>
      </w:r>
      <w:r>
        <w:instrText xml:space="preserve"> PAGEREF _Toc12749 \h </w:instrText>
      </w:r>
      <w:r>
        <w:fldChar w:fldCharType="separate"/>
      </w:r>
      <w:r>
        <w:t>77</w:t>
      </w:r>
      <w:r>
        <w:fldChar w:fldCharType="end"/>
      </w:r>
      <w:r>
        <w:rPr>
          <w:rFonts w:eastAsia="黑体" w:cs="Times New Roman"/>
        </w:rPr>
        <w:fldChar w:fldCharType="end"/>
      </w:r>
    </w:p>
    <w:p w14:paraId="49F18042">
      <w:pPr>
        <w:pStyle w:val="11"/>
        <w:tabs>
          <w:tab w:val="right" w:leader="dot" w:pos="8312"/>
          <w:tab w:val="clear" w:pos="8302"/>
        </w:tabs>
      </w:pPr>
      <w:r>
        <w:rPr>
          <w:rFonts w:eastAsia="黑体" w:cs="Times New Roman"/>
        </w:rPr>
        <w:fldChar w:fldCharType="begin"/>
      </w:r>
      <w:r>
        <w:rPr>
          <w:rFonts w:eastAsia="黑体" w:cs="Times New Roman"/>
        </w:rPr>
        <w:instrText xml:space="preserve"> HYPERLINK \l _Toc7161 </w:instrText>
      </w:r>
      <w:r>
        <w:rPr>
          <w:rFonts w:eastAsia="黑体" w:cs="Times New Roman"/>
        </w:rPr>
        <w:fldChar w:fldCharType="separate"/>
      </w:r>
      <w:r>
        <w:rPr>
          <w:rFonts w:eastAsia="方正小标宋简体" w:cs="Times New Roman"/>
        </w:rPr>
        <w:t>附图</w:t>
      </w:r>
      <w:r>
        <w:tab/>
      </w:r>
      <w:r>
        <w:fldChar w:fldCharType="begin"/>
      </w:r>
      <w:r>
        <w:instrText xml:space="preserve"> PAGEREF _Toc7161 \h </w:instrText>
      </w:r>
      <w:r>
        <w:fldChar w:fldCharType="separate"/>
      </w:r>
      <w:r>
        <w:t>82</w:t>
      </w:r>
      <w:r>
        <w:fldChar w:fldCharType="end"/>
      </w:r>
      <w:r>
        <w:rPr>
          <w:rFonts w:eastAsia="黑体" w:cs="Times New Roman"/>
        </w:rPr>
        <w:fldChar w:fldCharType="end"/>
      </w:r>
    </w:p>
    <w:p w14:paraId="2AC04337">
      <w:pPr>
        <w:ind w:firstLine="640"/>
        <w:rPr>
          <w:rFonts w:cs="Times New Roman"/>
        </w:rPr>
        <w:sectPr>
          <w:footerReference r:id="rId11" w:type="default"/>
          <w:pgSz w:w="11906" w:h="16838"/>
          <w:pgMar w:top="1440" w:right="1797" w:bottom="1440" w:left="1797" w:header="851" w:footer="992" w:gutter="0"/>
          <w:pgNumType w:fmt="upperRoman" w:start="1"/>
          <w:cols w:space="425" w:num="1"/>
          <w:docGrid w:type="lines" w:linePitch="312" w:charSpace="0"/>
        </w:sectPr>
      </w:pPr>
      <w:r>
        <w:rPr>
          <w:rFonts w:eastAsia="黑体" w:cs="Times New Roman"/>
        </w:rPr>
        <w:fldChar w:fldCharType="end"/>
      </w:r>
    </w:p>
    <w:p w14:paraId="1F52AB47">
      <w:pPr>
        <w:pStyle w:val="2"/>
        <w:spacing w:before="312" w:after="312"/>
        <w:ind w:left="420" w:hanging="420"/>
        <w:rPr>
          <w:rFonts w:ascii="Times New Roman" w:hAnsi="Times New Roman" w:cs="Times New Roman"/>
        </w:rPr>
      </w:pPr>
      <w:bookmarkStart w:id="1" w:name="_Toc19208"/>
      <w:bookmarkStart w:id="2" w:name="_Toc205557216"/>
      <w:r>
        <w:rPr>
          <w:rFonts w:ascii="Times New Roman" w:hAnsi="Times New Roman" w:cs="Times New Roman"/>
        </w:rPr>
        <w:t>第</w:t>
      </w:r>
      <w:r>
        <w:rPr>
          <w:rFonts w:hint="eastAsia" w:ascii="Times New Roman" w:hAnsi="Times New Roman" w:cs="Times New Roman"/>
          <w:lang w:val="en-US" w:eastAsia="zh-CN"/>
        </w:rPr>
        <w:t>1</w:t>
      </w:r>
      <w:r>
        <w:rPr>
          <w:rFonts w:ascii="Times New Roman" w:hAnsi="Times New Roman" w:cs="Times New Roman"/>
        </w:rPr>
        <w:t>章 总 则</w:t>
      </w:r>
      <w:bookmarkEnd w:id="1"/>
      <w:bookmarkEnd w:id="2"/>
    </w:p>
    <w:p w14:paraId="643C5054">
      <w:pPr>
        <w:pStyle w:val="3"/>
        <w:bidi w:val="0"/>
      </w:pPr>
      <w:r>
        <w:rPr>
          <w:rFonts w:hint="eastAsia"/>
          <w:lang w:val="en-US" w:eastAsia="zh-CN"/>
        </w:rPr>
        <w:t>1.1</w:t>
      </w:r>
      <w:r>
        <w:t>规划定位</w:t>
      </w:r>
    </w:p>
    <w:p w14:paraId="1CE38660">
      <w:pPr>
        <w:ind w:firstLine="640"/>
        <w:rPr>
          <w:rFonts w:cs="Times New Roman"/>
        </w:rPr>
      </w:pPr>
      <w:r>
        <w:rPr>
          <w:rFonts w:cs="Times New Roman"/>
        </w:rPr>
        <w:t>《桓仁满族自治县</w:t>
      </w:r>
      <w:r>
        <w:rPr>
          <w:rFonts w:hint="eastAsia" w:cs="Times New Roman"/>
        </w:rPr>
        <w:t>北甸子</w:t>
      </w:r>
      <w:r>
        <w:rPr>
          <w:rFonts w:cs="Times New Roman"/>
        </w:rPr>
        <w:t>乡国土空间总体规划（2021-2035年）》（以下简称《规划》）是对《桓仁满族自治县国土空间总体规划（2021-2035年）》的细化落实，是对规划期内</w:t>
      </w:r>
      <w:r>
        <w:rPr>
          <w:rFonts w:hint="eastAsia" w:cs="Times New Roman"/>
        </w:rPr>
        <w:t>北甸子</w:t>
      </w:r>
      <w:r>
        <w:rPr>
          <w:rFonts w:cs="Times New Roman"/>
        </w:rPr>
        <w:t>乡国土空间保护、开发、利用、修复做出的综合部署和具体安排，是编制相关专项规划、详细规划、村庄规划和实施国土空间用途管制的基本依据。</w:t>
      </w:r>
    </w:p>
    <w:p w14:paraId="3E5EEBD4">
      <w:pPr>
        <w:pStyle w:val="3"/>
        <w:bidi w:val="0"/>
      </w:pPr>
      <w:r>
        <w:rPr>
          <w:rFonts w:hint="eastAsia"/>
          <w:lang w:val="en-US" w:eastAsia="zh-CN"/>
        </w:rPr>
        <w:t>1.2</w:t>
      </w:r>
      <w:r>
        <w:t>指导思想</w:t>
      </w:r>
    </w:p>
    <w:p w14:paraId="3CEEAF60">
      <w:pPr>
        <w:ind w:firstLine="640"/>
        <w:rPr>
          <w:rFonts w:cs="Times New Roman"/>
        </w:rPr>
      </w:pPr>
      <w:r>
        <w:rPr>
          <w:rFonts w:cs="Times New Roman"/>
        </w:rPr>
        <w:t>坚持以习近平新时代中国特色社会主义思想为指导，全面贯彻落实党的二十大及相关会议精神，深入贯彻习近平总书记关于东北振兴、辽宁振兴发展的重要讲话和指示批示精神，立足新发展阶段，完整、准确、全面贯彻新发展理念，服务和融入新发展格局，顺应新时代国土空间治理要求，牢牢把握高质量发展这个首要任务和构建新发展格局这个战略任务，融入辽宁省“一圈一带两区”区域发展格局，以绿色发展为主线，牢固树立生态文明思想，促进生态资源产业化发展，提高国土空间资源利用效率，彰显国土空间品质，全面提升国土空间治理体系和治理能力现代化水平，形成对省、市、县重大战略的强有力支撑，为实现</w:t>
      </w:r>
      <w:r>
        <w:rPr>
          <w:rFonts w:hint="eastAsia" w:cs="Times New Roman"/>
        </w:rPr>
        <w:t>北甸子</w:t>
      </w:r>
      <w:r>
        <w:rPr>
          <w:rFonts w:cs="Times New Roman"/>
        </w:rPr>
        <w:t>乡全面振兴、全方位振兴提供空间引领和保障。</w:t>
      </w:r>
    </w:p>
    <w:p w14:paraId="7F5CAAED">
      <w:pPr>
        <w:pStyle w:val="3"/>
        <w:bidi w:val="0"/>
      </w:pPr>
      <w:r>
        <w:rPr>
          <w:rFonts w:hint="eastAsia"/>
          <w:lang w:val="en-US" w:eastAsia="zh-CN"/>
        </w:rPr>
        <w:t>1.3</w:t>
      </w:r>
      <w:r>
        <w:t>规划依据</w:t>
      </w:r>
    </w:p>
    <w:p w14:paraId="68DACD1B">
      <w:pPr>
        <w:ind w:firstLine="640"/>
        <w:rPr>
          <w:rFonts w:cs="Times New Roman"/>
          <w:szCs w:val="32"/>
        </w:rPr>
      </w:pPr>
      <w:r>
        <w:rPr>
          <w:rFonts w:cs="Times New Roman"/>
          <w:szCs w:val="32"/>
        </w:rPr>
        <w:t>1.法律法规</w:t>
      </w:r>
    </w:p>
    <w:p w14:paraId="1CB5B9A6">
      <w:pPr>
        <w:ind w:firstLine="640"/>
        <w:rPr>
          <w:rFonts w:cs="Times New Roman"/>
        </w:rPr>
      </w:pPr>
      <w:r>
        <w:rPr>
          <w:rFonts w:cs="Times New Roman"/>
        </w:rPr>
        <w:t>（1）《中华人民共和国土地管理法》（2019年修正）；</w:t>
      </w:r>
    </w:p>
    <w:p w14:paraId="628BF349">
      <w:pPr>
        <w:ind w:firstLine="640"/>
        <w:rPr>
          <w:rFonts w:cs="Times New Roman"/>
        </w:rPr>
      </w:pPr>
      <w:r>
        <w:rPr>
          <w:rFonts w:cs="Times New Roman"/>
        </w:rPr>
        <w:t>（2）《中华人民共和国城乡规划法》（2019年修正）；</w:t>
      </w:r>
    </w:p>
    <w:p w14:paraId="1358E75A">
      <w:pPr>
        <w:ind w:firstLine="640"/>
        <w:rPr>
          <w:rFonts w:cs="Times New Roman"/>
        </w:rPr>
      </w:pPr>
      <w:r>
        <w:rPr>
          <w:rFonts w:cs="Times New Roman"/>
        </w:rPr>
        <w:t>（3）《中华人民共和国乡村振兴促进法》（2021年）；</w:t>
      </w:r>
    </w:p>
    <w:p w14:paraId="1B0D2CB9">
      <w:pPr>
        <w:ind w:firstLine="640"/>
        <w:rPr>
          <w:rFonts w:cs="Times New Roman"/>
        </w:rPr>
      </w:pPr>
      <w:r>
        <w:rPr>
          <w:rFonts w:cs="Times New Roman"/>
        </w:rPr>
        <w:t>（4）《基本农田保护条例》（2011年修订）。</w:t>
      </w:r>
    </w:p>
    <w:p w14:paraId="086F4363">
      <w:pPr>
        <w:ind w:firstLine="640"/>
        <w:rPr>
          <w:rFonts w:cs="Times New Roman"/>
          <w:szCs w:val="32"/>
        </w:rPr>
      </w:pPr>
      <w:r>
        <w:rPr>
          <w:rFonts w:cs="Times New Roman"/>
          <w:szCs w:val="32"/>
        </w:rPr>
        <w:t>2.政策文件</w:t>
      </w:r>
    </w:p>
    <w:p w14:paraId="4312709D">
      <w:pPr>
        <w:ind w:firstLine="640"/>
        <w:rPr>
          <w:rFonts w:cs="Times New Roman"/>
        </w:rPr>
      </w:pPr>
      <w:r>
        <w:rPr>
          <w:rFonts w:cs="Times New Roman"/>
        </w:rPr>
        <w:t>（1）《中共中央 国务院关于建立国土空间规划体系并监督实施的若干意见》（中发〔2019〕18 号）；</w:t>
      </w:r>
    </w:p>
    <w:p w14:paraId="0A025910">
      <w:pPr>
        <w:ind w:firstLine="640"/>
        <w:rPr>
          <w:rFonts w:cs="Times New Roman"/>
        </w:rPr>
      </w:pPr>
      <w:r>
        <w:rPr>
          <w:rFonts w:cs="Times New Roman"/>
        </w:rPr>
        <w:t>（2）《中共中央 国务院关于实施乡村振兴战略的意见》（中发〔2018〕1号）；</w:t>
      </w:r>
    </w:p>
    <w:p w14:paraId="3CB65C79">
      <w:pPr>
        <w:ind w:firstLine="640"/>
        <w:rPr>
          <w:rFonts w:cs="Times New Roman"/>
        </w:rPr>
      </w:pPr>
      <w:r>
        <w:rPr>
          <w:rFonts w:cs="Times New Roman"/>
        </w:rPr>
        <w:t>（3）《中共中央办公厅 国务院办公厅印发&lt;关于在国土空间规划中统筹划定落实三条控制线的指导意见&gt;的通知》（厅字〔2019〕48 号）；</w:t>
      </w:r>
    </w:p>
    <w:p w14:paraId="3D38EA6F">
      <w:pPr>
        <w:ind w:firstLine="640"/>
        <w:rPr>
          <w:rFonts w:cs="Times New Roman"/>
        </w:rPr>
      </w:pPr>
      <w:r>
        <w:rPr>
          <w:rFonts w:cs="Times New Roman"/>
        </w:rPr>
        <w:t>（4）《自然资源部关于全面开展国土空间规划工作的通知》（自然资发〔2019〕87 号）；</w:t>
      </w:r>
    </w:p>
    <w:p w14:paraId="5D6E844A">
      <w:pPr>
        <w:ind w:firstLine="640"/>
        <w:rPr>
          <w:rFonts w:cs="Times New Roman"/>
        </w:rPr>
      </w:pPr>
      <w:r>
        <w:rPr>
          <w:rFonts w:cs="Times New Roman"/>
        </w:rPr>
        <w:t>（5）《辽宁省委 省政府关于建立全省国土空间规划体系并监督实施的意见》（辽委发〔2020〕12号）。</w:t>
      </w:r>
    </w:p>
    <w:p w14:paraId="2DE03A67">
      <w:pPr>
        <w:ind w:firstLine="640"/>
        <w:rPr>
          <w:rFonts w:cs="Times New Roman"/>
          <w:szCs w:val="32"/>
        </w:rPr>
      </w:pPr>
      <w:r>
        <w:rPr>
          <w:rFonts w:cs="Times New Roman"/>
          <w:szCs w:val="32"/>
        </w:rPr>
        <w:t>3.标准规范</w:t>
      </w:r>
    </w:p>
    <w:p w14:paraId="76EC8CF9">
      <w:pPr>
        <w:ind w:firstLine="640"/>
        <w:rPr>
          <w:rFonts w:cs="Times New Roman"/>
        </w:rPr>
      </w:pPr>
      <w:r>
        <w:rPr>
          <w:rFonts w:cs="Times New Roman"/>
        </w:rPr>
        <w:t>（1）《国土空间调查、规划、用途管制用地用海分类指南（试行）》（2023年印发）；</w:t>
      </w:r>
    </w:p>
    <w:p w14:paraId="6E3DA273">
      <w:pPr>
        <w:ind w:firstLine="640"/>
        <w:rPr>
          <w:rFonts w:cs="Times New Roman"/>
        </w:rPr>
      </w:pPr>
      <w:r>
        <w:rPr>
          <w:rFonts w:cs="Times New Roman"/>
        </w:rPr>
        <w:t>（2）《辽宁省乡镇级国土空间总体规划编制导则》（试行）。</w:t>
      </w:r>
    </w:p>
    <w:p w14:paraId="4020AB9F">
      <w:pPr>
        <w:ind w:firstLine="640"/>
        <w:rPr>
          <w:rFonts w:cs="Times New Roman"/>
          <w:szCs w:val="32"/>
        </w:rPr>
      </w:pPr>
      <w:r>
        <w:rPr>
          <w:rFonts w:cs="Times New Roman"/>
          <w:szCs w:val="32"/>
        </w:rPr>
        <w:t>4.相关规划</w:t>
      </w:r>
    </w:p>
    <w:p w14:paraId="6F5E384D">
      <w:pPr>
        <w:ind w:firstLine="640"/>
        <w:rPr>
          <w:rFonts w:cs="Times New Roman"/>
        </w:rPr>
      </w:pPr>
      <w:r>
        <w:rPr>
          <w:rFonts w:cs="Times New Roman"/>
        </w:rPr>
        <w:t>（1）《本溪市国民经济和社会发展第十四个五年规划和二</w:t>
      </w:r>
      <w:r>
        <w:rPr>
          <w:rFonts w:eastAsia="微软雅黑" w:cs="Times New Roman"/>
        </w:rPr>
        <w:t>〇</w:t>
      </w:r>
      <w:r>
        <w:rPr>
          <w:rFonts w:cs="Times New Roman"/>
        </w:rPr>
        <w:t>三五年远景目标纲要》；</w:t>
      </w:r>
    </w:p>
    <w:p w14:paraId="0C166EA2">
      <w:pPr>
        <w:ind w:firstLine="640"/>
        <w:rPr>
          <w:rFonts w:cs="Times New Roman"/>
        </w:rPr>
      </w:pPr>
      <w:r>
        <w:rPr>
          <w:rFonts w:cs="Times New Roman"/>
        </w:rPr>
        <w:t>（2）《本溪市国土空间总体规划（2021-2035年）》；</w:t>
      </w:r>
    </w:p>
    <w:p w14:paraId="6B92A0FF">
      <w:pPr>
        <w:ind w:firstLine="640"/>
        <w:rPr>
          <w:rFonts w:cs="Times New Roman"/>
        </w:rPr>
      </w:pPr>
      <w:r>
        <w:rPr>
          <w:rFonts w:cs="Times New Roman"/>
        </w:rPr>
        <w:t>（3）《桓仁满族自治县国民经济和社会发展第十四个五年规划和二</w:t>
      </w:r>
      <w:r>
        <w:rPr>
          <w:rFonts w:eastAsia="微软雅黑" w:cs="Times New Roman"/>
        </w:rPr>
        <w:t>〇</w:t>
      </w:r>
      <w:r>
        <w:rPr>
          <w:rFonts w:cs="Times New Roman"/>
        </w:rPr>
        <w:t>三五年远景目标纲要》；</w:t>
      </w:r>
    </w:p>
    <w:p w14:paraId="727347FE">
      <w:pPr>
        <w:ind w:firstLine="640"/>
        <w:rPr>
          <w:rFonts w:cs="Times New Roman"/>
        </w:rPr>
      </w:pPr>
      <w:r>
        <w:rPr>
          <w:rFonts w:cs="Times New Roman"/>
        </w:rPr>
        <w:t>（4）《桓仁满族自治县国土空间总体规划（2021-2035年）》。</w:t>
      </w:r>
    </w:p>
    <w:p w14:paraId="53C48B37">
      <w:pPr>
        <w:ind w:firstLine="640"/>
        <w:rPr>
          <w:rFonts w:cs="Times New Roman"/>
        </w:rPr>
      </w:pPr>
      <w:r>
        <w:rPr>
          <w:rFonts w:cs="Times New Roman"/>
          <w:szCs w:val="32"/>
        </w:rPr>
        <w:t>5.其他相关法律法规、政策文件、标准规范和规划成果</w:t>
      </w:r>
      <w:r>
        <w:rPr>
          <w:rFonts w:cs="Times New Roman"/>
        </w:rPr>
        <w:t>。</w:t>
      </w:r>
    </w:p>
    <w:p w14:paraId="0DDF56DC">
      <w:pPr>
        <w:pStyle w:val="3"/>
        <w:bidi w:val="0"/>
      </w:pPr>
      <w:r>
        <w:rPr>
          <w:rFonts w:hint="eastAsia"/>
          <w:lang w:val="en-US" w:eastAsia="zh-CN"/>
        </w:rPr>
        <w:t>1.4</w:t>
      </w:r>
      <w:r>
        <w:t>规划原则</w:t>
      </w:r>
    </w:p>
    <w:p w14:paraId="114F0FCB">
      <w:pPr>
        <w:ind w:firstLine="640"/>
        <w:rPr>
          <w:rFonts w:cs="Times New Roman"/>
        </w:rPr>
      </w:pPr>
      <w:r>
        <w:rPr>
          <w:rFonts w:eastAsia="楷体_GB2312" w:cs="Times New Roman"/>
        </w:rPr>
        <w:t>底线约束，保护优先。</w:t>
      </w:r>
      <w:r>
        <w:rPr>
          <w:rFonts w:cs="Times New Roman"/>
        </w:rPr>
        <w:t>树立底线思维，严守安全底线，保护自然资源，引导全域国土空间节约集约、绿色低碳发展。严控建设用地增量、盘活存量，探索内涵式、集约型的高质量发展路径，提高国土空间开发利用效率和质量。加快转变城乡建设方式，控制和减少碳排放，促进人与自然和谐共生。</w:t>
      </w:r>
    </w:p>
    <w:p w14:paraId="6E49671B">
      <w:pPr>
        <w:ind w:firstLine="640"/>
        <w:rPr>
          <w:rFonts w:cs="Times New Roman"/>
        </w:rPr>
      </w:pPr>
      <w:r>
        <w:rPr>
          <w:rFonts w:eastAsia="楷体_GB2312" w:cs="Times New Roman"/>
        </w:rPr>
        <w:t>承接传导，细化落实。</w:t>
      </w:r>
      <w:r>
        <w:rPr>
          <w:rFonts w:cs="Times New Roman"/>
        </w:rPr>
        <w:t>强化对上位规划的承接落实，严格落实约束性指标、规划控制线、区域性设施等规划强制性内容，深化细化管控要求，明确对专项规划、详细规划的传导内容，保障规划自上而下传导落位，构建上下联动的双向传导衔接机制，实现对全域自然资源要素的覆盖与管控。</w:t>
      </w:r>
    </w:p>
    <w:p w14:paraId="1E13616E">
      <w:pPr>
        <w:ind w:firstLine="640"/>
        <w:rPr>
          <w:rFonts w:cs="Times New Roman"/>
        </w:rPr>
      </w:pPr>
      <w:r>
        <w:rPr>
          <w:rFonts w:eastAsia="楷体_GB2312" w:cs="Times New Roman"/>
        </w:rPr>
        <w:t>人民至上，品质提升。</w:t>
      </w:r>
      <w:r>
        <w:rPr>
          <w:rFonts w:cs="Times New Roman"/>
        </w:rPr>
        <w:t>坚持以人民为中心的发展思想，以人民对美好生活的向往为目标，优化配置空间资源，完善基础设施和公共服务设施，提升人居环境品质，实现高质量发展、高品质生活和高水平治理，不断提高人民群众的获得感、幸福感、安全感。</w:t>
      </w:r>
      <w:r>
        <w:rPr>
          <w:rFonts w:cs="Times New Roman"/>
        </w:rPr>
        <w:cr/>
      </w:r>
      <w:r>
        <w:rPr>
          <w:rFonts w:cs="Times New Roman"/>
        </w:rPr>
        <w:t xml:space="preserve">  </w:t>
      </w:r>
      <w:r>
        <w:rPr>
          <w:rFonts w:eastAsia="楷体_GB2312" w:cs="Times New Roman"/>
        </w:rPr>
        <w:t xml:space="preserve">  因地制宜，彰显特色。</w:t>
      </w:r>
      <w:r>
        <w:rPr>
          <w:rFonts w:cs="Times New Roman"/>
        </w:rPr>
        <w:t>深入挖掘</w:t>
      </w:r>
      <w:r>
        <w:rPr>
          <w:rFonts w:hint="eastAsia" w:cs="Times New Roman"/>
        </w:rPr>
        <w:t>北甸子</w:t>
      </w:r>
      <w:r>
        <w:rPr>
          <w:rFonts w:cs="Times New Roman"/>
        </w:rPr>
        <w:t>乡资源禀赋、历史文化、人文景观、乡村产业等特征，突出地域特色，加快资源优势向经济优势转变，因地制宜体现美丽田园、民族融合、乡土风俗、冰雪风光、</w:t>
      </w:r>
      <w:r>
        <w:rPr>
          <w:rFonts w:hint="eastAsia" w:cs="Times New Roman"/>
        </w:rPr>
        <w:t>冰葡萄酒</w:t>
      </w:r>
      <w:r>
        <w:rPr>
          <w:rFonts w:cs="Times New Roman"/>
        </w:rPr>
        <w:t>等特色，凸显</w:t>
      </w:r>
      <w:r>
        <w:rPr>
          <w:rFonts w:hint="eastAsia" w:cs="Times New Roman"/>
        </w:rPr>
        <w:t>北甸子</w:t>
      </w:r>
      <w:r>
        <w:rPr>
          <w:rFonts w:cs="Times New Roman"/>
        </w:rPr>
        <w:t>韵味。</w:t>
      </w:r>
    </w:p>
    <w:p w14:paraId="7523F158">
      <w:pPr>
        <w:ind w:firstLine="640"/>
        <w:rPr>
          <w:rFonts w:cs="Times New Roman"/>
        </w:rPr>
      </w:pPr>
      <w:r>
        <w:rPr>
          <w:rFonts w:eastAsia="楷体_GB2312" w:cs="Times New Roman"/>
        </w:rPr>
        <w:t>公众参与，科学规划。</w:t>
      </w:r>
      <w:r>
        <w:rPr>
          <w:rFonts w:cs="Times New Roman"/>
        </w:rPr>
        <w:t>坚持</w:t>
      </w:r>
      <w:r>
        <w:rPr>
          <w:rFonts w:hint="eastAsia" w:cs="Times New Roman"/>
          <w:color w:val="000000"/>
          <w:lang w:bidi="ar"/>
        </w:rPr>
        <w:t>“开门编规划”</w:t>
      </w:r>
      <w:r>
        <w:rPr>
          <w:rFonts w:cs="Times New Roman"/>
        </w:rPr>
        <w:t>，组织相关部门、专家、居民参与到规划编制的全过程，通过公众参与凝聚社会智慧。充分应用大数据分析等数字化手段的辅助支撑作用，提升规划编制和管理水平。</w:t>
      </w:r>
    </w:p>
    <w:p w14:paraId="5659DE67">
      <w:pPr>
        <w:pStyle w:val="3"/>
        <w:bidi w:val="0"/>
      </w:pPr>
      <w:r>
        <w:rPr>
          <w:rFonts w:hint="eastAsia"/>
          <w:lang w:val="en-US" w:eastAsia="zh-CN"/>
        </w:rPr>
        <w:t>1.5</w:t>
      </w:r>
      <w:r>
        <w:t>规划范围</w:t>
      </w:r>
    </w:p>
    <w:p w14:paraId="69C3705B">
      <w:pPr>
        <w:ind w:firstLine="640"/>
        <w:rPr>
          <w:rFonts w:cs="Times New Roman"/>
        </w:rPr>
      </w:pPr>
      <w:r>
        <w:rPr>
          <w:rFonts w:cs="Times New Roman"/>
        </w:rPr>
        <w:t>本次规划范围为</w:t>
      </w:r>
      <w:r>
        <w:rPr>
          <w:rFonts w:hint="eastAsia" w:cs="Times New Roman"/>
        </w:rPr>
        <w:t>北甸子</w:t>
      </w:r>
      <w:r>
        <w:rPr>
          <w:rFonts w:cs="Times New Roman"/>
        </w:rPr>
        <w:t>乡行政辖区内全部国土空间，包括全域和</w:t>
      </w:r>
      <w:r>
        <w:rPr>
          <w:rFonts w:cs="Times New Roman"/>
          <w:szCs w:val="32"/>
        </w:rPr>
        <w:t>乡中心区</w:t>
      </w:r>
      <w:r>
        <w:rPr>
          <w:rFonts w:cs="Times New Roman"/>
        </w:rPr>
        <w:t>两个层次。</w:t>
      </w:r>
    </w:p>
    <w:p w14:paraId="0EADE5B0">
      <w:pPr>
        <w:ind w:firstLine="640"/>
        <w:rPr>
          <w:rFonts w:cs="Times New Roman"/>
        </w:rPr>
      </w:pPr>
      <w:r>
        <w:rPr>
          <w:rFonts w:cs="Times New Roman"/>
        </w:rPr>
        <w:t>全域范围：包含</w:t>
      </w:r>
      <w:r>
        <w:rPr>
          <w:rFonts w:hint="eastAsia" w:cs="Times New Roman"/>
        </w:rPr>
        <w:t>北甸子村、友谊村、英英沟村、大牛沟村、湾龙背村、长春沟村</w:t>
      </w:r>
      <w:r>
        <w:rPr>
          <w:rFonts w:cs="Times New Roman"/>
        </w:rPr>
        <w:t>，总面积</w:t>
      </w:r>
      <w:r>
        <w:rPr>
          <w:rFonts w:hint="eastAsia" w:cs="Times New Roman"/>
        </w:rPr>
        <w:t>111.80</w:t>
      </w:r>
      <w:r>
        <w:rPr>
          <w:rFonts w:cs="Times New Roman"/>
        </w:rPr>
        <w:t>平方公里，总人口</w:t>
      </w:r>
      <w:r>
        <w:rPr>
          <w:rFonts w:hint="eastAsia" w:cs="Times New Roman"/>
        </w:rPr>
        <w:t>7569</w:t>
      </w:r>
      <w:r>
        <w:rPr>
          <w:rFonts w:cs="Times New Roman"/>
        </w:rPr>
        <w:t>人。</w:t>
      </w:r>
    </w:p>
    <w:p w14:paraId="71F8F603">
      <w:pPr>
        <w:ind w:firstLine="640"/>
        <w:rPr>
          <w:rFonts w:cs="Times New Roman"/>
        </w:rPr>
      </w:pPr>
      <w:r>
        <w:rPr>
          <w:rFonts w:cs="Times New Roman"/>
        </w:rPr>
        <w:t>乡中心区范围：包括</w:t>
      </w:r>
      <w:r>
        <w:rPr>
          <w:rFonts w:hint="eastAsia" w:cs="Times New Roman"/>
        </w:rPr>
        <w:t>友谊</w:t>
      </w:r>
      <w:r>
        <w:rPr>
          <w:rFonts w:cs="Times New Roman"/>
        </w:rPr>
        <w:t>村，总面积约</w:t>
      </w:r>
      <w:bookmarkStart w:id="3" w:name="OLE_LINK28"/>
      <w:r>
        <w:rPr>
          <w:rFonts w:hint="eastAsia" w:cs="Times New Roman"/>
        </w:rPr>
        <w:t>41.39</w:t>
      </w:r>
      <w:bookmarkEnd w:id="3"/>
      <w:r>
        <w:rPr>
          <w:rFonts w:hint="eastAsia" w:cs="Times New Roman"/>
        </w:rPr>
        <w:t>公顷</w:t>
      </w:r>
      <w:r>
        <w:rPr>
          <w:rFonts w:cs="Times New Roman"/>
        </w:rPr>
        <w:t>。</w:t>
      </w:r>
    </w:p>
    <w:p w14:paraId="52D1970A">
      <w:pPr>
        <w:pStyle w:val="3"/>
        <w:bidi w:val="0"/>
      </w:pPr>
      <w:r>
        <w:rPr>
          <w:rFonts w:hint="eastAsia"/>
          <w:lang w:val="en-US" w:eastAsia="zh-CN"/>
        </w:rPr>
        <w:t>1.6</w:t>
      </w:r>
      <w:r>
        <w:t>规划期限</w:t>
      </w:r>
    </w:p>
    <w:p w14:paraId="416C6316">
      <w:pPr>
        <w:ind w:firstLine="640"/>
        <w:rPr>
          <w:rFonts w:cs="Times New Roman"/>
        </w:rPr>
      </w:pPr>
      <w:r>
        <w:rPr>
          <w:rFonts w:cs="Times New Roman"/>
        </w:rPr>
        <w:t>规划期限为2021-2035年。规划基期年为2020年，近期为2025年，规划目标年为2035年。</w:t>
      </w:r>
    </w:p>
    <w:p w14:paraId="1A36422D">
      <w:pPr>
        <w:pStyle w:val="3"/>
        <w:bidi w:val="0"/>
      </w:pPr>
      <w:r>
        <w:rPr>
          <w:rFonts w:hint="eastAsia"/>
          <w:lang w:val="en-US" w:eastAsia="zh-CN"/>
        </w:rPr>
        <w:t>1.7</w:t>
      </w:r>
      <w:r>
        <w:t>强制性内容</w:t>
      </w:r>
    </w:p>
    <w:p w14:paraId="2EE14130">
      <w:pPr>
        <w:ind w:firstLine="640"/>
        <w:rPr>
          <w:rFonts w:cs="Times New Roman"/>
        </w:rPr>
      </w:pPr>
      <w:r>
        <w:rPr>
          <w:rFonts w:cs="Times New Roman"/>
        </w:rPr>
        <w:t>文本中加下划线的内容以及附表中约束性指标为规划的强制性内容，必须严格执行。</w:t>
      </w:r>
    </w:p>
    <w:p w14:paraId="6B6334E2">
      <w:pPr>
        <w:ind w:firstLine="640"/>
        <w:rPr>
          <w:rFonts w:cs="Times New Roman"/>
        </w:rPr>
      </w:pPr>
    </w:p>
    <w:p w14:paraId="47FB5262">
      <w:pPr>
        <w:pStyle w:val="2"/>
        <w:numPr>
          <w:ilvl w:val="0"/>
          <w:numId w:val="2"/>
        </w:numPr>
        <w:spacing w:before="312" w:after="312"/>
        <w:rPr>
          <w:rFonts w:hint="eastAsia" w:ascii="Times New Roman" w:hAnsi="Times New Roman" w:cs="Times New Roman"/>
        </w:rPr>
      </w:pPr>
      <w:bookmarkStart w:id="4" w:name="_Toc205557217"/>
      <w:bookmarkStart w:id="5" w:name="_Toc10061"/>
      <w:r>
        <w:rPr>
          <w:rFonts w:hint="eastAsia" w:ascii="Times New Roman" w:hAnsi="Times New Roman" w:cs="Times New Roman"/>
        </w:rPr>
        <w:t>现状分析与问题识别</w:t>
      </w:r>
    </w:p>
    <w:p w14:paraId="190AC66F">
      <w:pPr>
        <w:pStyle w:val="3"/>
        <w:bidi w:val="0"/>
        <w:ind w:left="0" w:leftChars="0" w:firstLine="420" w:firstLineChars="0"/>
      </w:pPr>
      <w:bookmarkStart w:id="6" w:name="_Toc29994"/>
      <w:bookmarkStart w:id="7" w:name="_Toc10411"/>
      <w:r>
        <w:rPr>
          <w:rFonts w:hint="eastAsia"/>
          <w:lang w:val="en-US" w:eastAsia="zh-CN"/>
        </w:rPr>
        <w:t>2.1</w:t>
      </w:r>
      <w:r>
        <w:rPr>
          <w:rFonts w:hint="eastAsia"/>
        </w:rPr>
        <w:t>区域概况</w:t>
      </w:r>
      <w:bookmarkEnd w:id="6"/>
      <w:bookmarkEnd w:id="7"/>
    </w:p>
    <w:p w14:paraId="76F24476">
      <w:pPr>
        <w:pStyle w:val="4"/>
        <w:tabs>
          <w:tab w:val="left" w:pos="420"/>
        </w:tabs>
        <w:bidi w:val="0"/>
        <w:ind w:left="0" w:leftChars="0" w:firstLine="420" w:firstLineChars="0"/>
      </w:pPr>
      <w:r>
        <w:rPr>
          <w:rFonts w:hint="eastAsia"/>
          <w:lang w:val="en-US" w:eastAsia="zh-CN"/>
        </w:rPr>
        <w:t>2.1.1</w:t>
      </w:r>
      <w:r>
        <w:t>地理条件与发展基础</w:t>
      </w:r>
    </w:p>
    <w:p w14:paraId="1C6AFABD">
      <w:pPr>
        <w:ind w:firstLine="640"/>
        <w:rPr>
          <w:rFonts w:hint="eastAsia" w:cs="Times New Roman"/>
        </w:rPr>
      </w:pPr>
      <w:r>
        <w:rPr>
          <w:rFonts w:hint="eastAsia" w:cs="Times New Roman"/>
          <w:b/>
          <w:bCs/>
          <w:lang w:val="en-US" w:eastAsia="zh-CN"/>
        </w:rPr>
        <w:t>地理位置优越，发展基础好。</w:t>
      </w:r>
      <w:r>
        <w:rPr>
          <w:rFonts w:hint="eastAsia" w:cs="Times New Roman"/>
        </w:rPr>
        <w:t>桓仁县地处辽宁东部山区，隶属于本溪市。东与吉林省集安市相接，南与丹东和大连相连，西与本溪市和沈阳市相依，北与吉林省通化市毗连，距沈阳市 262 公里，距大连市 596公里，距丹东市 257 公里，距本溪市 192 公里，距通化市 103 公里，距集安市 159 公里。北甸子乡位于辽、吉两省三县交界处，桓仁县城东北部，地理坐标东经 123°32"、北纬41°22"。东与集安市财源乡隔江相望，南与二棚甸子镇为界，西与黑沟乡、大东沟参茸场为邻，北与古城镇（拐磨子）、通化县大泉源乡相接。乡集镇位于县域东北部，距县城 33km。</w:t>
      </w:r>
    </w:p>
    <w:p w14:paraId="32805DC0">
      <w:pPr>
        <w:ind w:firstLine="640"/>
        <w:rPr>
          <w:rFonts w:hint="eastAsia" w:cs="Times New Roman"/>
        </w:rPr>
      </w:pPr>
      <w:r>
        <w:rPr>
          <w:rFonts w:hint="eastAsia" w:cs="Times New Roman"/>
          <w:b/>
          <w:bCs/>
          <w:lang w:val="en-US" w:eastAsia="zh-CN"/>
        </w:rPr>
        <w:t>六山二水一分田，一分道路和家园。</w:t>
      </w:r>
      <w:r>
        <w:rPr>
          <w:rFonts w:hint="eastAsia" w:cs="Times New Roman"/>
        </w:rPr>
        <w:t>在地形地貌方面，北甸子乡“六山二水一分田，一分道路和家园”的典型山区，山岭绵延曲折，一脉相连，地势西高东低。海拔 500m 以上山峰极少，最高山峰骆驼砬子山海拔808m，其次元宝顶子山海拔 703m。较高的山峰 6 座，除上述 2 峰外，其余 4 座海拔均在500m 左右。</w:t>
      </w:r>
    </w:p>
    <w:p w14:paraId="48523B39">
      <w:pPr>
        <w:ind w:firstLine="640"/>
        <w:rPr>
          <w:rFonts w:hint="eastAsia" w:cs="Times New Roman"/>
        </w:rPr>
      </w:pPr>
      <w:r>
        <w:rPr>
          <w:rFonts w:hint="eastAsia" w:cs="Times New Roman"/>
          <w:b/>
          <w:bCs/>
          <w:lang w:val="en-US" w:eastAsia="zh-CN"/>
        </w:rPr>
        <w:t>境内河流众多，水资源充沛。</w:t>
      </w:r>
      <w:r>
        <w:rPr>
          <w:rFonts w:hint="eastAsia" w:cs="Times New Roman"/>
        </w:rPr>
        <w:t>浑江汉代称盐难水，明代称婆猪江，清代称佟佳江；发源于吉林省白山市北部哈尔雅范山，经通化地区流入北甸子乡境内，流经北甸子、大牛沟、友谊、湾龙背、长春沟5个村，北甸子乡境内流域长度34公里。富尔江又名富江，古称沸流水，或称吴儿江、芙蓉江；发源于新宾县金厂岭，由碱厂沟进入桓仁境内，流向由北向南，由拐磨子进入北甸子乡境内，至大牛沟村汇入浑江，在乡境内流域长度5公里。</w:t>
      </w:r>
    </w:p>
    <w:p w14:paraId="139CB291">
      <w:pPr>
        <w:pStyle w:val="4"/>
        <w:tabs>
          <w:tab w:val="left" w:pos="420"/>
        </w:tabs>
        <w:bidi w:val="0"/>
        <w:ind w:left="0" w:leftChars="0" w:firstLine="420" w:firstLineChars="0"/>
        <w:rPr>
          <w:rFonts w:hint="eastAsia"/>
          <w:lang w:val="en-US" w:eastAsia="zh-CN"/>
        </w:rPr>
      </w:pPr>
      <w:r>
        <w:rPr>
          <w:rFonts w:hint="eastAsia"/>
          <w:lang w:val="en-US" w:eastAsia="zh-CN"/>
        </w:rPr>
        <w:t>2.1.2国土底数与本底特征</w:t>
      </w:r>
    </w:p>
    <w:p w14:paraId="3D316295">
      <w:pPr>
        <w:ind w:firstLine="640"/>
        <w:rPr>
          <w:rFonts w:cs="Times New Roman"/>
          <w:color w:val="auto"/>
        </w:rPr>
      </w:pPr>
      <w:r>
        <w:rPr>
          <w:rFonts w:cs="Times New Roman"/>
          <w:color w:val="auto"/>
        </w:rPr>
        <w:t>全域土地面积为</w:t>
      </w:r>
      <w:r>
        <w:rPr>
          <w:rFonts w:hint="eastAsia" w:cs="Times New Roman"/>
          <w:color w:val="auto"/>
          <w:lang w:val="en-US" w:eastAsia="zh-CN"/>
        </w:rPr>
        <w:t>11180.68</w:t>
      </w:r>
      <w:r>
        <w:rPr>
          <w:rFonts w:hint="eastAsia" w:cs="Times New Roman"/>
          <w:color w:val="auto"/>
        </w:rPr>
        <w:t>公顷</w:t>
      </w:r>
      <w:r>
        <w:rPr>
          <w:rFonts w:cs="Times New Roman"/>
          <w:color w:val="auto"/>
        </w:rPr>
        <w:t>，其中农用地</w:t>
      </w:r>
      <w:r>
        <w:rPr>
          <w:rFonts w:hint="eastAsia" w:cs="Times New Roman"/>
          <w:color w:val="auto"/>
          <w:lang w:val="en-US" w:eastAsia="zh-CN"/>
        </w:rPr>
        <w:t>9522.69</w:t>
      </w:r>
      <w:r>
        <w:rPr>
          <w:rFonts w:hint="eastAsia" w:cs="Times New Roman"/>
          <w:color w:val="auto"/>
        </w:rPr>
        <w:t>公顷</w:t>
      </w:r>
      <w:r>
        <w:rPr>
          <w:rFonts w:cs="Times New Roman"/>
          <w:color w:val="auto"/>
        </w:rPr>
        <w:t>，建设用地</w:t>
      </w:r>
      <w:r>
        <w:rPr>
          <w:rFonts w:hint="eastAsia" w:cs="Times New Roman"/>
          <w:color w:val="auto"/>
          <w:lang w:val="en-US" w:eastAsia="zh-CN"/>
        </w:rPr>
        <w:t>303.21</w:t>
      </w:r>
      <w:r>
        <w:rPr>
          <w:rFonts w:hint="eastAsia" w:cs="Times New Roman"/>
          <w:color w:val="auto"/>
        </w:rPr>
        <w:t>公顷</w:t>
      </w:r>
      <w:r>
        <w:rPr>
          <w:rFonts w:cs="Times New Roman"/>
          <w:color w:val="auto"/>
        </w:rPr>
        <w:t>，未利用地</w:t>
      </w:r>
      <w:r>
        <w:rPr>
          <w:rFonts w:hint="eastAsia" w:cs="Times New Roman"/>
          <w:color w:val="auto"/>
          <w:lang w:val="en-US" w:eastAsia="zh-CN"/>
        </w:rPr>
        <w:t>1354.78</w:t>
      </w:r>
      <w:r>
        <w:rPr>
          <w:rFonts w:hint="eastAsia" w:cs="Times New Roman"/>
          <w:color w:val="auto"/>
        </w:rPr>
        <w:t>公顷</w:t>
      </w:r>
      <w:r>
        <w:rPr>
          <w:rFonts w:cs="Times New Roman"/>
          <w:color w:val="auto"/>
        </w:rPr>
        <w:t>，农用地、建设用地、未利用地比例约为</w:t>
      </w:r>
      <w:r>
        <w:rPr>
          <w:rFonts w:hint="eastAsia" w:cs="Times New Roman"/>
          <w:color w:val="auto"/>
          <w:lang w:val="en-US" w:eastAsia="zh-CN"/>
        </w:rPr>
        <w:t>85.17</w:t>
      </w:r>
      <w:r>
        <w:rPr>
          <w:rFonts w:cs="Times New Roman"/>
          <w:color w:val="auto"/>
        </w:rPr>
        <w:t>:</w:t>
      </w:r>
      <w:r>
        <w:rPr>
          <w:rFonts w:hint="eastAsia" w:cs="Times New Roman"/>
          <w:color w:val="auto"/>
          <w:lang w:val="en-US" w:eastAsia="zh-CN"/>
        </w:rPr>
        <w:t>2.71</w:t>
      </w:r>
      <w:r>
        <w:rPr>
          <w:rFonts w:cs="Times New Roman"/>
          <w:color w:val="auto"/>
        </w:rPr>
        <w:t>:</w:t>
      </w:r>
      <w:r>
        <w:rPr>
          <w:rFonts w:hint="eastAsia" w:cs="Times New Roman"/>
          <w:color w:val="auto"/>
          <w:lang w:val="en-US" w:eastAsia="zh-CN"/>
        </w:rPr>
        <w:t>12.12</w:t>
      </w:r>
      <w:r>
        <w:rPr>
          <w:rFonts w:cs="Times New Roman"/>
          <w:color w:val="auto"/>
        </w:rPr>
        <w:t>。</w:t>
      </w:r>
    </w:p>
    <w:p w14:paraId="4A19CB1C">
      <w:pPr>
        <w:ind w:firstLine="640"/>
        <w:rPr>
          <w:rFonts w:cs="Times New Roman"/>
          <w:color w:val="auto"/>
        </w:rPr>
      </w:pPr>
      <w:r>
        <w:rPr>
          <w:rFonts w:cs="Times New Roman"/>
          <w:color w:val="auto"/>
        </w:rPr>
        <w:t>耕地与永久基本农田保护基础扎实，筑牢粮食安全</w:t>
      </w:r>
      <w:r>
        <w:rPr>
          <w:rFonts w:hint="eastAsia" w:cs="Times New Roman"/>
          <w:color w:val="auto"/>
        </w:rPr>
        <w:t>“</w:t>
      </w:r>
      <w:r>
        <w:rPr>
          <w:rFonts w:cs="Times New Roman"/>
          <w:color w:val="auto"/>
        </w:rPr>
        <w:t>压舱石</w:t>
      </w:r>
      <w:r>
        <w:rPr>
          <w:rFonts w:hint="eastAsia" w:cs="Times New Roman"/>
          <w:color w:val="auto"/>
        </w:rPr>
        <w:t>”</w:t>
      </w:r>
      <w:r>
        <w:rPr>
          <w:rFonts w:cs="Times New Roman"/>
          <w:color w:val="auto"/>
        </w:rPr>
        <w:t>。全域耕地面积</w:t>
      </w:r>
      <w:r>
        <w:rPr>
          <w:rFonts w:hint="eastAsia" w:cs="Times New Roman"/>
          <w:color w:val="auto"/>
          <w:lang w:val="en-US" w:eastAsia="zh-CN"/>
        </w:rPr>
        <w:t>2089.45</w:t>
      </w:r>
      <w:r>
        <w:rPr>
          <w:rFonts w:hint="eastAsia" w:cs="Times New Roman"/>
          <w:color w:val="auto"/>
        </w:rPr>
        <w:t>公顷</w:t>
      </w:r>
      <w:r>
        <w:rPr>
          <w:rFonts w:cs="Times New Roman"/>
          <w:color w:val="auto"/>
        </w:rPr>
        <w:t>，占全域国土总面积的1</w:t>
      </w:r>
      <w:r>
        <w:rPr>
          <w:rFonts w:hint="eastAsia" w:cs="Times New Roman"/>
          <w:color w:val="auto"/>
          <w:lang w:val="en-US" w:eastAsia="zh-CN"/>
        </w:rPr>
        <w:t>8.69</w:t>
      </w:r>
      <w:r>
        <w:rPr>
          <w:rFonts w:cs="Times New Roman"/>
          <w:color w:val="auto"/>
        </w:rPr>
        <w:t>%；严格落实永久基本农田保护任务，永久基本农田面积为</w:t>
      </w:r>
      <w:r>
        <w:rPr>
          <w:rFonts w:hint="eastAsia" w:cs="Times New Roman"/>
          <w:color w:val="auto"/>
          <w:lang w:val="en-US" w:eastAsia="zh-CN"/>
        </w:rPr>
        <w:t>1648.25</w:t>
      </w:r>
      <w:r>
        <w:rPr>
          <w:rFonts w:hint="eastAsia" w:cs="Times New Roman"/>
          <w:color w:val="auto"/>
        </w:rPr>
        <w:t>公顷</w:t>
      </w:r>
      <w:r>
        <w:rPr>
          <w:rFonts w:cs="Times New Roman"/>
          <w:color w:val="auto"/>
        </w:rPr>
        <w:t>，占耕地总面积的</w:t>
      </w:r>
      <w:r>
        <w:rPr>
          <w:rFonts w:hint="eastAsia" w:cs="Times New Roman"/>
          <w:color w:val="auto"/>
          <w:lang w:val="en-US" w:eastAsia="zh-CN"/>
        </w:rPr>
        <w:t>78.88</w:t>
      </w:r>
      <w:r>
        <w:rPr>
          <w:rFonts w:cs="Times New Roman"/>
          <w:color w:val="auto"/>
        </w:rPr>
        <w:t>%</w:t>
      </w:r>
      <w:r>
        <w:rPr>
          <w:rFonts w:hint="eastAsia" w:cs="Times New Roman"/>
          <w:color w:val="auto"/>
        </w:rPr>
        <w:t>；</w:t>
      </w:r>
      <w:r>
        <w:rPr>
          <w:rFonts w:cs="Times New Roman"/>
          <w:color w:val="auto"/>
        </w:rPr>
        <w:t>其他农用地占全域国土面积的7</w:t>
      </w:r>
      <w:r>
        <w:rPr>
          <w:rFonts w:hint="eastAsia" w:cs="Times New Roman"/>
          <w:color w:val="auto"/>
          <w:lang w:val="en-US" w:eastAsia="zh-CN"/>
        </w:rPr>
        <w:t>0.43</w:t>
      </w:r>
      <w:r>
        <w:rPr>
          <w:rFonts w:cs="Times New Roman"/>
          <w:color w:val="auto"/>
        </w:rPr>
        <w:t>%。</w:t>
      </w:r>
    </w:p>
    <w:p w14:paraId="38873ADC">
      <w:pPr>
        <w:ind w:firstLine="640"/>
        <w:rPr>
          <w:rFonts w:cs="Times New Roman"/>
          <w:color w:val="auto"/>
        </w:rPr>
      </w:pPr>
      <w:r>
        <w:rPr>
          <w:rFonts w:hint="eastAsia" w:cs="Times New Roman"/>
          <w:color w:val="auto"/>
        </w:rPr>
        <w:t>北甸子乡山多林密，境内林区地处长白植物区系和华北植物区系过渡地带，植物种类繁多，生长茂盛，有柞、椴、松、杨、榆、黄柏等珍贵树种，森林覆盖率达</w:t>
      </w:r>
      <w:bookmarkStart w:id="134" w:name="_GoBack"/>
      <w:bookmarkEnd w:id="134"/>
      <w:r>
        <w:rPr>
          <w:rFonts w:hint="eastAsia" w:cs="Times New Roman"/>
          <w:color w:val="auto"/>
        </w:rPr>
        <w:t>75%。野生食用菌遍布山谷沟坡，盛产榛蘑和松树伞蘑菇。山野菜品种多，无污染，营养价值高，主要品种有大叶芹、薇菜、蕨菜、刺嫩芽等，春夏时节，吸引许多外地人前来采摘。</w:t>
      </w:r>
    </w:p>
    <w:p w14:paraId="72DB71E2">
      <w:pPr>
        <w:ind w:firstLine="640"/>
        <w:rPr>
          <w:rFonts w:hint="eastAsia" w:cs="Times New Roman"/>
        </w:rPr>
      </w:pPr>
      <w:r>
        <w:rPr>
          <w:rFonts w:hint="eastAsia" w:cs="Times New Roman"/>
        </w:rPr>
        <w:t>北甸子乡独特的山区气候，特别适合发展果药业，尤其是昼夜温差大，是南果梨、尖把梨生长的最佳条件。北甸子乡位于桓龙湖畔的地理环境，与世界著名冰葡萄产区—加拿大安大略省极其相似，非常适合生产被世界酒业誉为软黄金的冰葡萄酒，是最理想的种植区域，适合种植面积之广，果实品质之纯，其影响已超出国界，北甸子乡成为世界最大的冰酒基地，成为中国最大的冰酒之乡。</w:t>
      </w:r>
    </w:p>
    <w:p w14:paraId="5CF1EF8A">
      <w:pPr>
        <w:pStyle w:val="3"/>
        <w:bidi w:val="0"/>
        <w:ind w:left="0" w:leftChars="0" w:firstLine="420" w:firstLineChars="0"/>
        <w:rPr>
          <w:rFonts w:hint="eastAsia"/>
          <w:lang w:val="en-US" w:eastAsia="zh-CN"/>
        </w:rPr>
      </w:pPr>
      <w:r>
        <w:rPr>
          <w:rFonts w:hint="eastAsia"/>
          <w:lang w:val="en-US" w:eastAsia="zh-CN"/>
        </w:rPr>
        <w:t>2.2经济基础</w:t>
      </w:r>
    </w:p>
    <w:p w14:paraId="7F6E60A7">
      <w:pPr>
        <w:ind w:firstLine="640"/>
        <w:rPr>
          <w:rFonts w:hint="eastAsia" w:cs="Times New Roman"/>
        </w:rPr>
      </w:pPr>
      <w:r>
        <w:rPr>
          <w:rFonts w:hint="eastAsia" w:cs="Times New Roman"/>
          <w:b/>
          <w:bCs/>
        </w:rPr>
        <w:t>在特色产业发展上，</w:t>
      </w:r>
      <w:r>
        <w:rPr>
          <w:rFonts w:hint="eastAsia" w:cs="Times New Roman"/>
        </w:rPr>
        <w:t>北甸子乡在县委、县政府的大力支持下，紧紧围绕建设“黄金冰谷小镇”奋斗目标，坚持走规模化种植、标准化生产、产业化经营、现代化加工的农业产业化发展之路。自2000年发展冰葡萄产业至今已有23年的历史，是乡域农民增收致富的主要途径之一。近几年，由于受疫情影响，全国冰酒销量大幅下滑，冰葡萄需求急剧下降，严重制约了乡域经济的高质量发展，使村民增收、企业增效变得更加困难。我乡冰葡萄生产基地面积也在逐年下降，目前，全乡冰葡萄种植规模稳定在1800亩左右，平均亩产1000斤左右，种植户数达120余户。2018年至2022年冰葡萄均价为3元/斤，每亩收益1000元左右，且销售困难，种植户几乎没有收益。2023年，湾龙背村与五女山米兰酒业签订威代尔酿酒葡萄收购合同，共采购冰葡萄778亩，农民人均收入得到显著提高，总体发展形势较为稳定。</w:t>
      </w:r>
    </w:p>
    <w:p w14:paraId="3C722CBD">
      <w:pPr>
        <w:ind w:firstLine="640"/>
        <w:rPr>
          <w:rFonts w:hint="eastAsia" w:cs="Times New Roman"/>
        </w:rPr>
      </w:pPr>
      <w:r>
        <w:rPr>
          <w:rFonts w:hint="eastAsia" w:cs="Times New Roman"/>
          <w:b/>
          <w:bCs/>
        </w:rPr>
        <w:t>在工业经济发展上，</w:t>
      </w:r>
      <w:r>
        <w:rPr>
          <w:rFonts w:hint="eastAsia" w:cs="Times New Roman"/>
        </w:rPr>
        <w:t>形成了以冰酒生产和设施农业为主的产业格局。北甸子乡不断加快小城镇和基础设施建设步伐，秉承建设“黄金冰谷之乡”的发展思路，积极培育战略性产业结构，构建以冰葡萄酒产业为特色的产业发展模式，冰葡萄主导产业已成为本乡支柱产业之一。北甸子乡已入驻张裕冰酒酒庄、圣百威豪国际酒庄等冰酒企业6家，以“企业+基地+农户+标准”的农村产业化发展模式为目标，全部实行标准化种植管理，并坚持将标准规范细化到每个环节。目前，北甸子乡正积极打造“世界黄金冰谷”、“中国冰酒之乡”的金字品牌，积极发展当地的生态观光农业。</w:t>
      </w:r>
    </w:p>
    <w:p w14:paraId="5B6C9828">
      <w:pPr>
        <w:ind w:firstLine="640"/>
        <w:rPr>
          <w:rFonts w:hint="eastAsia" w:cs="Times New Roman"/>
          <w:lang w:eastAsia="zh-CN"/>
        </w:rPr>
      </w:pPr>
      <w:r>
        <w:rPr>
          <w:rFonts w:hint="eastAsia" w:cs="Times New Roman"/>
          <w:b/>
          <w:bCs/>
        </w:rPr>
        <w:t>在农业产业发展上，</w:t>
      </w:r>
      <w:r>
        <w:rPr>
          <w:rFonts w:hint="eastAsia" w:cs="Times New Roman"/>
        </w:rPr>
        <w:t>北甸子乡现有中小药材3400亩、林下参种植面积6万亩，全乡特色产业主要以冰葡萄和鲜食葡萄（“藤稔”、“阳光玫瑰”）种植加工为主。截至目前，全乡冰葡萄面积约1800余亩，鲜食葡萄（“藤稔”、“阳光玫瑰”）面积约200余亩。2013年—2020年先后引进了鲜食葡萄（“藤稔”及“阳光玫瑰”），现如今北甸子乡的鲜食葡萄产业种植规模正在逐年的增加，也成为了本地农户增收致富的有效途径。与此同时，还成立了大牛沟村毛君移民葡萄栽植专业合作社，合作社注册了毛君、森田两个商标，打开了东北三省的鲜食葡萄市场。截</w:t>
      </w:r>
      <w:r>
        <w:rPr>
          <w:rFonts w:hint="eastAsia" w:cs="Times New Roman"/>
          <w:lang w:val="en-US" w:eastAsia="zh-CN"/>
        </w:rPr>
        <w:t>至</w:t>
      </w:r>
      <w:r>
        <w:rPr>
          <w:rFonts w:hint="eastAsia" w:cs="Times New Roman"/>
        </w:rPr>
        <w:t>目前，合作社共有大棚89个，由起初的31户发展壮大到61户，其中，有58户农户的葡萄直接销往吉林通化，其他3户农户的葡萄直接销往黑龙江省，全部实行订单模式，每年收入约在380-390万元，并以每年10%-15%的利润增长率创收。</w:t>
      </w:r>
      <w:r>
        <w:rPr>
          <w:rFonts w:hint="eastAsia" w:cs="Times New Roman"/>
          <w:lang w:eastAsia="zh-CN"/>
        </w:rPr>
        <w:t>。</w:t>
      </w:r>
    </w:p>
    <w:p w14:paraId="2D9E97A8">
      <w:pPr>
        <w:pStyle w:val="3"/>
        <w:bidi w:val="0"/>
        <w:ind w:left="0" w:leftChars="0" w:firstLine="420" w:firstLineChars="0"/>
        <w:rPr>
          <w:rFonts w:hint="default"/>
          <w:lang w:val="en-US" w:eastAsia="zh-CN"/>
        </w:rPr>
      </w:pPr>
      <w:r>
        <w:rPr>
          <w:rFonts w:hint="eastAsia"/>
          <w:lang w:val="en-US" w:eastAsia="zh-CN"/>
        </w:rPr>
        <w:t>2.3风险与问题</w:t>
      </w:r>
    </w:p>
    <w:p w14:paraId="485BC18F">
      <w:pPr>
        <w:pStyle w:val="4"/>
        <w:tabs>
          <w:tab w:val="left" w:pos="420"/>
        </w:tabs>
        <w:bidi w:val="0"/>
        <w:ind w:left="0" w:leftChars="0" w:firstLine="420" w:firstLineChars="0"/>
        <w:rPr>
          <w:rFonts w:hint="eastAsia"/>
          <w:lang w:val="en-US" w:eastAsia="zh-CN"/>
        </w:rPr>
      </w:pPr>
      <w:bookmarkStart w:id="8" w:name="_Hlk129616623"/>
      <w:r>
        <w:rPr>
          <w:rFonts w:hint="eastAsia"/>
          <w:lang w:val="en-US" w:eastAsia="zh-CN"/>
        </w:rPr>
        <w:t>2.3.1国土空间开发利用与保护问题</w:t>
      </w:r>
    </w:p>
    <w:p w14:paraId="445F967A">
      <w:pPr>
        <w:ind w:firstLine="643"/>
        <w:rPr>
          <w:rFonts w:ascii="Times New Roman" w:hAnsi="Times New Roman" w:cs="Times New Roman"/>
          <w:color w:val="auto"/>
        </w:rPr>
      </w:pPr>
      <w:r>
        <w:rPr>
          <w:rFonts w:ascii="Times New Roman" w:hAnsi="Times New Roman" w:cs="Times New Roman"/>
          <w:b/>
          <w:bCs/>
          <w:color w:val="auto"/>
        </w:rPr>
        <w:t>设施保障能力不足。</w:t>
      </w:r>
      <w:r>
        <w:rPr>
          <w:rFonts w:hint="eastAsia" w:ascii="Times New Roman" w:hAnsi="Times New Roman" w:cs="Times New Roman"/>
          <w:color w:val="auto"/>
          <w:lang w:val="en-US" w:eastAsia="zh-CN"/>
        </w:rPr>
        <w:t>北甸子乡</w:t>
      </w:r>
      <w:r>
        <w:rPr>
          <w:rFonts w:hint="eastAsia" w:ascii="Times New Roman" w:hAnsi="Times New Roman" w:cs="Times New Roman"/>
          <w:color w:val="auto"/>
        </w:rPr>
        <w:t>城乡公共服务设施建设配置不均</w:t>
      </w:r>
      <w:r>
        <w:rPr>
          <w:rFonts w:ascii="Times New Roman" w:hAnsi="Times New Roman" w:cs="Times New Roman"/>
          <w:color w:val="auto"/>
        </w:rPr>
        <w:t>，</w:t>
      </w:r>
      <w:r>
        <w:rPr>
          <w:rFonts w:hint="eastAsia" w:ascii="Times New Roman" w:hAnsi="Times New Roman" w:cs="Times New Roman"/>
          <w:color w:val="auto"/>
        </w:rPr>
        <w:t>部分村庄公共服务设施覆盖存在不足，</w:t>
      </w:r>
      <w:r>
        <w:rPr>
          <w:rFonts w:ascii="Times New Roman" w:hAnsi="Times New Roman" w:cs="Times New Roman"/>
          <w:color w:val="auto"/>
        </w:rPr>
        <w:t>农村公共服务设施的建设、服务水平较低。</w:t>
      </w:r>
      <w:r>
        <w:rPr>
          <w:rFonts w:hint="eastAsia" w:ascii="Times New Roman" w:hAnsi="Times New Roman" w:cs="Times New Roman"/>
          <w:color w:val="auto"/>
          <w:lang w:val="en-US" w:eastAsia="zh-CN"/>
        </w:rPr>
        <w:t>北甸子乡</w:t>
      </w:r>
      <w:r>
        <w:rPr>
          <w:rFonts w:ascii="Times New Roman" w:hAnsi="Times New Roman" w:cs="Times New Roman"/>
          <w:color w:val="auto"/>
        </w:rPr>
        <w:t>经济发展已经度过大规模基础设施建设阶段，</w:t>
      </w:r>
      <w:r>
        <w:rPr>
          <w:rFonts w:hint="eastAsia" w:ascii="Times New Roman" w:hAnsi="Times New Roman" w:cs="Times New Roman"/>
          <w:color w:val="auto"/>
          <w:lang w:val="en-US" w:eastAsia="zh-CN"/>
        </w:rPr>
        <w:t>乡</w:t>
      </w:r>
      <w:r>
        <w:rPr>
          <w:rFonts w:hint="eastAsia" w:ascii="Times New Roman" w:hAnsi="Times New Roman" w:cs="Times New Roman"/>
          <w:color w:val="auto"/>
        </w:rPr>
        <w:t>区内配套建设仍需进一步加强，建成区</w:t>
      </w:r>
      <w:r>
        <w:rPr>
          <w:rFonts w:ascii="Times New Roman" w:hAnsi="Times New Roman" w:cs="Times New Roman"/>
          <w:color w:val="auto"/>
        </w:rPr>
        <w:t>亟需向精细化发展转型</w:t>
      </w:r>
      <w:r>
        <w:rPr>
          <w:rFonts w:hint="eastAsia" w:ascii="Times New Roman" w:hAnsi="Times New Roman" w:cs="Times New Roman"/>
          <w:color w:val="auto"/>
        </w:rPr>
        <w:t>，城镇</w:t>
      </w:r>
      <w:r>
        <w:rPr>
          <w:rFonts w:ascii="Times New Roman" w:hAnsi="Times New Roman" w:cs="Times New Roman"/>
          <w:color w:val="auto"/>
        </w:rPr>
        <w:t>需要向专业化发展，设施配置需要往专业化方向调整，尤其需要加强养老院等公办设施的兜底。</w:t>
      </w:r>
    </w:p>
    <w:p w14:paraId="3DE62B61">
      <w:pPr>
        <w:ind w:firstLine="643"/>
        <w:rPr>
          <w:rFonts w:ascii="Times New Roman" w:hAnsi="Times New Roman" w:cs="Times New Roman"/>
          <w:color w:val="auto"/>
        </w:rPr>
      </w:pPr>
      <w:r>
        <w:rPr>
          <w:rFonts w:hint="eastAsia" w:ascii="Times New Roman" w:hAnsi="Times New Roman" w:cs="Times New Roman"/>
          <w:b/>
          <w:bCs/>
          <w:color w:val="auto"/>
        </w:rPr>
        <w:t>资源利用效率不高。</w:t>
      </w:r>
      <w:r>
        <w:rPr>
          <w:rFonts w:hint="eastAsia" w:ascii="Times New Roman" w:hAnsi="Times New Roman" w:cs="Times New Roman"/>
          <w:color w:val="auto"/>
          <w:lang w:val="en-US" w:eastAsia="zh-CN"/>
        </w:rPr>
        <w:t>北甸子乡</w:t>
      </w:r>
      <w:r>
        <w:rPr>
          <w:rFonts w:hint="eastAsia" w:ascii="Times New Roman" w:hAnsi="Times New Roman" w:cs="Times New Roman"/>
          <w:color w:val="auto"/>
        </w:rPr>
        <w:t>依山傍水，具有丰富的土地资源、水资源，但</w:t>
      </w:r>
      <w:r>
        <w:rPr>
          <w:rFonts w:hint="eastAsia" w:ascii="Times New Roman" w:hAnsi="Times New Roman" w:cs="Times New Roman"/>
          <w:color w:val="auto"/>
          <w:lang w:val="en-US" w:eastAsia="zh-CN"/>
        </w:rPr>
        <w:t>资源利用效率普遍不高，</w:t>
      </w:r>
      <w:r>
        <w:rPr>
          <w:rFonts w:hint="eastAsia" w:ascii="Times New Roman" w:hAnsi="Times New Roman" w:cs="Times New Roman"/>
          <w:color w:val="auto"/>
        </w:rPr>
        <w:t>中心镇区内及各村屯内较多闲置、破败的房屋，土地利用较为粗放。</w:t>
      </w:r>
    </w:p>
    <w:p w14:paraId="5A4B17A5">
      <w:pPr>
        <w:ind w:firstLine="643"/>
        <w:rPr>
          <w:rFonts w:ascii="Times New Roman" w:hAnsi="Times New Roman" w:cs="Times New Roman"/>
          <w:color w:val="auto"/>
        </w:rPr>
      </w:pPr>
      <w:r>
        <w:rPr>
          <w:rFonts w:hint="eastAsia" w:ascii="Times New Roman" w:hAnsi="Times New Roman" w:cs="Times New Roman"/>
          <w:b/>
          <w:bCs/>
          <w:color w:val="auto"/>
        </w:rPr>
        <w:t>城乡人居环境相对较差。</w:t>
      </w:r>
      <w:r>
        <w:rPr>
          <w:rFonts w:hint="eastAsia" w:ascii="Times New Roman" w:hAnsi="Times New Roman" w:cs="Times New Roman"/>
          <w:color w:val="auto"/>
          <w:lang w:val="en-US" w:eastAsia="zh-CN"/>
        </w:rPr>
        <w:t>北甸子乡</w:t>
      </w:r>
      <w:r>
        <w:rPr>
          <w:rFonts w:hint="eastAsia" w:ascii="Times New Roman" w:hAnsi="Times New Roman" w:cs="Times New Roman"/>
          <w:color w:val="auto"/>
        </w:rPr>
        <w:t>发展较早，大量基础设施面临年久老化、破损严重的现象。尽管近年来加大了建设投入，环境和设施有所改观，但全</w:t>
      </w:r>
      <w:r>
        <w:rPr>
          <w:rFonts w:hint="eastAsia" w:ascii="Times New Roman" w:hAnsi="Times New Roman" w:cs="Times New Roman"/>
          <w:color w:val="auto"/>
          <w:lang w:val="en-US" w:eastAsia="zh-CN"/>
        </w:rPr>
        <w:t>乡</w:t>
      </w:r>
      <w:r>
        <w:rPr>
          <w:rFonts w:hint="eastAsia" w:ascii="Times New Roman" w:hAnsi="Times New Roman" w:cs="Times New Roman"/>
          <w:color w:val="auto"/>
        </w:rPr>
        <w:t>公共配套设施仍然不足。群众文化娱乐的公共空间及健身设施少，公用设施中通讯设施基本实现城乡覆盖，集中处理污水、供热、燃气等在镇区局部建设，乡村基本没有配备。环卫设施较为齐全，但因清扫不及时，整体人居环境较差。</w:t>
      </w:r>
    </w:p>
    <w:p w14:paraId="0ABF8797">
      <w:pPr>
        <w:pStyle w:val="4"/>
        <w:tabs>
          <w:tab w:val="left" w:pos="420"/>
        </w:tabs>
        <w:bidi w:val="0"/>
        <w:ind w:left="0" w:leftChars="0" w:firstLine="420" w:firstLineChars="0"/>
        <w:rPr>
          <w:rFonts w:hint="eastAsia"/>
          <w:lang w:val="en-US" w:eastAsia="zh-CN"/>
        </w:rPr>
      </w:pPr>
      <w:r>
        <w:rPr>
          <w:rFonts w:hint="eastAsia"/>
          <w:lang w:val="en-US" w:eastAsia="zh-CN"/>
        </w:rPr>
        <w:t>2.3.2国土空间开发利用与保护风险</w:t>
      </w:r>
    </w:p>
    <w:p w14:paraId="0B234903">
      <w:pPr>
        <w:ind w:firstLine="643"/>
        <w:rPr>
          <w:rFonts w:ascii="Times New Roman" w:hAnsi="Times New Roman" w:cs="Times New Roman"/>
          <w:color w:val="auto"/>
        </w:rPr>
      </w:pPr>
      <w:r>
        <w:rPr>
          <w:rFonts w:ascii="Times New Roman" w:hAnsi="Times New Roman" w:cs="Times New Roman"/>
          <w:b/>
          <w:bCs/>
          <w:color w:val="auto"/>
        </w:rPr>
        <w:t>持续发展面临风险。</w:t>
      </w:r>
      <w:r>
        <w:rPr>
          <w:rFonts w:hint="eastAsia" w:ascii="Times New Roman" w:hAnsi="Times New Roman" w:cs="Times New Roman"/>
          <w:bCs/>
          <w:color w:val="auto"/>
          <w:lang w:val="en-US" w:eastAsia="zh-CN"/>
        </w:rPr>
        <w:t>北甸子乡</w:t>
      </w:r>
      <w:r>
        <w:rPr>
          <w:rFonts w:ascii="Times New Roman" w:hAnsi="Times New Roman" w:cs="Times New Roman"/>
          <w:color w:val="auto"/>
        </w:rPr>
        <w:t>人口进入负增长期，低出生率和人口外流现象导致人口总量持续下降，同时人口老龄化趋势加深，超过我国平均标准。</w:t>
      </w:r>
      <w:r>
        <w:rPr>
          <w:rFonts w:hint="eastAsia" w:ascii="Times New Roman" w:hAnsi="Times New Roman" w:cs="Times New Roman"/>
          <w:color w:val="auto"/>
          <w:lang w:val="en-US" w:eastAsia="zh-CN"/>
        </w:rPr>
        <w:t>北甸子乡</w:t>
      </w:r>
      <w:r>
        <w:rPr>
          <w:rFonts w:ascii="Times New Roman" w:hAnsi="Times New Roman" w:cs="Times New Roman"/>
          <w:color w:val="auto"/>
        </w:rPr>
        <w:t>近年来各</w:t>
      </w:r>
      <w:r>
        <w:rPr>
          <w:rFonts w:hint="eastAsia" w:ascii="Times New Roman" w:hAnsi="Times New Roman" w:cs="Times New Roman"/>
          <w:color w:val="auto"/>
        </w:rPr>
        <w:t>村庄</w:t>
      </w:r>
      <w:r>
        <w:rPr>
          <w:rFonts w:ascii="Times New Roman" w:hAnsi="Times New Roman" w:cs="Times New Roman"/>
          <w:color w:val="auto"/>
        </w:rPr>
        <w:t>人口老龄化持续加重，人口减少幅度逐渐增大。</w:t>
      </w:r>
    </w:p>
    <w:p w14:paraId="17071791">
      <w:pPr>
        <w:ind w:firstLine="643"/>
        <w:rPr>
          <w:rFonts w:hint="eastAsia" w:hAnsi="仿宋_GB2312" w:cs="仿宋_GB2312"/>
          <w:color w:val="auto"/>
          <w:szCs w:val="32"/>
        </w:rPr>
      </w:pPr>
      <w:r>
        <w:rPr>
          <w:rFonts w:hint="eastAsia" w:ascii="Times New Roman" w:hAnsi="Times New Roman" w:cs="Times New Roman"/>
          <w:b/>
          <w:bCs/>
          <w:color w:val="auto"/>
        </w:rPr>
        <w:t>耕地保护风险。</w:t>
      </w:r>
      <w:r>
        <w:rPr>
          <w:rFonts w:hint="eastAsia" w:ascii="Times New Roman" w:hAnsi="Times New Roman" w:cs="Times New Roman"/>
          <w:b w:val="0"/>
          <w:bCs w:val="0"/>
          <w:color w:val="auto"/>
          <w:lang w:val="en-US" w:eastAsia="zh-CN"/>
        </w:rPr>
        <w:t>北甸子乡总体格局呈现“</w:t>
      </w:r>
      <w:r>
        <w:rPr>
          <w:rFonts w:hint="eastAsia" w:ascii="Times New Roman" w:hAnsi="Times New Roman" w:cs="Times New Roman"/>
          <w:bCs/>
          <w:color w:val="auto"/>
        </w:rPr>
        <w:t>六山二水一分田，一分道路和家园</w:t>
      </w:r>
      <w:r>
        <w:rPr>
          <w:rFonts w:hint="eastAsia" w:ascii="Times New Roman" w:hAnsi="Times New Roman" w:cs="Times New Roman"/>
          <w:b w:val="0"/>
          <w:bCs w:val="0"/>
          <w:color w:val="auto"/>
          <w:lang w:val="en-US" w:eastAsia="zh-CN"/>
        </w:rPr>
        <w:t>”，</w:t>
      </w:r>
      <w:r>
        <w:rPr>
          <w:rFonts w:hint="eastAsia" w:ascii="Times New Roman" w:hAnsi="Times New Roman" w:cs="Times New Roman"/>
          <w:bCs/>
          <w:color w:val="auto"/>
        </w:rPr>
        <w:t>全域耕地面积2089.45公顷，占全域国土总面积的18.69%</w:t>
      </w:r>
      <w:r>
        <w:rPr>
          <w:rFonts w:hint="eastAsia" w:ascii="Times New Roman" w:hAnsi="Times New Roman" w:cs="Times New Roman"/>
          <w:bCs/>
          <w:color w:val="auto"/>
          <w:lang w:eastAsia="zh-CN"/>
        </w:rPr>
        <w:t>。</w:t>
      </w:r>
      <w:r>
        <w:rPr>
          <w:rFonts w:hint="eastAsia" w:hAnsi="仿宋_GB2312" w:cs="仿宋_GB2312"/>
          <w:color w:val="auto"/>
          <w:szCs w:val="32"/>
        </w:rPr>
        <w:t>耕地与城镇建设适宜区相重叠，未来存在开发与保护的矛盾冲突风险。</w:t>
      </w:r>
    </w:p>
    <w:p w14:paraId="0C0A05CA">
      <w:pPr>
        <w:ind w:firstLine="643"/>
        <w:rPr>
          <w:rFonts w:ascii="Times New Roman" w:hAnsi="Times New Roman" w:cs="Times New Roman"/>
          <w:color w:val="auto"/>
        </w:rPr>
      </w:pPr>
      <w:r>
        <w:rPr>
          <w:rFonts w:hint="eastAsia" w:ascii="Times New Roman" w:hAnsi="Times New Roman" w:cs="Times New Roman"/>
          <w:b/>
          <w:bCs/>
          <w:color w:val="auto"/>
        </w:rPr>
        <w:t>自然灾害风险。</w:t>
      </w:r>
      <w:r>
        <w:rPr>
          <w:rFonts w:hint="eastAsia" w:ascii="Times New Roman" w:hAnsi="Times New Roman" w:cs="Times New Roman"/>
          <w:bCs/>
          <w:color w:val="auto"/>
          <w:lang w:val="en-US" w:eastAsia="zh-CN"/>
        </w:rPr>
        <w:t>北甸子乡</w:t>
      </w:r>
      <w:r>
        <w:rPr>
          <w:rFonts w:hint="eastAsia" w:ascii="Times New Roman" w:hAnsi="Times New Roman" w:cs="Times New Roman"/>
          <w:color w:val="auto"/>
        </w:rPr>
        <w:t>自然地质灾害以崩塌、泥石流为主，局部地区强降雨可能诱发崩塌、滑坡、泥石流等突发性地质灾害。部分沟谷有潜在的滑坡并发性泥石流灾害，部分大型引水沟渠或库塘有渗漏所潜在诱发的滑坡并发泥石流隐患；城镇建设和农业发展受气象灾害影响较大，具有较高的暴雨、台风、暴雪、大雾、大风、强对流天气风险。</w:t>
      </w:r>
    </w:p>
    <w:bookmarkEnd w:id="8"/>
    <w:p w14:paraId="75CECF34">
      <w:pPr>
        <w:pStyle w:val="2"/>
        <w:spacing w:before="312" w:after="312"/>
        <w:rPr>
          <w:rFonts w:ascii="Times New Roman" w:hAnsi="Times New Roman" w:cs="Times New Roman"/>
        </w:rPr>
      </w:pPr>
      <w:r>
        <w:rPr>
          <w:rFonts w:hint="eastAsia" w:ascii="Times New Roman" w:hAnsi="Times New Roman" w:cs="Times New Roman"/>
          <w:lang w:val="en-US" w:eastAsia="zh-CN"/>
        </w:rPr>
        <w:t xml:space="preserve">第3章 </w:t>
      </w:r>
      <w:r>
        <w:rPr>
          <w:rFonts w:ascii="Times New Roman" w:hAnsi="Times New Roman" w:cs="Times New Roman"/>
        </w:rPr>
        <w:t>发展定位与目标</w:t>
      </w:r>
      <w:bookmarkEnd w:id="4"/>
      <w:bookmarkEnd w:id="5"/>
    </w:p>
    <w:p w14:paraId="4E1EDEC3">
      <w:pPr>
        <w:ind w:firstLine="640"/>
        <w:rPr>
          <w:rFonts w:cs="Times New Roman"/>
        </w:rPr>
      </w:pPr>
      <w:r>
        <w:rPr>
          <w:rFonts w:cs="Times New Roman"/>
        </w:rPr>
        <w:t>落实国家东北东部绿色经济带和辽宁省</w:t>
      </w:r>
      <w:r>
        <w:rPr>
          <w:rFonts w:hint="eastAsia" w:cs="Times New Roman"/>
          <w:color w:val="000000"/>
          <w:lang w:bidi="ar"/>
        </w:rPr>
        <w:t>“一圈一带两区”</w:t>
      </w:r>
      <w:r>
        <w:rPr>
          <w:rFonts w:cs="Times New Roman"/>
        </w:rPr>
        <w:t>发展战略，以及桓仁满族自治县（以下简称</w:t>
      </w:r>
      <w:r>
        <w:rPr>
          <w:rFonts w:hint="eastAsia" w:cs="Times New Roman"/>
          <w:color w:val="000000"/>
          <w:lang w:bidi="ar"/>
        </w:rPr>
        <w:t>“桓仁县”</w:t>
      </w:r>
      <w:r>
        <w:rPr>
          <w:rFonts w:cs="Times New Roman"/>
        </w:rPr>
        <w:t>）国土空间开发保护目标战略要求，立足</w:t>
      </w:r>
      <w:r>
        <w:rPr>
          <w:rFonts w:hint="eastAsia" w:cs="Times New Roman"/>
        </w:rPr>
        <w:t>北甸子</w:t>
      </w:r>
      <w:r>
        <w:rPr>
          <w:rFonts w:cs="Times New Roman"/>
        </w:rPr>
        <w:t>乡资源环境条件、社会经济发展水平、产业基础发展趋势、自然人文特色等，明确国土空间开发保护目标和功能定位，指导国土空间格局优化。</w:t>
      </w:r>
    </w:p>
    <w:p w14:paraId="75F6A653">
      <w:pPr>
        <w:pStyle w:val="3"/>
        <w:bidi w:val="0"/>
        <w:rPr>
          <w:rFonts w:hint="eastAsia"/>
          <w:lang w:val="en-US" w:eastAsia="zh-CN"/>
        </w:rPr>
      </w:pPr>
      <w:bookmarkStart w:id="9" w:name="_Toc205557218"/>
      <w:bookmarkStart w:id="10" w:name="_Toc16128"/>
      <w:r>
        <w:rPr>
          <w:rFonts w:hint="eastAsia"/>
          <w:lang w:val="en-US" w:eastAsia="zh-CN"/>
        </w:rPr>
        <w:t>3.1 乡镇功能定位</w:t>
      </w:r>
      <w:bookmarkEnd w:id="9"/>
      <w:bookmarkEnd w:id="10"/>
    </w:p>
    <w:p w14:paraId="7C9DDE1C">
      <w:pPr>
        <w:pStyle w:val="4"/>
        <w:numPr>
          <w:ilvl w:val="0"/>
          <w:numId w:val="0"/>
        </w:numPr>
        <w:ind w:left="640" w:leftChars="0"/>
        <w:rPr>
          <w:rFonts w:cs="Times New Roman"/>
        </w:rPr>
      </w:pPr>
      <w:r>
        <w:rPr>
          <w:rFonts w:hint="eastAsia" w:cs="Times New Roman"/>
          <w:lang w:val="en-US" w:eastAsia="zh-CN"/>
        </w:rPr>
        <w:t>3.1.1</w:t>
      </w:r>
      <w:r>
        <w:rPr>
          <w:rFonts w:cs="Times New Roman"/>
        </w:rPr>
        <w:t>功能定位</w:t>
      </w:r>
    </w:p>
    <w:p w14:paraId="6C40CE5B">
      <w:pPr>
        <w:ind w:firstLine="640"/>
        <w:rPr>
          <w:rFonts w:cs="Times New Roman"/>
        </w:rPr>
      </w:pPr>
      <w:r>
        <w:rPr>
          <w:rFonts w:hint="eastAsia"/>
        </w:rPr>
        <w:t>根据《桓仁满族自治县国土空间总体规划（2021—2035年）》对乡镇的分类职能定位指引，规划确定北甸子乡为一般镇。依据《辽宁省乡镇级国土空间总体规划编制导则（试行）》对乡镇的分类指引，确定北甸子乡为生态保护型乡镇。主体功能为重点生态功能区。</w:t>
      </w:r>
      <w:r>
        <w:rPr>
          <w:rFonts w:cs="Times New Roman"/>
        </w:rPr>
        <w:t>结合</w:t>
      </w:r>
      <w:r>
        <w:rPr>
          <w:rFonts w:hint="eastAsia" w:cs="Times New Roman"/>
        </w:rPr>
        <w:t>北甸子</w:t>
      </w:r>
      <w:r>
        <w:rPr>
          <w:rFonts w:cs="Times New Roman"/>
        </w:rPr>
        <w:t>乡资源环境条件和产业发展基础等，确定</w:t>
      </w:r>
      <w:r>
        <w:rPr>
          <w:rFonts w:hint="eastAsia" w:cs="Times New Roman"/>
        </w:rPr>
        <w:t>北甸子</w:t>
      </w:r>
      <w:r>
        <w:rPr>
          <w:rFonts w:cs="Times New Roman"/>
        </w:rPr>
        <w:t>乡的功能定位为：</w:t>
      </w:r>
      <w:bookmarkStart w:id="11" w:name="_Hlk184289618"/>
      <w:r>
        <w:rPr>
          <w:rFonts w:hint="eastAsia" w:cs="Times New Roman"/>
        </w:rPr>
        <w:t>以山水资源和特色农业种植加工为支撑，“农文旅”三位一体发展的</w:t>
      </w:r>
      <w:r>
        <w:rPr>
          <w:rFonts w:hint="eastAsia"/>
        </w:rPr>
        <w:t>生态保护</w:t>
      </w:r>
      <w:r>
        <w:rPr>
          <w:rFonts w:hint="eastAsia" w:cs="Times New Roman"/>
        </w:rPr>
        <w:t>型乡镇。建设为国内知名黄金冰谷小镇，本溪市精品农业示范区，</w:t>
      </w:r>
      <w:r>
        <w:rPr>
          <w:rFonts w:hint="eastAsia" w:cs="Times New Roman"/>
          <w:lang w:val="en-US" w:eastAsia="zh-CN"/>
        </w:rPr>
        <w:t>县域水源保护重点镇</w:t>
      </w:r>
      <w:r>
        <w:rPr>
          <w:rFonts w:hint="eastAsia" w:cs="Times New Roman"/>
        </w:rPr>
        <w:t>。</w:t>
      </w:r>
    </w:p>
    <w:bookmarkEnd w:id="11"/>
    <w:p w14:paraId="0C531303">
      <w:pPr>
        <w:ind w:firstLine="643"/>
        <w:rPr>
          <w:rFonts w:cs="Times New Roman"/>
        </w:rPr>
      </w:pPr>
      <w:r>
        <w:rPr>
          <w:rFonts w:hint="eastAsia" w:cs="Times New Roman"/>
          <w:b/>
          <w:bCs/>
        </w:rPr>
        <w:t>国内知名黄金冰谷小镇。</w:t>
      </w:r>
      <w:r>
        <w:rPr>
          <w:rFonts w:hint="eastAsia" w:cs="Times New Roman"/>
        </w:rPr>
        <w:t>依托北甸子乡优质的地理环境和冰葡萄酒生产加工基础，进一步提升冰葡萄种植规模和冰葡萄酒产业化、标准化、规模化水平，打造国内知名的冰葡萄酒之乡。</w:t>
      </w:r>
    </w:p>
    <w:p w14:paraId="6A454118">
      <w:pPr>
        <w:ind w:firstLine="643"/>
        <w:rPr>
          <w:rFonts w:cs="Times New Roman"/>
        </w:rPr>
      </w:pPr>
      <w:r>
        <w:rPr>
          <w:rFonts w:hint="eastAsia" w:cs="Times New Roman"/>
          <w:b/>
          <w:bCs/>
        </w:rPr>
        <w:t>本溪市精品农业示范区。</w:t>
      </w:r>
      <w:r>
        <w:rPr>
          <w:rFonts w:hint="eastAsia" w:cs="Times New Roman"/>
        </w:rPr>
        <w:t>依托丰富的农产品资源，发展以冰葡萄、果药产品及鲜食葡萄为代表的农产品精深加工业，引进先进技术和设备，提高加工水平和产品档次，延长产业链条，增加农产品附加值，打造精品农业示范区。</w:t>
      </w:r>
    </w:p>
    <w:p w14:paraId="28E52332">
      <w:pPr>
        <w:ind w:firstLine="643"/>
        <w:rPr>
          <w:rFonts w:cs="Times New Roman"/>
          <w:b/>
          <w:bCs/>
        </w:rPr>
      </w:pPr>
      <w:r>
        <w:rPr>
          <w:rFonts w:hint="eastAsia" w:cs="Times New Roman"/>
          <w:b/>
          <w:bCs/>
        </w:rPr>
        <w:t>县域水源保护重点镇。</w:t>
      </w:r>
      <w:r>
        <w:rPr>
          <w:rFonts w:hint="eastAsia" w:cs="Times New Roman"/>
        </w:rPr>
        <w:t>核心定位为区域水源生态屏障。其地处浑江与富尔江交汇处，三面环水且毗邻桓仁水库，是桓龙湖国家湿地公园保护重要区域。严格落实国土空间用途管制，承担浑江流域水环境保护、湿地修复等职责，为县域及区域用水安全筑牢生态根基</w:t>
      </w:r>
    </w:p>
    <w:p w14:paraId="5CEB16CB">
      <w:pPr>
        <w:pStyle w:val="3"/>
        <w:rPr>
          <w:rFonts w:ascii="Times New Roman" w:hAnsi="Times New Roman" w:cs="Times New Roman"/>
        </w:rPr>
      </w:pPr>
      <w:bookmarkStart w:id="12" w:name="_Toc24656"/>
      <w:bookmarkStart w:id="13" w:name="_Toc205557219"/>
      <w:r>
        <w:rPr>
          <w:rFonts w:hint="eastAsia" w:ascii="Times New Roman" w:hAnsi="Times New Roman" w:cs="Times New Roman"/>
          <w:lang w:val="en-US" w:eastAsia="zh-CN"/>
        </w:rPr>
        <w:t>3.2</w:t>
      </w:r>
      <w:r>
        <w:rPr>
          <w:rFonts w:ascii="Times New Roman" w:hAnsi="Times New Roman" w:cs="Times New Roman"/>
        </w:rPr>
        <w:t xml:space="preserve"> 国土空间开发保护目标</w:t>
      </w:r>
      <w:bookmarkEnd w:id="12"/>
      <w:bookmarkEnd w:id="13"/>
    </w:p>
    <w:p w14:paraId="132128DA">
      <w:pPr>
        <w:ind w:firstLine="640"/>
        <w:rPr>
          <w:rFonts w:cs="Times New Roman"/>
        </w:rPr>
      </w:pPr>
      <w:r>
        <w:rPr>
          <w:rFonts w:cs="Times New Roman"/>
        </w:rPr>
        <w:t>发挥</w:t>
      </w:r>
      <w:r>
        <w:rPr>
          <w:rFonts w:hint="eastAsia" w:cs="Times New Roman"/>
        </w:rPr>
        <w:t>北甸子</w:t>
      </w:r>
      <w:r>
        <w:rPr>
          <w:rFonts w:cs="Times New Roman"/>
        </w:rPr>
        <w:t>乡地理区位、自然资源、产业基础等优势条件，抢抓新时代发展机遇，积极应对国土空间问题挑战，统筹推进全域国土空间保护、开发、利用、修复，实现人与自然和谐共生、经济社会良性互促。到2025年，产镇融合度显著提升，充满活力的城乡发展格局基本奠定，农业产业格局得到优化，三条空间管制控制线全面落地，生态保护和修复体系基本建立。到2035年，形成主体功能明显、优势互补、高质量发展的国土空间开发保护新格局，基本建成生产空间集约高效、生活空间宜居适度、生态空间山清水秀，安全、绿色、开放、智慧、富有竞争力的美丽国土，进一步巩固</w:t>
      </w:r>
      <w:r>
        <w:rPr>
          <w:rFonts w:hint="eastAsia" w:cs="Times New Roman"/>
        </w:rPr>
        <w:t>北甸子</w:t>
      </w:r>
      <w:r>
        <w:rPr>
          <w:rFonts w:cs="Times New Roman"/>
        </w:rPr>
        <w:t>乡在桓仁县区域发展格局中的战略地位，建成</w:t>
      </w:r>
      <w:r>
        <w:rPr>
          <w:rFonts w:hint="eastAsia" w:cs="Times New Roman"/>
        </w:rPr>
        <w:t>全域旅游重要支点</w:t>
      </w:r>
      <w:r>
        <w:rPr>
          <w:rFonts w:cs="Times New Roman"/>
        </w:rPr>
        <w:t>，形成对省、市、县重大战略的强有力支撑。</w:t>
      </w:r>
    </w:p>
    <w:p w14:paraId="156C494D">
      <w:pPr>
        <w:pStyle w:val="4"/>
        <w:numPr>
          <w:ilvl w:val="0"/>
          <w:numId w:val="0"/>
        </w:numPr>
        <w:ind w:left="640" w:leftChars="0"/>
        <w:rPr>
          <w:rFonts w:cs="Times New Roman"/>
        </w:rPr>
      </w:pPr>
      <w:r>
        <w:rPr>
          <w:rFonts w:hint="eastAsia" w:cs="Times New Roman"/>
          <w:lang w:val="en-US" w:eastAsia="zh-CN"/>
        </w:rPr>
        <w:t>3.2.1</w:t>
      </w:r>
      <w:r>
        <w:rPr>
          <w:rFonts w:cs="Times New Roman"/>
        </w:rPr>
        <w:t>总体目标</w:t>
      </w:r>
    </w:p>
    <w:p w14:paraId="4ECCFC6D">
      <w:pPr>
        <w:ind w:firstLine="643"/>
        <w:rPr>
          <w:rFonts w:cs="Times New Roman"/>
        </w:rPr>
      </w:pPr>
      <w:r>
        <w:rPr>
          <w:rFonts w:cs="Times New Roman"/>
          <w:b/>
          <w:bCs/>
        </w:rPr>
        <w:t>国土空间保护水平显著提升</w:t>
      </w:r>
      <w:r>
        <w:rPr>
          <w:rFonts w:cs="Times New Roman"/>
        </w:rPr>
        <w:t>。最严格的耕地保护制度、水资源管理制度和生态环境保护制度得到有效落实。耕地和永久基本农田、生态保护红线、城镇开发边界三条控制线得到有效管控。生态资源保护利用更加科学，生态系统保护和修复取得明显成效，生产方式和生活方式加快向低碳、绿色转变，生态文明建设实现新进步，生态安全屏障更加牢固。至2025年，全面融入东北东部绿色经济带和辽东绿色经济区建设。能源和矿产资源保障水平不断提高，关系国土安全韧性的各类基础设施建设得到充分保障。</w:t>
      </w:r>
    </w:p>
    <w:p w14:paraId="1C868499">
      <w:pPr>
        <w:ind w:firstLine="643"/>
        <w:rPr>
          <w:rFonts w:cs="Times New Roman"/>
        </w:rPr>
      </w:pPr>
      <w:r>
        <w:rPr>
          <w:rFonts w:cs="Times New Roman"/>
          <w:b/>
          <w:bCs/>
        </w:rPr>
        <w:t>国土空间开发格局持续优化。</w:t>
      </w:r>
      <w:r>
        <w:rPr>
          <w:rFonts w:hint="eastAsia" w:cs="Times New Roman"/>
        </w:rPr>
        <w:t>乡村布局结构更加合理，农民向乡政府驻地和中心村集中，中心村充分建设、一般村得到整治。城镇综合承载能力不断提升，新型城镇化和乡村振兴战略全面推进，城镇布局更加紧凑，人居环境持续改善</w:t>
      </w:r>
      <w:r>
        <w:rPr>
          <w:rFonts w:cs="Times New Roman"/>
        </w:rPr>
        <w:t>。</w:t>
      </w:r>
    </w:p>
    <w:p w14:paraId="02D8D05C">
      <w:pPr>
        <w:ind w:firstLine="643"/>
        <w:rPr>
          <w:rFonts w:cs="Times New Roman"/>
        </w:rPr>
      </w:pPr>
      <w:r>
        <w:rPr>
          <w:rFonts w:cs="Times New Roman"/>
          <w:b/>
          <w:bCs/>
        </w:rPr>
        <w:t>资源利用更加集约高效。</w:t>
      </w:r>
      <w:r>
        <w:rPr>
          <w:rFonts w:cs="Times New Roman"/>
        </w:rPr>
        <w:t>顺应人口变化趋势，基于资源环境承载能力合理确定并严格管控城镇建设用地总量，建设用地结构更趋合理，节约集约用地水平进一步提高。统筹山水林田湖草湿系统保护与利用，资源配置更加合理，利用效率大幅提高，</w:t>
      </w:r>
      <w:r>
        <w:rPr>
          <w:rFonts w:hint="eastAsia" w:cs="Times New Roman"/>
        </w:rPr>
        <w:t>能源矿产资源保障能力显著提升，</w:t>
      </w:r>
      <w:r>
        <w:rPr>
          <w:rFonts w:cs="Times New Roman"/>
        </w:rPr>
        <w:t>农业生产格局、方式与水土光热资源条件更加契合。到2025年，基本建成集约、绿色、低碳、循环的资源利用体系。</w:t>
      </w:r>
    </w:p>
    <w:p w14:paraId="6A805712">
      <w:pPr>
        <w:ind w:firstLine="643"/>
        <w:rPr>
          <w:rFonts w:cs="Times New Roman"/>
        </w:rPr>
      </w:pPr>
      <w:r>
        <w:rPr>
          <w:rFonts w:cs="Times New Roman"/>
          <w:b/>
          <w:bCs/>
        </w:rPr>
        <w:t>国土空间治理体系逐步健全。</w:t>
      </w:r>
      <w:r>
        <w:rPr>
          <w:rFonts w:cs="Times New Roman"/>
        </w:rPr>
        <w:t>创新体系更加完善，有为政府和有效市场更好结合，体制机制创新取得显著成效。到2025年，自然资源资产管理、国土空间用途管制、生态文明绩效评价考核等制度更加健全，基本形成以国土空间规划为基础，以统一用途管制为手段的国土空间开发保护制度。</w:t>
      </w:r>
    </w:p>
    <w:p w14:paraId="64E783C6">
      <w:pPr>
        <w:pStyle w:val="4"/>
        <w:numPr>
          <w:ilvl w:val="0"/>
          <w:numId w:val="0"/>
        </w:numPr>
        <w:ind w:left="640" w:leftChars="0"/>
        <w:rPr>
          <w:rFonts w:cs="Times New Roman"/>
        </w:rPr>
      </w:pPr>
      <w:r>
        <w:rPr>
          <w:rFonts w:hint="eastAsia" w:cs="Times New Roman"/>
          <w:lang w:val="en-US" w:eastAsia="zh-CN"/>
        </w:rPr>
        <w:t>3.2.2</w:t>
      </w:r>
      <w:r>
        <w:rPr>
          <w:rFonts w:cs="Times New Roman"/>
        </w:rPr>
        <w:t>近期目标</w:t>
      </w:r>
    </w:p>
    <w:p w14:paraId="60A1A1BF">
      <w:pPr>
        <w:ind w:firstLine="640"/>
        <w:rPr>
          <w:rFonts w:hint="eastAsia" w:cs="Times New Roman"/>
          <w:lang w:val="en-US" w:eastAsia="zh-CN"/>
        </w:rPr>
      </w:pPr>
      <w:r>
        <w:rPr>
          <w:rFonts w:hint="eastAsia" w:cs="Times New Roman"/>
        </w:rPr>
        <w:t>根据北甸子乡实际情况，从空间底线、空间结构与效率、空间品质三个方面制定规划近远期发展目标和规划指标。明确落实26个规划指标，其中9个约束性指标，17个预期性指标。</w:t>
      </w:r>
    </w:p>
    <w:p w14:paraId="33C7F5E9">
      <w:pPr>
        <w:adjustRightInd w:val="0"/>
        <w:snapToGrid w:val="0"/>
        <w:spacing w:line="600" w:lineRule="atLeast"/>
        <w:ind w:firstLine="0" w:firstLineChars="0"/>
        <w:jc w:val="center"/>
        <w:outlineLvl w:val="2"/>
        <w:rPr>
          <w:rFonts w:eastAsia="黑体" w:cs="Times New Roman"/>
          <w:sz w:val="28"/>
          <w:szCs w:val="21"/>
        </w:rPr>
      </w:pPr>
      <w:r>
        <w:rPr>
          <w:rFonts w:eastAsia="黑体" w:cs="Times New Roman"/>
          <w:sz w:val="28"/>
          <w:szCs w:val="21"/>
        </w:rPr>
        <w:t>表1规划指标体系表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939"/>
        <w:gridCol w:w="1677"/>
        <w:gridCol w:w="1259"/>
        <w:gridCol w:w="1259"/>
        <w:gridCol w:w="1107"/>
        <w:gridCol w:w="877"/>
        <w:gridCol w:w="889"/>
      </w:tblGrid>
      <w:tr w14:paraId="283C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306" w:type="pct"/>
          </w:tcPr>
          <w:p w14:paraId="4E03E9C8">
            <w:pPr>
              <w:spacing w:line="240" w:lineRule="auto"/>
              <w:ind w:firstLine="0" w:firstLineChars="0"/>
              <w:jc w:val="center"/>
              <w:rPr>
                <w:rFonts w:hint="eastAsia" w:ascii="等线" w:hAnsi="等线" w:eastAsia="仿宋" w:cs="Times New Roman"/>
                <w:b/>
                <w:bCs/>
                <w:sz w:val="21"/>
                <w:lang w:bidi="zh-CN"/>
              </w:rPr>
            </w:pPr>
            <w:r>
              <w:rPr>
                <w:rFonts w:hint="eastAsia" w:ascii="等线" w:hAnsi="等线" w:eastAsia="仿宋" w:cs="Times New Roman"/>
                <w:b/>
                <w:bCs/>
                <w:sz w:val="21"/>
                <w:lang w:bidi="zh-CN"/>
              </w:rPr>
              <w:t>编号</w:t>
            </w:r>
          </w:p>
        </w:tc>
        <w:tc>
          <w:tcPr>
            <w:tcW w:w="1534" w:type="pct"/>
            <w:gridSpan w:val="2"/>
          </w:tcPr>
          <w:p w14:paraId="1C379C2D">
            <w:pPr>
              <w:spacing w:line="240" w:lineRule="auto"/>
              <w:ind w:firstLine="0" w:firstLineChars="0"/>
              <w:jc w:val="center"/>
              <w:rPr>
                <w:rFonts w:hint="eastAsia" w:ascii="等线" w:hAnsi="等线" w:eastAsia="仿宋" w:cs="Times New Roman"/>
                <w:b/>
                <w:bCs/>
                <w:sz w:val="21"/>
                <w:lang w:bidi="zh-CN"/>
              </w:rPr>
            </w:pPr>
            <w:r>
              <w:rPr>
                <w:rFonts w:hint="eastAsia" w:ascii="等线" w:hAnsi="等线" w:eastAsia="仿宋" w:cs="Times New Roman"/>
                <w:b/>
                <w:bCs/>
                <w:sz w:val="21"/>
                <w:lang w:bidi="zh-CN"/>
              </w:rPr>
              <w:t>指标名称</w:t>
            </w:r>
          </w:p>
        </w:tc>
        <w:tc>
          <w:tcPr>
            <w:tcW w:w="738" w:type="pct"/>
          </w:tcPr>
          <w:p w14:paraId="49CAF466">
            <w:pPr>
              <w:spacing w:line="240" w:lineRule="auto"/>
              <w:ind w:firstLine="0" w:firstLineChars="0"/>
              <w:jc w:val="center"/>
              <w:rPr>
                <w:rFonts w:hint="eastAsia" w:ascii="等线" w:hAnsi="等线" w:eastAsia="仿宋" w:cs="Times New Roman"/>
                <w:b/>
                <w:bCs/>
                <w:sz w:val="21"/>
                <w:lang w:bidi="zh-CN"/>
              </w:rPr>
            </w:pPr>
            <w:r>
              <w:rPr>
                <w:rFonts w:hint="eastAsia" w:ascii="等线" w:hAnsi="等线" w:eastAsia="仿宋" w:cs="Times New Roman"/>
                <w:b/>
                <w:bCs/>
                <w:sz w:val="21"/>
                <w:lang w:bidi="zh-CN"/>
              </w:rPr>
              <w:t>规划基期年</w:t>
            </w:r>
          </w:p>
        </w:tc>
        <w:tc>
          <w:tcPr>
            <w:tcW w:w="738" w:type="pct"/>
          </w:tcPr>
          <w:p w14:paraId="1ADE19FD">
            <w:pPr>
              <w:spacing w:line="240" w:lineRule="auto"/>
              <w:ind w:firstLine="0" w:firstLineChars="0"/>
              <w:jc w:val="center"/>
              <w:rPr>
                <w:rFonts w:hint="eastAsia" w:ascii="等线" w:hAnsi="等线" w:eastAsia="仿宋" w:cs="Times New Roman"/>
                <w:b/>
                <w:bCs/>
                <w:sz w:val="21"/>
                <w:lang w:bidi="zh-CN"/>
              </w:rPr>
            </w:pPr>
            <w:r>
              <w:rPr>
                <w:rFonts w:hint="eastAsia" w:ascii="等线" w:hAnsi="等线" w:eastAsia="仿宋" w:cs="Times New Roman"/>
                <w:b/>
                <w:bCs/>
                <w:sz w:val="21"/>
                <w:lang w:bidi="zh-CN"/>
              </w:rPr>
              <w:t>规划近期年</w:t>
            </w:r>
          </w:p>
        </w:tc>
        <w:tc>
          <w:tcPr>
            <w:tcW w:w="649" w:type="pct"/>
          </w:tcPr>
          <w:p w14:paraId="40E5FDE0">
            <w:pPr>
              <w:spacing w:line="240" w:lineRule="auto"/>
              <w:ind w:firstLine="0" w:firstLineChars="0"/>
              <w:jc w:val="center"/>
              <w:rPr>
                <w:rFonts w:hint="eastAsia" w:ascii="等线" w:hAnsi="等线" w:eastAsia="仿宋" w:cs="Times New Roman"/>
                <w:b/>
                <w:bCs/>
                <w:sz w:val="21"/>
                <w:lang w:bidi="zh-CN"/>
              </w:rPr>
            </w:pPr>
            <w:r>
              <w:rPr>
                <w:rFonts w:hint="eastAsia" w:ascii="等线" w:hAnsi="等线" w:eastAsia="仿宋" w:cs="Times New Roman"/>
                <w:b/>
                <w:bCs/>
                <w:sz w:val="21"/>
                <w:lang w:bidi="zh-CN"/>
              </w:rPr>
              <w:t>规划目标年</w:t>
            </w:r>
          </w:p>
        </w:tc>
        <w:tc>
          <w:tcPr>
            <w:tcW w:w="514" w:type="pct"/>
          </w:tcPr>
          <w:p w14:paraId="001CFD23">
            <w:pPr>
              <w:spacing w:line="240" w:lineRule="auto"/>
              <w:ind w:firstLine="0" w:firstLineChars="0"/>
              <w:jc w:val="center"/>
              <w:rPr>
                <w:rFonts w:hint="eastAsia" w:ascii="等线" w:hAnsi="等线" w:eastAsia="仿宋" w:cs="Times New Roman"/>
                <w:b/>
                <w:bCs/>
                <w:sz w:val="21"/>
                <w:lang w:bidi="zh-CN"/>
              </w:rPr>
            </w:pPr>
            <w:r>
              <w:rPr>
                <w:rFonts w:hint="eastAsia" w:ascii="等线" w:hAnsi="等线" w:eastAsia="仿宋" w:cs="Times New Roman"/>
                <w:b/>
                <w:bCs/>
                <w:sz w:val="21"/>
                <w:lang w:bidi="zh-CN"/>
              </w:rPr>
              <w:t>指标属性</w:t>
            </w:r>
          </w:p>
        </w:tc>
        <w:tc>
          <w:tcPr>
            <w:tcW w:w="518" w:type="pct"/>
          </w:tcPr>
          <w:p w14:paraId="68716A7E">
            <w:pPr>
              <w:spacing w:line="240" w:lineRule="auto"/>
              <w:ind w:firstLine="0" w:firstLineChars="0"/>
              <w:jc w:val="center"/>
              <w:rPr>
                <w:rFonts w:hint="eastAsia" w:ascii="等线" w:hAnsi="等线" w:eastAsia="仿宋" w:cs="Times New Roman"/>
                <w:b/>
                <w:bCs/>
                <w:sz w:val="21"/>
                <w:lang w:bidi="zh-CN"/>
              </w:rPr>
            </w:pPr>
            <w:r>
              <w:rPr>
                <w:rFonts w:hint="eastAsia" w:ascii="等线" w:hAnsi="等线" w:eastAsia="仿宋" w:cs="Times New Roman"/>
                <w:b/>
                <w:bCs/>
                <w:sz w:val="21"/>
                <w:lang w:bidi="zh-CN"/>
              </w:rPr>
              <w:t>指标层级</w:t>
            </w:r>
          </w:p>
        </w:tc>
      </w:tr>
      <w:tr w14:paraId="2657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000" w:type="pct"/>
            <w:gridSpan w:val="8"/>
          </w:tcPr>
          <w:p w14:paraId="577778A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一、空间底线</w:t>
            </w:r>
          </w:p>
        </w:tc>
      </w:tr>
      <w:tr w14:paraId="0220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070D222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w:t>
            </w:r>
          </w:p>
        </w:tc>
        <w:tc>
          <w:tcPr>
            <w:tcW w:w="1534" w:type="pct"/>
            <w:gridSpan w:val="2"/>
            <w:vAlign w:val="center"/>
          </w:tcPr>
          <w:p w14:paraId="76DB394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耕地保有量（亩）</w:t>
            </w:r>
          </w:p>
        </w:tc>
        <w:tc>
          <w:tcPr>
            <w:tcW w:w="738" w:type="pct"/>
            <w:vAlign w:val="center"/>
          </w:tcPr>
          <w:p w14:paraId="734A243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25800</w:t>
            </w:r>
          </w:p>
        </w:tc>
        <w:tc>
          <w:tcPr>
            <w:tcW w:w="738" w:type="pct"/>
            <w:vAlign w:val="center"/>
          </w:tcPr>
          <w:p w14:paraId="0D2450B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25800</w:t>
            </w:r>
          </w:p>
        </w:tc>
        <w:tc>
          <w:tcPr>
            <w:tcW w:w="649" w:type="pct"/>
            <w:vAlign w:val="center"/>
          </w:tcPr>
          <w:p w14:paraId="42C1F22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≥25800</w:t>
            </w:r>
          </w:p>
        </w:tc>
        <w:tc>
          <w:tcPr>
            <w:tcW w:w="514" w:type="pct"/>
            <w:vAlign w:val="center"/>
          </w:tcPr>
          <w:p w14:paraId="74FE613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58A4595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1804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76E36FB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w:t>
            </w:r>
          </w:p>
        </w:tc>
        <w:tc>
          <w:tcPr>
            <w:tcW w:w="1534" w:type="pct"/>
            <w:gridSpan w:val="2"/>
            <w:vAlign w:val="center"/>
          </w:tcPr>
          <w:p w14:paraId="3F97D32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永久基本农田保护面积（亩）</w:t>
            </w:r>
          </w:p>
        </w:tc>
        <w:tc>
          <w:tcPr>
            <w:tcW w:w="738" w:type="pct"/>
            <w:vAlign w:val="center"/>
          </w:tcPr>
          <w:p w14:paraId="5E2A9CF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24700</w:t>
            </w:r>
          </w:p>
        </w:tc>
        <w:tc>
          <w:tcPr>
            <w:tcW w:w="738" w:type="pct"/>
            <w:vAlign w:val="center"/>
          </w:tcPr>
          <w:p w14:paraId="3655B7C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24700</w:t>
            </w:r>
          </w:p>
        </w:tc>
        <w:tc>
          <w:tcPr>
            <w:tcW w:w="649" w:type="pct"/>
            <w:vAlign w:val="center"/>
          </w:tcPr>
          <w:p w14:paraId="659C361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≥24700</w:t>
            </w:r>
          </w:p>
        </w:tc>
        <w:tc>
          <w:tcPr>
            <w:tcW w:w="514" w:type="pct"/>
            <w:vAlign w:val="center"/>
          </w:tcPr>
          <w:p w14:paraId="11B80D5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6B96D6A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07AB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22B350E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3</w:t>
            </w:r>
          </w:p>
        </w:tc>
        <w:tc>
          <w:tcPr>
            <w:tcW w:w="1534" w:type="pct"/>
            <w:gridSpan w:val="2"/>
            <w:vAlign w:val="center"/>
          </w:tcPr>
          <w:p w14:paraId="470D3DC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生态保护红线面积（公顷）</w:t>
            </w:r>
          </w:p>
        </w:tc>
        <w:tc>
          <w:tcPr>
            <w:tcW w:w="738" w:type="pct"/>
            <w:vAlign w:val="center"/>
          </w:tcPr>
          <w:p w14:paraId="099660C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5084.94</w:t>
            </w:r>
          </w:p>
        </w:tc>
        <w:tc>
          <w:tcPr>
            <w:tcW w:w="738" w:type="pct"/>
            <w:vAlign w:val="center"/>
          </w:tcPr>
          <w:p w14:paraId="5B7E700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5084.94</w:t>
            </w:r>
          </w:p>
        </w:tc>
        <w:tc>
          <w:tcPr>
            <w:tcW w:w="649" w:type="pct"/>
            <w:vAlign w:val="center"/>
          </w:tcPr>
          <w:p w14:paraId="199A203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5084.94</w:t>
            </w:r>
          </w:p>
        </w:tc>
        <w:tc>
          <w:tcPr>
            <w:tcW w:w="514" w:type="pct"/>
            <w:vAlign w:val="center"/>
          </w:tcPr>
          <w:p w14:paraId="38B571B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11DEA8A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2AB0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2DBF38B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4</w:t>
            </w:r>
          </w:p>
        </w:tc>
        <w:tc>
          <w:tcPr>
            <w:tcW w:w="1534" w:type="pct"/>
            <w:gridSpan w:val="2"/>
            <w:vAlign w:val="center"/>
          </w:tcPr>
          <w:p w14:paraId="189340D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自然保护地陆域面积占陆域国土面积比例（%）</w:t>
            </w:r>
          </w:p>
        </w:tc>
        <w:tc>
          <w:tcPr>
            <w:tcW w:w="738" w:type="pct"/>
            <w:vAlign w:val="center"/>
          </w:tcPr>
          <w:p w14:paraId="6FB7068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10.5</w:t>
            </w:r>
          </w:p>
        </w:tc>
        <w:tc>
          <w:tcPr>
            <w:tcW w:w="738" w:type="pct"/>
            <w:vAlign w:val="center"/>
          </w:tcPr>
          <w:p w14:paraId="5880840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10.5</w:t>
            </w:r>
          </w:p>
        </w:tc>
        <w:tc>
          <w:tcPr>
            <w:tcW w:w="649" w:type="pct"/>
            <w:vAlign w:val="center"/>
          </w:tcPr>
          <w:p w14:paraId="7879C15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≥10.5</w:t>
            </w:r>
          </w:p>
        </w:tc>
        <w:tc>
          <w:tcPr>
            <w:tcW w:w="514" w:type="pct"/>
            <w:vAlign w:val="center"/>
          </w:tcPr>
          <w:p w14:paraId="1613F48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54E4EA8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3B9A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33E23B5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w:t>
            </w:r>
          </w:p>
        </w:tc>
        <w:tc>
          <w:tcPr>
            <w:tcW w:w="1534" w:type="pct"/>
            <w:gridSpan w:val="2"/>
            <w:vAlign w:val="center"/>
          </w:tcPr>
          <w:p w14:paraId="6A03E4D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森林覆盖率（%）</w:t>
            </w:r>
          </w:p>
        </w:tc>
        <w:tc>
          <w:tcPr>
            <w:tcW w:w="738" w:type="pct"/>
            <w:vAlign w:val="center"/>
          </w:tcPr>
          <w:p w14:paraId="64E7EF0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1F12C39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649" w:type="pct"/>
            <w:vAlign w:val="center"/>
          </w:tcPr>
          <w:p w14:paraId="27D53CA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514" w:type="pct"/>
            <w:vAlign w:val="center"/>
          </w:tcPr>
          <w:p w14:paraId="3B8B618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0BD7A53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6728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7006E46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6</w:t>
            </w:r>
          </w:p>
        </w:tc>
        <w:tc>
          <w:tcPr>
            <w:tcW w:w="1534" w:type="pct"/>
            <w:gridSpan w:val="2"/>
            <w:vAlign w:val="center"/>
          </w:tcPr>
          <w:p w14:paraId="7DCC1EF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草原综合植被盖度（%）</w:t>
            </w:r>
          </w:p>
        </w:tc>
        <w:tc>
          <w:tcPr>
            <w:tcW w:w="738" w:type="pct"/>
            <w:vAlign w:val="center"/>
          </w:tcPr>
          <w:p w14:paraId="410C1F5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2A40D7B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649" w:type="pct"/>
            <w:vAlign w:val="center"/>
          </w:tcPr>
          <w:p w14:paraId="4FD0B0A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514" w:type="pct"/>
            <w:vAlign w:val="center"/>
          </w:tcPr>
          <w:p w14:paraId="0D01A9B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654404A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6013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3D3E938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w:t>
            </w:r>
          </w:p>
        </w:tc>
        <w:tc>
          <w:tcPr>
            <w:tcW w:w="1534" w:type="pct"/>
            <w:gridSpan w:val="2"/>
            <w:vAlign w:val="center"/>
          </w:tcPr>
          <w:p w14:paraId="58992C6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湿地保护率（%）</w:t>
            </w:r>
          </w:p>
        </w:tc>
        <w:tc>
          <w:tcPr>
            <w:tcW w:w="738" w:type="pct"/>
            <w:vAlign w:val="center"/>
          </w:tcPr>
          <w:p w14:paraId="2820BE6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5884CAA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649" w:type="pct"/>
            <w:vAlign w:val="center"/>
          </w:tcPr>
          <w:p w14:paraId="7906450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514" w:type="pct"/>
            <w:vAlign w:val="center"/>
          </w:tcPr>
          <w:p w14:paraId="512136F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41156EC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7A5F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2A48CB1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w:t>
            </w:r>
          </w:p>
        </w:tc>
        <w:tc>
          <w:tcPr>
            <w:tcW w:w="1534" w:type="pct"/>
            <w:gridSpan w:val="2"/>
            <w:vAlign w:val="center"/>
          </w:tcPr>
          <w:p w14:paraId="0240A1B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水域空间保有量（公顷）</w:t>
            </w:r>
          </w:p>
        </w:tc>
        <w:tc>
          <w:tcPr>
            <w:tcW w:w="738" w:type="pct"/>
            <w:vAlign w:val="center"/>
          </w:tcPr>
          <w:p w14:paraId="3EE0896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010EC70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649" w:type="pct"/>
            <w:vAlign w:val="center"/>
          </w:tcPr>
          <w:p w14:paraId="75E460E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514" w:type="pct"/>
            <w:vAlign w:val="center"/>
          </w:tcPr>
          <w:p w14:paraId="0949428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3E0774A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38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56A1598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9</w:t>
            </w:r>
          </w:p>
        </w:tc>
        <w:tc>
          <w:tcPr>
            <w:tcW w:w="1534" w:type="pct"/>
            <w:gridSpan w:val="2"/>
            <w:vAlign w:val="center"/>
          </w:tcPr>
          <w:p w14:paraId="75B2E10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用水总量（亿立方米）</w:t>
            </w:r>
          </w:p>
        </w:tc>
        <w:tc>
          <w:tcPr>
            <w:tcW w:w="738" w:type="pct"/>
            <w:vAlign w:val="center"/>
          </w:tcPr>
          <w:p w14:paraId="45646BF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460D998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649" w:type="pct"/>
            <w:vAlign w:val="center"/>
          </w:tcPr>
          <w:p w14:paraId="311DDA4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514" w:type="pct"/>
            <w:vAlign w:val="center"/>
          </w:tcPr>
          <w:p w14:paraId="5D9CC84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2FE4A47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3221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0381A4D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10</w:t>
            </w:r>
          </w:p>
        </w:tc>
        <w:tc>
          <w:tcPr>
            <w:tcW w:w="1534" w:type="pct"/>
            <w:gridSpan w:val="2"/>
            <w:vAlign w:val="center"/>
          </w:tcPr>
          <w:p w14:paraId="1D26426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城镇开发边界扩展倍数</w:t>
            </w:r>
          </w:p>
        </w:tc>
        <w:tc>
          <w:tcPr>
            <w:tcW w:w="738" w:type="pct"/>
            <w:vAlign w:val="center"/>
          </w:tcPr>
          <w:p w14:paraId="6B98005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1637AB2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649" w:type="pct"/>
            <w:vAlign w:val="center"/>
          </w:tcPr>
          <w:p w14:paraId="0DE1C88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514" w:type="pct"/>
            <w:vAlign w:val="center"/>
          </w:tcPr>
          <w:p w14:paraId="528B33A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5878152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7169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0A619D9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11</w:t>
            </w:r>
          </w:p>
        </w:tc>
        <w:tc>
          <w:tcPr>
            <w:tcW w:w="1534" w:type="pct"/>
            <w:gridSpan w:val="2"/>
            <w:vAlign w:val="center"/>
          </w:tcPr>
          <w:p w14:paraId="3844EBC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城镇开发边界规模（公顷）</w:t>
            </w:r>
          </w:p>
        </w:tc>
        <w:tc>
          <w:tcPr>
            <w:tcW w:w="738" w:type="pct"/>
            <w:vAlign w:val="center"/>
          </w:tcPr>
          <w:p w14:paraId="5676817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u w:val="none"/>
                <w:lang w:bidi="zh-CN"/>
              </w:rPr>
              <w:t>41.39</w:t>
            </w:r>
          </w:p>
        </w:tc>
        <w:tc>
          <w:tcPr>
            <w:tcW w:w="738" w:type="pct"/>
            <w:shd w:val="clear" w:color="auto" w:fill="auto"/>
            <w:vAlign w:val="center"/>
          </w:tcPr>
          <w:p w14:paraId="49269CC8">
            <w:pPr>
              <w:spacing w:line="240" w:lineRule="auto"/>
              <w:ind w:firstLine="0" w:firstLineChars="0"/>
              <w:jc w:val="center"/>
              <w:rPr>
                <w:rFonts w:hint="eastAsia" w:ascii="等线" w:hAnsi="等线" w:eastAsia="仿宋" w:cs="Times New Roman"/>
                <w:kern w:val="2"/>
                <w:sz w:val="21"/>
                <w:szCs w:val="22"/>
                <w:lang w:val="en-US" w:eastAsia="zh-CN" w:bidi="zh-CN"/>
              </w:rPr>
            </w:pPr>
            <w:r>
              <w:rPr>
                <w:rFonts w:hint="eastAsia" w:ascii="等线" w:hAnsi="等线" w:eastAsia="仿宋" w:cs="Times New Roman"/>
                <w:sz w:val="21"/>
                <w:u w:val="none"/>
                <w:lang w:bidi="zh-CN"/>
              </w:rPr>
              <w:t>41.39</w:t>
            </w:r>
          </w:p>
        </w:tc>
        <w:tc>
          <w:tcPr>
            <w:tcW w:w="649" w:type="pct"/>
            <w:shd w:val="clear" w:color="auto" w:fill="auto"/>
            <w:vAlign w:val="center"/>
          </w:tcPr>
          <w:p w14:paraId="4D5462A8">
            <w:pPr>
              <w:spacing w:line="240" w:lineRule="auto"/>
              <w:ind w:firstLine="0" w:firstLineChars="0"/>
              <w:jc w:val="center"/>
              <w:rPr>
                <w:rFonts w:hint="eastAsia" w:ascii="等线" w:hAnsi="等线" w:eastAsia="仿宋" w:cs="Times New Roman"/>
                <w:kern w:val="2"/>
                <w:sz w:val="21"/>
                <w:szCs w:val="22"/>
                <w:lang w:val="en-US" w:eastAsia="zh-CN" w:bidi="zh-CN"/>
              </w:rPr>
            </w:pPr>
            <w:r>
              <w:rPr>
                <w:rFonts w:hint="eastAsia" w:ascii="等线" w:hAnsi="等线" w:eastAsia="仿宋" w:cs="Times New Roman"/>
                <w:sz w:val="21"/>
                <w:u w:val="none"/>
                <w:lang w:bidi="zh-CN"/>
              </w:rPr>
              <w:t>41.39</w:t>
            </w:r>
          </w:p>
        </w:tc>
        <w:tc>
          <w:tcPr>
            <w:tcW w:w="514" w:type="pct"/>
            <w:vAlign w:val="center"/>
          </w:tcPr>
          <w:p w14:paraId="01D7A80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2D27117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66E6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2CBF105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12</w:t>
            </w:r>
          </w:p>
        </w:tc>
        <w:tc>
          <w:tcPr>
            <w:tcW w:w="1534" w:type="pct"/>
            <w:gridSpan w:val="2"/>
            <w:vAlign w:val="center"/>
          </w:tcPr>
          <w:p w14:paraId="10EA429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自然和文化遗产（处）</w:t>
            </w:r>
          </w:p>
        </w:tc>
        <w:tc>
          <w:tcPr>
            <w:tcW w:w="738" w:type="pct"/>
            <w:vAlign w:val="center"/>
          </w:tcPr>
          <w:p w14:paraId="0A52082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w:t>
            </w:r>
          </w:p>
        </w:tc>
        <w:tc>
          <w:tcPr>
            <w:tcW w:w="738" w:type="pct"/>
            <w:vAlign w:val="center"/>
          </w:tcPr>
          <w:p w14:paraId="3DD77F7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w:t>
            </w:r>
          </w:p>
        </w:tc>
        <w:tc>
          <w:tcPr>
            <w:tcW w:w="649" w:type="pct"/>
            <w:vAlign w:val="center"/>
          </w:tcPr>
          <w:p w14:paraId="6930E52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w:t>
            </w:r>
          </w:p>
        </w:tc>
        <w:tc>
          <w:tcPr>
            <w:tcW w:w="514" w:type="pct"/>
            <w:vAlign w:val="center"/>
          </w:tcPr>
          <w:p w14:paraId="3C12FD9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56A6F9B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7E89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000" w:type="pct"/>
            <w:gridSpan w:val="8"/>
            <w:vAlign w:val="center"/>
          </w:tcPr>
          <w:p w14:paraId="28D6A7D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二、结构效率</w:t>
            </w:r>
          </w:p>
        </w:tc>
      </w:tr>
      <w:tr w14:paraId="611E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3A4D118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13</w:t>
            </w:r>
          </w:p>
        </w:tc>
        <w:tc>
          <w:tcPr>
            <w:tcW w:w="1534" w:type="pct"/>
            <w:gridSpan w:val="2"/>
            <w:vAlign w:val="center"/>
          </w:tcPr>
          <w:p w14:paraId="3203E4D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常住人口规模（万人）</w:t>
            </w:r>
          </w:p>
        </w:tc>
        <w:tc>
          <w:tcPr>
            <w:tcW w:w="738" w:type="pct"/>
            <w:vAlign w:val="center"/>
          </w:tcPr>
          <w:p w14:paraId="0FF7E86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1.023</w:t>
            </w:r>
          </w:p>
        </w:tc>
        <w:tc>
          <w:tcPr>
            <w:tcW w:w="738" w:type="pct"/>
            <w:vAlign w:val="center"/>
          </w:tcPr>
          <w:p w14:paraId="3E00784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1.1</w:t>
            </w:r>
          </w:p>
        </w:tc>
        <w:tc>
          <w:tcPr>
            <w:tcW w:w="649" w:type="pct"/>
            <w:vAlign w:val="center"/>
          </w:tcPr>
          <w:p w14:paraId="52C979D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1.2</w:t>
            </w:r>
          </w:p>
        </w:tc>
        <w:tc>
          <w:tcPr>
            <w:tcW w:w="514" w:type="pct"/>
            <w:vAlign w:val="center"/>
          </w:tcPr>
          <w:p w14:paraId="3AB5A4C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746D3E7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5ADB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7699D43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14</w:t>
            </w:r>
          </w:p>
        </w:tc>
        <w:tc>
          <w:tcPr>
            <w:tcW w:w="1534" w:type="pct"/>
            <w:gridSpan w:val="2"/>
            <w:vAlign w:val="center"/>
          </w:tcPr>
          <w:p w14:paraId="5C45001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常住人口城镇化率（%）</w:t>
            </w:r>
          </w:p>
        </w:tc>
        <w:tc>
          <w:tcPr>
            <w:tcW w:w="738" w:type="pct"/>
            <w:vAlign w:val="center"/>
          </w:tcPr>
          <w:p w14:paraId="4A2429F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43</w:t>
            </w:r>
          </w:p>
        </w:tc>
        <w:tc>
          <w:tcPr>
            <w:tcW w:w="738" w:type="pct"/>
            <w:vAlign w:val="center"/>
          </w:tcPr>
          <w:p w14:paraId="1B989C9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48</w:t>
            </w:r>
          </w:p>
        </w:tc>
        <w:tc>
          <w:tcPr>
            <w:tcW w:w="649" w:type="pct"/>
            <w:vAlign w:val="center"/>
          </w:tcPr>
          <w:p w14:paraId="0395FF4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57</w:t>
            </w:r>
          </w:p>
        </w:tc>
        <w:tc>
          <w:tcPr>
            <w:tcW w:w="514" w:type="pct"/>
            <w:vAlign w:val="center"/>
          </w:tcPr>
          <w:p w14:paraId="0DC77D1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021FDC8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2310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07C16C6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15</w:t>
            </w:r>
          </w:p>
        </w:tc>
        <w:tc>
          <w:tcPr>
            <w:tcW w:w="1534" w:type="pct"/>
            <w:gridSpan w:val="2"/>
            <w:vAlign w:val="center"/>
          </w:tcPr>
          <w:p w14:paraId="416ADC7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人均城镇建设用地面积（平方米）</w:t>
            </w:r>
          </w:p>
        </w:tc>
        <w:tc>
          <w:tcPr>
            <w:tcW w:w="738" w:type="pct"/>
            <w:vAlign w:val="center"/>
          </w:tcPr>
          <w:p w14:paraId="620519B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60</w:t>
            </w:r>
          </w:p>
        </w:tc>
        <w:tc>
          <w:tcPr>
            <w:tcW w:w="738" w:type="pct"/>
            <w:vAlign w:val="center"/>
          </w:tcPr>
          <w:p w14:paraId="6323F21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≤66</w:t>
            </w:r>
          </w:p>
        </w:tc>
        <w:tc>
          <w:tcPr>
            <w:tcW w:w="649" w:type="pct"/>
            <w:vAlign w:val="center"/>
          </w:tcPr>
          <w:p w14:paraId="7BCE194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≤74.99</w:t>
            </w:r>
          </w:p>
        </w:tc>
        <w:tc>
          <w:tcPr>
            <w:tcW w:w="514" w:type="pct"/>
            <w:vAlign w:val="center"/>
          </w:tcPr>
          <w:p w14:paraId="38B1025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7F39738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169F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040F4B8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16</w:t>
            </w:r>
          </w:p>
        </w:tc>
        <w:tc>
          <w:tcPr>
            <w:tcW w:w="1534" w:type="pct"/>
            <w:gridSpan w:val="2"/>
            <w:vAlign w:val="center"/>
          </w:tcPr>
          <w:p w14:paraId="37888F9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人均应急避难场所面积（平方米）</w:t>
            </w:r>
          </w:p>
        </w:tc>
        <w:tc>
          <w:tcPr>
            <w:tcW w:w="738" w:type="pct"/>
            <w:vAlign w:val="center"/>
          </w:tcPr>
          <w:p w14:paraId="7B2F604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0.49</w:t>
            </w:r>
          </w:p>
        </w:tc>
        <w:tc>
          <w:tcPr>
            <w:tcW w:w="738" w:type="pct"/>
            <w:vAlign w:val="center"/>
          </w:tcPr>
          <w:p w14:paraId="1211D31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≥1.5</w:t>
            </w:r>
          </w:p>
        </w:tc>
        <w:tc>
          <w:tcPr>
            <w:tcW w:w="649" w:type="pct"/>
            <w:vAlign w:val="center"/>
          </w:tcPr>
          <w:p w14:paraId="74C10CC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≥1.5</w:t>
            </w:r>
          </w:p>
        </w:tc>
        <w:tc>
          <w:tcPr>
            <w:tcW w:w="514" w:type="pct"/>
            <w:vAlign w:val="center"/>
          </w:tcPr>
          <w:p w14:paraId="356247E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5A4D0BA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7CA7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636E219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17</w:t>
            </w:r>
          </w:p>
        </w:tc>
        <w:tc>
          <w:tcPr>
            <w:tcW w:w="1534" w:type="pct"/>
            <w:gridSpan w:val="2"/>
            <w:vAlign w:val="center"/>
          </w:tcPr>
          <w:p w14:paraId="5A2AA8F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道路网密度（公里/平方公里）</w:t>
            </w:r>
          </w:p>
        </w:tc>
        <w:tc>
          <w:tcPr>
            <w:tcW w:w="738" w:type="pct"/>
            <w:vAlign w:val="center"/>
          </w:tcPr>
          <w:p w14:paraId="2DEC366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3.97</w:t>
            </w:r>
          </w:p>
        </w:tc>
        <w:tc>
          <w:tcPr>
            <w:tcW w:w="738" w:type="pct"/>
            <w:vAlign w:val="center"/>
          </w:tcPr>
          <w:p w14:paraId="2A2108F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≥6</w:t>
            </w:r>
          </w:p>
        </w:tc>
        <w:tc>
          <w:tcPr>
            <w:tcW w:w="649" w:type="pct"/>
            <w:vAlign w:val="center"/>
          </w:tcPr>
          <w:p w14:paraId="1D04F80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w:t>
            </w:r>
          </w:p>
        </w:tc>
        <w:tc>
          <w:tcPr>
            <w:tcW w:w="514" w:type="pct"/>
            <w:vAlign w:val="center"/>
          </w:tcPr>
          <w:p w14:paraId="5ECA87C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452A6FA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4D35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3F5833C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18</w:t>
            </w:r>
          </w:p>
        </w:tc>
        <w:tc>
          <w:tcPr>
            <w:tcW w:w="1534" w:type="pct"/>
            <w:gridSpan w:val="2"/>
            <w:vAlign w:val="center"/>
          </w:tcPr>
          <w:p w14:paraId="4F35C8F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每万元地区生产总值用水下降（%）</w:t>
            </w:r>
          </w:p>
        </w:tc>
        <w:tc>
          <w:tcPr>
            <w:tcW w:w="738" w:type="pct"/>
            <w:vAlign w:val="center"/>
          </w:tcPr>
          <w:p w14:paraId="4547186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08868A7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649" w:type="pct"/>
            <w:vAlign w:val="center"/>
          </w:tcPr>
          <w:p w14:paraId="0140F4A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514" w:type="pct"/>
            <w:vAlign w:val="center"/>
          </w:tcPr>
          <w:p w14:paraId="26E13BA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6F7ECDA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67F7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Align w:val="center"/>
          </w:tcPr>
          <w:p w14:paraId="386C649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19</w:t>
            </w:r>
          </w:p>
        </w:tc>
        <w:tc>
          <w:tcPr>
            <w:tcW w:w="1534" w:type="pct"/>
            <w:gridSpan w:val="2"/>
            <w:vAlign w:val="center"/>
          </w:tcPr>
          <w:p w14:paraId="358A762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单位地区生产总值建设用地使用面积下降（%）</w:t>
            </w:r>
          </w:p>
        </w:tc>
        <w:tc>
          <w:tcPr>
            <w:tcW w:w="738" w:type="pct"/>
            <w:vAlign w:val="center"/>
          </w:tcPr>
          <w:p w14:paraId="1B1D25E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w:t>
            </w:r>
          </w:p>
        </w:tc>
        <w:tc>
          <w:tcPr>
            <w:tcW w:w="738" w:type="pct"/>
            <w:vAlign w:val="center"/>
          </w:tcPr>
          <w:p w14:paraId="105EFC2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649" w:type="pct"/>
            <w:vAlign w:val="center"/>
          </w:tcPr>
          <w:p w14:paraId="5CF824F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依据上级下达任务确定</w:t>
            </w:r>
          </w:p>
        </w:tc>
        <w:tc>
          <w:tcPr>
            <w:tcW w:w="514" w:type="pct"/>
            <w:vAlign w:val="center"/>
          </w:tcPr>
          <w:p w14:paraId="5809299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5F043BB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13CA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000" w:type="pct"/>
            <w:gridSpan w:val="8"/>
            <w:vAlign w:val="center"/>
          </w:tcPr>
          <w:p w14:paraId="6CC6B58E">
            <w:pPr>
              <w:spacing w:line="240" w:lineRule="auto"/>
              <w:ind w:firstLine="0" w:firstLineChars="0"/>
              <w:jc w:val="center"/>
              <w:rPr>
                <w:rFonts w:hint="eastAsia" w:ascii="等线" w:hAnsi="等线"/>
              </w:rPr>
            </w:pPr>
            <w:r>
              <w:rPr>
                <w:rFonts w:hint="eastAsia" w:ascii="等线" w:hAnsi="等线" w:eastAsia="仿宋" w:cs="Times New Roman"/>
                <w:sz w:val="21"/>
                <w:lang w:bidi="zh-CN"/>
              </w:rPr>
              <w:t>三、空间品质</w:t>
            </w:r>
          </w:p>
        </w:tc>
      </w:tr>
      <w:tr w14:paraId="15E4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155CE56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20</w:t>
            </w:r>
          </w:p>
        </w:tc>
        <w:tc>
          <w:tcPr>
            <w:tcW w:w="1534" w:type="pct"/>
            <w:gridSpan w:val="2"/>
            <w:vAlign w:val="center"/>
          </w:tcPr>
          <w:p w14:paraId="056890D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公园绿地、广场步行5分钟覆盖率（%）</w:t>
            </w:r>
          </w:p>
        </w:tc>
        <w:tc>
          <w:tcPr>
            <w:tcW w:w="738" w:type="pct"/>
            <w:vAlign w:val="center"/>
          </w:tcPr>
          <w:p w14:paraId="6766175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32.64</w:t>
            </w:r>
          </w:p>
        </w:tc>
        <w:tc>
          <w:tcPr>
            <w:tcW w:w="738" w:type="pct"/>
            <w:vAlign w:val="center"/>
          </w:tcPr>
          <w:p w14:paraId="7D49647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≥45</w:t>
            </w:r>
          </w:p>
        </w:tc>
        <w:tc>
          <w:tcPr>
            <w:tcW w:w="649" w:type="pct"/>
            <w:vAlign w:val="center"/>
          </w:tcPr>
          <w:p w14:paraId="3E3A352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≥75</w:t>
            </w:r>
          </w:p>
        </w:tc>
        <w:tc>
          <w:tcPr>
            <w:tcW w:w="514" w:type="pct"/>
            <w:vAlign w:val="center"/>
          </w:tcPr>
          <w:p w14:paraId="242ED5A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约束性</w:t>
            </w:r>
          </w:p>
        </w:tc>
        <w:tc>
          <w:tcPr>
            <w:tcW w:w="518" w:type="pct"/>
            <w:vAlign w:val="center"/>
          </w:tcPr>
          <w:p w14:paraId="1F88287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6637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Merge w:val="restart"/>
            <w:vAlign w:val="center"/>
          </w:tcPr>
          <w:p w14:paraId="505CBC0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21</w:t>
            </w:r>
          </w:p>
        </w:tc>
        <w:tc>
          <w:tcPr>
            <w:tcW w:w="551" w:type="pct"/>
            <w:vMerge w:val="restart"/>
            <w:vAlign w:val="center"/>
          </w:tcPr>
          <w:p w14:paraId="3739E71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卫生、养老、教育、文化、体育等社区公共服务设施步行15分钟覆盖率（%）</w:t>
            </w:r>
          </w:p>
        </w:tc>
        <w:tc>
          <w:tcPr>
            <w:tcW w:w="983" w:type="pct"/>
            <w:vAlign w:val="center"/>
          </w:tcPr>
          <w:p w14:paraId="37CB558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社区卫生服务设施步行15分钟覆盖率（%）</w:t>
            </w:r>
          </w:p>
        </w:tc>
        <w:tc>
          <w:tcPr>
            <w:tcW w:w="738" w:type="pct"/>
            <w:vAlign w:val="center"/>
          </w:tcPr>
          <w:p w14:paraId="3A5BE70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46.53</w:t>
            </w:r>
          </w:p>
        </w:tc>
        <w:tc>
          <w:tcPr>
            <w:tcW w:w="738" w:type="pct"/>
            <w:vAlign w:val="center"/>
          </w:tcPr>
          <w:p w14:paraId="2A223E4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≥55</w:t>
            </w:r>
          </w:p>
        </w:tc>
        <w:tc>
          <w:tcPr>
            <w:tcW w:w="649" w:type="pct"/>
            <w:vAlign w:val="center"/>
          </w:tcPr>
          <w:p w14:paraId="5998477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≥70</w:t>
            </w:r>
          </w:p>
        </w:tc>
        <w:tc>
          <w:tcPr>
            <w:tcW w:w="514" w:type="pct"/>
            <w:vAlign w:val="center"/>
          </w:tcPr>
          <w:p w14:paraId="1F51740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6B5EF39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7651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Merge w:val="continue"/>
            <w:vAlign w:val="center"/>
          </w:tcPr>
          <w:p w14:paraId="36380B97">
            <w:pPr>
              <w:spacing w:line="240" w:lineRule="auto"/>
              <w:ind w:firstLine="0" w:firstLineChars="0"/>
              <w:jc w:val="center"/>
              <w:rPr>
                <w:rFonts w:hint="eastAsia" w:ascii="等线" w:hAnsi="等线" w:eastAsia="仿宋" w:cs="Times New Roman"/>
                <w:sz w:val="21"/>
                <w:lang w:bidi="zh-CN"/>
              </w:rPr>
            </w:pPr>
          </w:p>
        </w:tc>
        <w:tc>
          <w:tcPr>
            <w:tcW w:w="551" w:type="pct"/>
            <w:vMerge w:val="continue"/>
            <w:vAlign w:val="center"/>
          </w:tcPr>
          <w:p w14:paraId="205CD24A">
            <w:pPr>
              <w:spacing w:line="240" w:lineRule="auto"/>
              <w:ind w:firstLine="0" w:firstLineChars="0"/>
              <w:jc w:val="center"/>
              <w:rPr>
                <w:rFonts w:hint="eastAsia" w:ascii="等线" w:hAnsi="等线" w:eastAsia="仿宋" w:cs="Times New Roman"/>
                <w:sz w:val="21"/>
                <w:lang w:bidi="zh-CN"/>
              </w:rPr>
            </w:pPr>
          </w:p>
        </w:tc>
        <w:tc>
          <w:tcPr>
            <w:tcW w:w="983" w:type="pct"/>
            <w:vAlign w:val="center"/>
          </w:tcPr>
          <w:p w14:paraId="30B905C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社区养老设施步行15分钟覆盖率（%）</w:t>
            </w:r>
          </w:p>
        </w:tc>
        <w:tc>
          <w:tcPr>
            <w:tcW w:w="738" w:type="pct"/>
            <w:vAlign w:val="center"/>
          </w:tcPr>
          <w:p w14:paraId="4A505BA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39</w:t>
            </w:r>
          </w:p>
        </w:tc>
        <w:tc>
          <w:tcPr>
            <w:tcW w:w="738" w:type="pct"/>
            <w:vAlign w:val="center"/>
          </w:tcPr>
          <w:p w14:paraId="49203FE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≥38</w:t>
            </w:r>
          </w:p>
        </w:tc>
        <w:tc>
          <w:tcPr>
            <w:tcW w:w="649" w:type="pct"/>
            <w:vAlign w:val="center"/>
          </w:tcPr>
          <w:p w14:paraId="1910128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≥80</w:t>
            </w:r>
          </w:p>
        </w:tc>
        <w:tc>
          <w:tcPr>
            <w:tcW w:w="514" w:type="pct"/>
            <w:vAlign w:val="center"/>
          </w:tcPr>
          <w:p w14:paraId="67BEC2F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6E40E7C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6EBE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Merge w:val="continue"/>
            <w:vAlign w:val="center"/>
          </w:tcPr>
          <w:p w14:paraId="32ABB3CE">
            <w:pPr>
              <w:spacing w:line="240" w:lineRule="auto"/>
              <w:ind w:firstLine="0" w:firstLineChars="0"/>
              <w:jc w:val="center"/>
              <w:rPr>
                <w:rFonts w:hint="eastAsia" w:ascii="等线" w:hAnsi="等线" w:eastAsia="仿宋" w:cs="Times New Roman"/>
                <w:sz w:val="21"/>
                <w:lang w:bidi="zh-CN"/>
              </w:rPr>
            </w:pPr>
          </w:p>
        </w:tc>
        <w:tc>
          <w:tcPr>
            <w:tcW w:w="551" w:type="pct"/>
            <w:vMerge w:val="continue"/>
            <w:vAlign w:val="center"/>
          </w:tcPr>
          <w:p w14:paraId="67BCB3FD">
            <w:pPr>
              <w:spacing w:line="240" w:lineRule="auto"/>
              <w:ind w:firstLine="0" w:firstLineChars="0"/>
              <w:jc w:val="center"/>
              <w:rPr>
                <w:rFonts w:hint="eastAsia" w:ascii="等线" w:hAnsi="等线" w:eastAsia="仿宋" w:cs="Times New Roman"/>
                <w:sz w:val="21"/>
                <w:lang w:bidi="zh-CN"/>
              </w:rPr>
            </w:pPr>
          </w:p>
        </w:tc>
        <w:tc>
          <w:tcPr>
            <w:tcW w:w="983" w:type="pct"/>
            <w:vAlign w:val="center"/>
          </w:tcPr>
          <w:p w14:paraId="0A1512E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社区教育设施步行15分钟覆盖率（%）</w:t>
            </w:r>
          </w:p>
        </w:tc>
        <w:tc>
          <w:tcPr>
            <w:tcW w:w="738" w:type="pct"/>
            <w:vAlign w:val="center"/>
          </w:tcPr>
          <w:p w14:paraId="02260F1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81</w:t>
            </w:r>
          </w:p>
        </w:tc>
        <w:tc>
          <w:tcPr>
            <w:tcW w:w="738" w:type="pct"/>
            <w:vAlign w:val="center"/>
          </w:tcPr>
          <w:p w14:paraId="573B7F1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≥85</w:t>
            </w:r>
          </w:p>
        </w:tc>
        <w:tc>
          <w:tcPr>
            <w:tcW w:w="649" w:type="pct"/>
            <w:vAlign w:val="center"/>
          </w:tcPr>
          <w:p w14:paraId="65FC320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≥85</w:t>
            </w:r>
          </w:p>
        </w:tc>
        <w:tc>
          <w:tcPr>
            <w:tcW w:w="514" w:type="pct"/>
            <w:vAlign w:val="center"/>
          </w:tcPr>
          <w:p w14:paraId="6144D1E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2378E50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3244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Merge w:val="continue"/>
            <w:vAlign w:val="center"/>
          </w:tcPr>
          <w:p w14:paraId="46255BCC">
            <w:pPr>
              <w:spacing w:line="240" w:lineRule="auto"/>
              <w:ind w:firstLine="0" w:firstLineChars="0"/>
              <w:jc w:val="center"/>
              <w:rPr>
                <w:rFonts w:hint="eastAsia" w:ascii="等线" w:hAnsi="等线" w:eastAsia="仿宋" w:cs="Times New Roman"/>
                <w:sz w:val="21"/>
                <w:lang w:bidi="zh-CN"/>
              </w:rPr>
            </w:pPr>
          </w:p>
        </w:tc>
        <w:tc>
          <w:tcPr>
            <w:tcW w:w="551" w:type="pct"/>
            <w:vMerge w:val="continue"/>
            <w:vAlign w:val="center"/>
          </w:tcPr>
          <w:p w14:paraId="6187FC0C">
            <w:pPr>
              <w:spacing w:line="240" w:lineRule="auto"/>
              <w:ind w:firstLine="0" w:firstLineChars="0"/>
              <w:jc w:val="center"/>
              <w:rPr>
                <w:rFonts w:hint="eastAsia" w:ascii="等线" w:hAnsi="等线" w:eastAsia="仿宋" w:cs="Times New Roman"/>
                <w:sz w:val="21"/>
                <w:lang w:bidi="zh-CN"/>
              </w:rPr>
            </w:pPr>
          </w:p>
        </w:tc>
        <w:tc>
          <w:tcPr>
            <w:tcW w:w="983" w:type="pct"/>
            <w:vAlign w:val="center"/>
          </w:tcPr>
          <w:p w14:paraId="70EFBED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社区文化活动设施步行15分钟覆盖率（%）</w:t>
            </w:r>
          </w:p>
        </w:tc>
        <w:tc>
          <w:tcPr>
            <w:tcW w:w="738" w:type="pct"/>
            <w:vAlign w:val="center"/>
          </w:tcPr>
          <w:p w14:paraId="5AA82CA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50.21</w:t>
            </w:r>
          </w:p>
        </w:tc>
        <w:tc>
          <w:tcPr>
            <w:tcW w:w="738" w:type="pct"/>
            <w:vAlign w:val="center"/>
          </w:tcPr>
          <w:p w14:paraId="1320DF6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≥55</w:t>
            </w:r>
          </w:p>
        </w:tc>
        <w:tc>
          <w:tcPr>
            <w:tcW w:w="649" w:type="pct"/>
            <w:vAlign w:val="center"/>
          </w:tcPr>
          <w:p w14:paraId="16BA3BA9">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≥70</w:t>
            </w:r>
          </w:p>
        </w:tc>
        <w:tc>
          <w:tcPr>
            <w:tcW w:w="514" w:type="pct"/>
            <w:vAlign w:val="center"/>
          </w:tcPr>
          <w:p w14:paraId="547C3FF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33ACC14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7852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06" w:type="pct"/>
            <w:vMerge w:val="continue"/>
            <w:vAlign w:val="center"/>
          </w:tcPr>
          <w:p w14:paraId="55673577">
            <w:pPr>
              <w:spacing w:line="240" w:lineRule="auto"/>
              <w:ind w:firstLine="0" w:firstLineChars="0"/>
              <w:jc w:val="center"/>
              <w:rPr>
                <w:rFonts w:hint="eastAsia" w:ascii="等线" w:hAnsi="等线" w:eastAsia="仿宋" w:cs="Times New Roman"/>
                <w:sz w:val="21"/>
                <w:lang w:bidi="zh-CN"/>
              </w:rPr>
            </w:pPr>
          </w:p>
        </w:tc>
        <w:tc>
          <w:tcPr>
            <w:tcW w:w="551" w:type="pct"/>
            <w:vMerge w:val="continue"/>
            <w:vAlign w:val="center"/>
          </w:tcPr>
          <w:p w14:paraId="21614F52">
            <w:pPr>
              <w:spacing w:line="240" w:lineRule="auto"/>
              <w:ind w:firstLine="0" w:firstLineChars="0"/>
              <w:jc w:val="center"/>
              <w:rPr>
                <w:rFonts w:hint="eastAsia" w:ascii="等线" w:hAnsi="等线" w:eastAsia="仿宋" w:cs="Times New Roman"/>
                <w:sz w:val="21"/>
                <w:lang w:bidi="zh-CN"/>
              </w:rPr>
            </w:pPr>
          </w:p>
        </w:tc>
        <w:tc>
          <w:tcPr>
            <w:tcW w:w="983" w:type="pct"/>
            <w:vAlign w:val="center"/>
          </w:tcPr>
          <w:p w14:paraId="707F73C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社区体育设施步行15分钟覆盖率（%）</w:t>
            </w:r>
          </w:p>
        </w:tc>
        <w:tc>
          <w:tcPr>
            <w:tcW w:w="738" w:type="pct"/>
            <w:vAlign w:val="center"/>
          </w:tcPr>
          <w:p w14:paraId="46500BD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56.51</w:t>
            </w:r>
          </w:p>
        </w:tc>
        <w:tc>
          <w:tcPr>
            <w:tcW w:w="738" w:type="pct"/>
            <w:vAlign w:val="center"/>
          </w:tcPr>
          <w:p w14:paraId="4EEF63C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≥48</w:t>
            </w:r>
          </w:p>
        </w:tc>
        <w:tc>
          <w:tcPr>
            <w:tcW w:w="649" w:type="pct"/>
            <w:vAlign w:val="center"/>
          </w:tcPr>
          <w:p w14:paraId="4EC46EF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≥70</w:t>
            </w:r>
          </w:p>
        </w:tc>
        <w:tc>
          <w:tcPr>
            <w:tcW w:w="514" w:type="pct"/>
            <w:vAlign w:val="center"/>
          </w:tcPr>
          <w:p w14:paraId="0C6F6B7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65187C9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311E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629E5C8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22</w:t>
            </w:r>
          </w:p>
        </w:tc>
        <w:tc>
          <w:tcPr>
            <w:tcW w:w="1534" w:type="pct"/>
            <w:gridSpan w:val="2"/>
            <w:vAlign w:val="center"/>
          </w:tcPr>
          <w:p w14:paraId="3175728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每千名老年人拥有养老床位数（张）</w:t>
            </w:r>
          </w:p>
        </w:tc>
        <w:tc>
          <w:tcPr>
            <w:tcW w:w="738" w:type="pct"/>
            <w:vAlign w:val="center"/>
          </w:tcPr>
          <w:p w14:paraId="2874FE9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10.08</w:t>
            </w:r>
          </w:p>
        </w:tc>
        <w:tc>
          <w:tcPr>
            <w:tcW w:w="738" w:type="pct"/>
            <w:vAlign w:val="center"/>
          </w:tcPr>
          <w:p w14:paraId="565FDD8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≥15</w:t>
            </w:r>
          </w:p>
        </w:tc>
        <w:tc>
          <w:tcPr>
            <w:tcW w:w="649" w:type="pct"/>
            <w:vAlign w:val="center"/>
          </w:tcPr>
          <w:p w14:paraId="4271CE3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≥30</w:t>
            </w:r>
          </w:p>
        </w:tc>
        <w:tc>
          <w:tcPr>
            <w:tcW w:w="514" w:type="pct"/>
            <w:vAlign w:val="center"/>
          </w:tcPr>
          <w:p w14:paraId="5F755D8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099EC61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04ED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67282F2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23</w:t>
            </w:r>
          </w:p>
        </w:tc>
        <w:tc>
          <w:tcPr>
            <w:tcW w:w="1534" w:type="pct"/>
            <w:gridSpan w:val="2"/>
            <w:vAlign w:val="center"/>
          </w:tcPr>
          <w:p w14:paraId="28CE081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每千人口医疗卫生机构床位数（张）</w:t>
            </w:r>
          </w:p>
        </w:tc>
        <w:tc>
          <w:tcPr>
            <w:tcW w:w="738" w:type="pct"/>
            <w:vAlign w:val="center"/>
          </w:tcPr>
          <w:p w14:paraId="4315A28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6.72</w:t>
            </w:r>
          </w:p>
        </w:tc>
        <w:tc>
          <w:tcPr>
            <w:tcW w:w="738" w:type="pct"/>
            <w:vAlign w:val="center"/>
          </w:tcPr>
          <w:p w14:paraId="4F2801C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w:t>
            </w:r>
          </w:p>
        </w:tc>
        <w:tc>
          <w:tcPr>
            <w:tcW w:w="649" w:type="pct"/>
            <w:vAlign w:val="center"/>
          </w:tcPr>
          <w:p w14:paraId="6546D29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w:t>
            </w:r>
          </w:p>
        </w:tc>
        <w:tc>
          <w:tcPr>
            <w:tcW w:w="514" w:type="pct"/>
            <w:vAlign w:val="center"/>
          </w:tcPr>
          <w:p w14:paraId="42B747D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49150B7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全域</w:t>
            </w:r>
          </w:p>
        </w:tc>
      </w:tr>
      <w:tr w14:paraId="65B9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7DC35EF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24</w:t>
            </w:r>
          </w:p>
          <w:p w14:paraId="4EAC7344">
            <w:pPr>
              <w:spacing w:line="240" w:lineRule="auto"/>
              <w:ind w:firstLine="0" w:firstLineChars="0"/>
              <w:jc w:val="center"/>
              <w:rPr>
                <w:rFonts w:hint="eastAsia" w:ascii="等线" w:hAnsi="等线" w:eastAsia="仿宋" w:cs="Times New Roman"/>
                <w:sz w:val="21"/>
                <w:lang w:bidi="zh-CN"/>
              </w:rPr>
            </w:pPr>
          </w:p>
        </w:tc>
        <w:tc>
          <w:tcPr>
            <w:tcW w:w="1534" w:type="pct"/>
            <w:gridSpan w:val="2"/>
            <w:vAlign w:val="center"/>
          </w:tcPr>
          <w:p w14:paraId="12AAA6F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人均体育用地面积（平方米）</w:t>
            </w:r>
          </w:p>
        </w:tc>
        <w:tc>
          <w:tcPr>
            <w:tcW w:w="738" w:type="pct"/>
            <w:vAlign w:val="center"/>
          </w:tcPr>
          <w:p w14:paraId="35D9BB3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0.08</w:t>
            </w:r>
          </w:p>
        </w:tc>
        <w:tc>
          <w:tcPr>
            <w:tcW w:w="738" w:type="pct"/>
            <w:vAlign w:val="center"/>
          </w:tcPr>
          <w:p w14:paraId="77798BF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≥0.1</w:t>
            </w:r>
          </w:p>
        </w:tc>
        <w:tc>
          <w:tcPr>
            <w:tcW w:w="649" w:type="pct"/>
            <w:vAlign w:val="center"/>
          </w:tcPr>
          <w:p w14:paraId="0FA9836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≥0.6</w:t>
            </w:r>
          </w:p>
        </w:tc>
        <w:tc>
          <w:tcPr>
            <w:tcW w:w="514" w:type="pct"/>
            <w:vAlign w:val="center"/>
          </w:tcPr>
          <w:p w14:paraId="2DFCBC6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56D0F5F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5543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6CD28B6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25</w:t>
            </w:r>
          </w:p>
        </w:tc>
        <w:tc>
          <w:tcPr>
            <w:tcW w:w="1534" w:type="pct"/>
            <w:gridSpan w:val="2"/>
            <w:vAlign w:val="center"/>
          </w:tcPr>
          <w:p w14:paraId="5712553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人均公园绿地面积（平方米）</w:t>
            </w:r>
          </w:p>
        </w:tc>
        <w:tc>
          <w:tcPr>
            <w:tcW w:w="738" w:type="pct"/>
            <w:vAlign w:val="center"/>
          </w:tcPr>
          <w:p w14:paraId="5E6B3485">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1.56</w:t>
            </w:r>
          </w:p>
        </w:tc>
        <w:tc>
          <w:tcPr>
            <w:tcW w:w="738" w:type="pct"/>
            <w:vAlign w:val="center"/>
          </w:tcPr>
          <w:p w14:paraId="4151FBB1">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w:t>
            </w:r>
          </w:p>
        </w:tc>
        <w:tc>
          <w:tcPr>
            <w:tcW w:w="649" w:type="pct"/>
            <w:vAlign w:val="center"/>
          </w:tcPr>
          <w:p w14:paraId="320312A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≥8</w:t>
            </w:r>
          </w:p>
        </w:tc>
        <w:tc>
          <w:tcPr>
            <w:tcW w:w="514" w:type="pct"/>
            <w:vAlign w:val="center"/>
          </w:tcPr>
          <w:p w14:paraId="35F11AC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33A6BA9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r w14:paraId="28D8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06" w:type="pct"/>
            <w:vAlign w:val="center"/>
          </w:tcPr>
          <w:p w14:paraId="403E09C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26</w:t>
            </w:r>
          </w:p>
        </w:tc>
        <w:tc>
          <w:tcPr>
            <w:tcW w:w="1534" w:type="pct"/>
            <w:gridSpan w:val="2"/>
            <w:vAlign w:val="center"/>
          </w:tcPr>
          <w:p w14:paraId="75C939B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绿色交通出行比例（%）</w:t>
            </w:r>
          </w:p>
        </w:tc>
        <w:tc>
          <w:tcPr>
            <w:tcW w:w="738" w:type="pct"/>
            <w:vAlign w:val="center"/>
          </w:tcPr>
          <w:p w14:paraId="1BDC0456">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52</w:t>
            </w:r>
          </w:p>
        </w:tc>
        <w:tc>
          <w:tcPr>
            <w:tcW w:w="738" w:type="pct"/>
            <w:vAlign w:val="center"/>
          </w:tcPr>
          <w:p w14:paraId="7052E5FD">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60</w:t>
            </w:r>
          </w:p>
        </w:tc>
        <w:tc>
          <w:tcPr>
            <w:tcW w:w="649" w:type="pct"/>
            <w:vAlign w:val="center"/>
          </w:tcPr>
          <w:p w14:paraId="04D7DD9F">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75</w:t>
            </w:r>
          </w:p>
        </w:tc>
        <w:tc>
          <w:tcPr>
            <w:tcW w:w="514" w:type="pct"/>
            <w:vAlign w:val="center"/>
          </w:tcPr>
          <w:p w14:paraId="123C6B3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预期性</w:t>
            </w:r>
          </w:p>
        </w:tc>
        <w:tc>
          <w:tcPr>
            <w:tcW w:w="518" w:type="pct"/>
            <w:vAlign w:val="center"/>
          </w:tcPr>
          <w:p w14:paraId="1DB2106B">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镇中心</w:t>
            </w:r>
          </w:p>
        </w:tc>
      </w:tr>
    </w:tbl>
    <w:p w14:paraId="4E8D894A">
      <w:pPr>
        <w:ind w:firstLine="640"/>
        <w:rPr>
          <w:rFonts w:hint="eastAsia" w:cs="Times New Roman"/>
          <w:lang w:val="en-US" w:eastAsia="zh-CN"/>
        </w:rPr>
      </w:pPr>
    </w:p>
    <w:p w14:paraId="7FA01D2B">
      <w:pPr>
        <w:pStyle w:val="2"/>
        <w:spacing w:before="312" w:after="312"/>
        <w:rPr>
          <w:rFonts w:ascii="Times New Roman" w:hAnsi="Times New Roman" w:cs="Times New Roman"/>
        </w:rPr>
      </w:pPr>
      <w:bookmarkStart w:id="14" w:name="_Toc205557220"/>
      <w:bookmarkStart w:id="15" w:name="_Toc14680"/>
      <w:r>
        <w:rPr>
          <w:rFonts w:ascii="Times New Roman" w:hAnsi="Times New Roman" w:cs="Times New Roman"/>
        </w:rPr>
        <w:t>第</w:t>
      </w:r>
      <w:r>
        <w:rPr>
          <w:rFonts w:hint="eastAsia" w:ascii="Times New Roman" w:hAnsi="Times New Roman" w:cs="Times New Roman"/>
          <w:lang w:val="en-US" w:eastAsia="zh-CN"/>
        </w:rPr>
        <w:t>4</w:t>
      </w:r>
      <w:r>
        <w:rPr>
          <w:rFonts w:ascii="Times New Roman" w:hAnsi="Times New Roman" w:cs="Times New Roman"/>
        </w:rPr>
        <w:t>章 国土空间开发保护格局</w:t>
      </w:r>
      <w:bookmarkEnd w:id="14"/>
      <w:bookmarkEnd w:id="15"/>
      <w:r>
        <w:rPr>
          <w:rFonts w:ascii="Times New Roman" w:hAnsi="Times New Roman" w:cs="Times New Roman"/>
        </w:rPr>
        <w:t xml:space="preserve"> </w:t>
      </w:r>
    </w:p>
    <w:p w14:paraId="20B82F32">
      <w:pPr>
        <w:ind w:firstLine="640"/>
        <w:rPr>
          <w:rFonts w:cs="Times New Roman"/>
        </w:rPr>
      </w:pPr>
      <w:r>
        <w:rPr>
          <w:rFonts w:cs="Times New Roman"/>
        </w:rPr>
        <w:t>以区域自然地理格局为基础，结合桓仁县国土空间开发适宜性评价、灾害风险评估、规划实施评估等成果，强化三条控制线的底线约束，落实规划目标与定位，构建北甸子乡国土空间开发保护总体格局。</w:t>
      </w:r>
    </w:p>
    <w:p w14:paraId="484A2A54">
      <w:pPr>
        <w:pStyle w:val="3"/>
        <w:rPr>
          <w:rFonts w:ascii="Times New Roman" w:hAnsi="Times New Roman" w:cs="Times New Roman"/>
        </w:rPr>
      </w:pPr>
      <w:bookmarkStart w:id="16" w:name="_Toc21703"/>
      <w:bookmarkStart w:id="17" w:name="_Toc205557221"/>
      <w:r>
        <w:rPr>
          <w:rFonts w:hint="eastAsia" w:ascii="Times New Roman" w:hAnsi="Times New Roman" w:cs="Times New Roman"/>
          <w:lang w:val="en-US" w:eastAsia="zh-CN"/>
        </w:rPr>
        <w:t>4.1</w:t>
      </w:r>
      <w:r>
        <w:rPr>
          <w:rFonts w:ascii="Times New Roman" w:hAnsi="Times New Roman" w:cs="Times New Roman"/>
        </w:rPr>
        <w:t xml:space="preserve"> 总体格局</w:t>
      </w:r>
      <w:bookmarkEnd w:id="16"/>
      <w:bookmarkEnd w:id="17"/>
    </w:p>
    <w:p w14:paraId="52A3E9EF">
      <w:pPr>
        <w:pStyle w:val="4"/>
        <w:numPr>
          <w:ilvl w:val="0"/>
          <w:numId w:val="0"/>
        </w:numPr>
        <w:ind w:left="640" w:leftChars="0"/>
        <w:rPr>
          <w:rFonts w:cs="Times New Roman"/>
        </w:rPr>
      </w:pPr>
      <w:r>
        <w:rPr>
          <w:rFonts w:hint="eastAsia" w:cs="Times New Roman"/>
          <w:lang w:val="en-US" w:eastAsia="zh-CN"/>
        </w:rPr>
        <w:t>4.1.1</w:t>
      </w:r>
      <w:r>
        <w:rPr>
          <w:rFonts w:cs="Times New Roman"/>
        </w:rPr>
        <w:t>国土空间开发保护格局</w:t>
      </w:r>
    </w:p>
    <w:p w14:paraId="71E29B8D">
      <w:pPr>
        <w:ind w:firstLine="640"/>
        <w:rPr>
          <w:rFonts w:cs="Times New Roman"/>
        </w:rPr>
      </w:pPr>
      <w:r>
        <w:rPr>
          <w:rFonts w:cs="Times New Roman"/>
        </w:rPr>
        <w:t>以桓仁县国土空间总体规划确定的</w:t>
      </w:r>
      <w:r>
        <w:rPr>
          <w:rFonts w:hint="eastAsia" w:cs="Times New Roman"/>
          <w:color w:val="000000"/>
          <w:lang w:bidi="ar"/>
        </w:rPr>
        <w:t>“一核、一心、四副、两轴、三区”</w:t>
      </w:r>
      <w:r>
        <w:rPr>
          <w:rFonts w:cs="Times New Roman"/>
        </w:rPr>
        <w:t>的国土空间格局为引领，</w:t>
      </w:r>
      <w:r>
        <w:rPr>
          <w:rFonts w:hint="eastAsia" w:cs="Times New Roman"/>
        </w:rPr>
        <w:t>以做大区域、做强乡村、做特旅游为导向，以山水林田湖草整体保护格局为目标，以区域自然资源禀赋和社会经济发展趋势为基础，提出北甸子乡“一核、二心、二轴、三区”</w:t>
      </w:r>
      <w:r>
        <w:rPr>
          <w:rFonts w:cs="Times New Roman"/>
        </w:rPr>
        <w:t>的国土空间开发保护利用总体格局。</w:t>
      </w:r>
    </w:p>
    <w:p w14:paraId="6C99A808">
      <w:pPr>
        <w:ind w:firstLine="640"/>
        <w:rPr>
          <w:rFonts w:cs="Times New Roman"/>
        </w:rPr>
      </w:pPr>
      <w:r>
        <w:rPr>
          <w:rFonts w:hint="eastAsia" w:cs="Times New Roman"/>
        </w:rPr>
        <w:t>一核：乡域集中发展核，即乡政府驻地，依托现状拓展产业园区，构建引领全域城镇、产业发展的核心。</w:t>
      </w:r>
    </w:p>
    <w:p w14:paraId="7B160FFD">
      <w:pPr>
        <w:ind w:firstLine="640"/>
        <w:rPr>
          <w:rFonts w:cs="Times New Roman"/>
        </w:rPr>
      </w:pPr>
      <w:r>
        <w:rPr>
          <w:rFonts w:hint="eastAsia" w:cs="Times New Roman"/>
        </w:rPr>
        <w:t>二心：以英英沟村、长春沟村为北甸子乡重点发展核心村，辐射带动周边乡村一二三产融合发展。</w:t>
      </w:r>
    </w:p>
    <w:p w14:paraId="33236CE9">
      <w:pPr>
        <w:ind w:firstLine="640"/>
        <w:rPr>
          <w:rFonts w:cs="Times New Roman"/>
        </w:rPr>
      </w:pPr>
      <w:r>
        <w:rPr>
          <w:rFonts w:hint="eastAsia" w:cs="Times New Roman"/>
        </w:rPr>
        <w:t>二轴：依托主要道路 （二长线 、二北线 ），串联乡域重点发展区域，即是北甸子乡重要的发展轴，也是对外联系的主要通道。</w:t>
      </w:r>
    </w:p>
    <w:p w14:paraId="30FE1AF3">
      <w:pPr>
        <w:ind w:firstLine="640"/>
        <w:rPr>
          <w:rFonts w:cs="Times New Roman"/>
        </w:rPr>
      </w:pPr>
      <w:r>
        <w:rPr>
          <w:rFonts w:hint="eastAsia" w:cs="Times New Roman"/>
        </w:rPr>
        <w:t>三区：</w:t>
      </w:r>
    </w:p>
    <w:p w14:paraId="4E53F66C">
      <w:pPr>
        <w:ind w:firstLine="640"/>
        <w:rPr>
          <w:rFonts w:cs="Times New Roman"/>
        </w:rPr>
      </w:pPr>
      <w:r>
        <w:rPr>
          <w:rFonts w:hint="eastAsia" w:cs="Times New Roman"/>
        </w:rPr>
        <w:t>水源生态保护区：位于北甸子乡南部，以水源地和生态保护为主。</w:t>
      </w:r>
    </w:p>
    <w:p w14:paraId="7CEDE32A">
      <w:pPr>
        <w:ind w:firstLine="640"/>
        <w:rPr>
          <w:rFonts w:cs="Times New Roman"/>
        </w:rPr>
      </w:pPr>
      <w:r>
        <w:rPr>
          <w:rFonts w:hint="eastAsia" w:cs="Times New Roman"/>
        </w:rPr>
        <w:t>特色农业发展区：以湾龙背村和北甸村为主，发展特色农业。</w:t>
      </w:r>
    </w:p>
    <w:p w14:paraId="6783804B">
      <w:pPr>
        <w:ind w:firstLine="640"/>
        <w:rPr>
          <w:rFonts w:cs="Times New Roman"/>
        </w:rPr>
      </w:pPr>
      <w:r>
        <w:rPr>
          <w:rFonts w:hint="eastAsia" w:cs="Times New Roman"/>
        </w:rPr>
        <w:t>黄金冰谷核心区：以乡政府驻地为核心，培育冰酒产业集群，辐射带动周边地区冰葡萄种植、乡村旅游、观光采摘等上下游产业协同发展，依托对外交通实现产业集聚与扩散。</w:t>
      </w:r>
    </w:p>
    <w:p w14:paraId="0152F7FB">
      <w:pPr>
        <w:pStyle w:val="3"/>
        <w:rPr>
          <w:rFonts w:ascii="Times New Roman" w:hAnsi="Times New Roman" w:cs="Times New Roman"/>
        </w:rPr>
      </w:pPr>
      <w:bookmarkStart w:id="18" w:name="_Toc205557222"/>
      <w:bookmarkStart w:id="19" w:name="_Toc13975"/>
      <w:r>
        <w:rPr>
          <w:rFonts w:hint="eastAsia" w:ascii="Times New Roman" w:hAnsi="Times New Roman" w:cs="Times New Roman"/>
          <w:lang w:val="en-US" w:eastAsia="zh-CN"/>
        </w:rPr>
        <w:t>4.2</w:t>
      </w:r>
      <w:r>
        <w:rPr>
          <w:rFonts w:ascii="Times New Roman" w:hAnsi="Times New Roman" w:cs="Times New Roman"/>
        </w:rPr>
        <w:t xml:space="preserve"> 重要控制线划定</w:t>
      </w:r>
      <w:bookmarkEnd w:id="18"/>
      <w:bookmarkEnd w:id="19"/>
    </w:p>
    <w:p w14:paraId="513FBDA7">
      <w:pPr>
        <w:pStyle w:val="4"/>
        <w:numPr>
          <w:ilvl w:val="0"/>
          <w:numId w:val="0"/>
        </w:numPr>
        <w:ind w:left="640" w:leftChars="0"/>
        <w:rPr>
          <w:rFonts w:cs="Times New Roman"/>
        </w:rPr>
      </w:pPr>
      <w:r>
        <w:rPr>
          <w:rFonts w:hint="eastAsia" w:cs="Times New Roman"/>
          <w:lang w:val="en-US" w:eastAsia="zh-CN"/>
        </w:rPr>
        <w:t>4.2.1</w:t>
      </w:r>
      <w:r>
        <w:rPr>
          <w:rFonts w:cs="Times New Roman"/>
        </w:rPr>
        <w:t>耕地和永久基本农田</w:t>
      </w:r>
    </w:p>
    <w:p w14:paraId="4F7E57C8">
      <w:pPr>
        <w:ind w:firstLine="640"/>
        <w:rPr>
          <w:rFonts w:cs="Times New Roman"/>
        </w:rPr>
      </w:pPr>
      <w:r>
        <w:rPr>
          <w:rFonts w:cs="Times New Roman"/>
        </w:rPr>
        <w:t>落实《桓仁满族自治县国土空间总体规划（2021-2035年）》下达的耕地和永久基本农田约束指标，严守永久基本农田控制线，优化永久基本农田布局，</w:t>
      </w:r>
      <w:r>
        <w:rPr>
          <w:rFonts w:hint="eastAsia" w:cs="Times New Roman"/>
          <w:u w:val="single"/>
        </w:rPr>
        <w:t>全域转落耕地保护目标</w:t>
      </w:r>
      <w:bookmarkStart w:id="20" w:name="OLE_LINK24"/>
      <w:r>
        <w:rPr>
          <w:rFonts w:cs="Times New Roman"/>
          <w:u w:val="single"/>
        </w:rPr>
        <w:t>1725.73</w:t>
      </w:r>
      <w:bookmarkEnd w:id="20"/>
      <w:r>
        <w:rPr>
          <w:rFonts w:hint="eastAsia" w:cs="Times New Roman"/>
          <w:u w:val="single"/>
        </w:rPr>
        <w:t>公顷</w:t>
      </w:r>
      <w:r>
        <w:rPr>
          <w:rFonts w:cs="Times New Roman"/>
        </w:rPr>
        <w:t>，</w:t>
      </w:r>
      <w:r>
        <w:rPr>
          <w:rFonts w:cs="Times New Roman"/>
          <w:u w:val="single"/>
        </w:rPr>
        <w:t>转落永久基本农田面积</w:t>
      </w:r>
      <w:bookmarkStart w:id="21" w:name="OLE_LINK25"/>
      <w:r>
        <w:rPr>
          <w:rFonts w:cs="Times New Roman"/>
          <w:u w:val="single"/>
        </w:rPr>
        <w:t>1648.</w:t>
      </w:r>
      <w:r>
        <w:rPr>
          <w:rFonts w:hint="eastAsia" w:cs="Times New Roman"/>
          <w:u w:val="single"/>
        </w:rPr>
        <w:t>25</w:t>
      </w:r>
      <w:bookmarkEnd w:id="21"/>
      <w:r>
        <w:rPr>
          <w:rFonts w:cs="Times New Roman"/>
          <w:u w:val="single"/>
        </w:rPr>
        <w:t>公顷，</w:t>
      </w:r>
      <w:r>
        <w:rPr>
          <w:rFonts w:cs="Times New Roman"/>
        </w:rPr>
        <w:t>占全域国土总面积的1</w:t>
      </w:r>
      <w:r>
        <w:rPr>
          <w:rFonts w:hint="eastAsia" w:cs="Times New Roman"/>
        </w:rPr>
        <w:t>4.72</w:t>
      </w:r>
      <w:r>
        <w:rPr>
          <w:rFonts w:cs="Times New Roman"/>
        </w:rPr>
        <w:t>%。</w:t>
      </w:r>
      <w:r>
        <w:rPr>
          <w:rFonts w:cs="Times New Roman"/>
          <w:color w:val="000000"/>
          <w:lang w:bidi="ar"/>
        </w:rPr>
        <w:t>严格落实国家对耕地和永久基本农田保护红线的法律法规与规范性文件。</w:t>
      </w:r>
    </w:p>
    <w:p w14:paraId="0EAAA7CB">
      <w:pPr>
        <w:pStyle w:val="4"/>
        <w:numPr>
          <w:ilvl w:val="0"/>
          <w:numId w:val="0"/>
        </w:numPr>
        <w:ind w:left="640" w:leftChars="0"/>
        <w:rPr>
          <w:rFonts w:cs="Times New Roman"/>
        </w:rPr>
      </w:pPr>
      <w:r>
        <w:rPr>
          <w:rFonts w:hint="eastAsia" w:cs="Times New Roman"/>
          <w:lang w:val="en-US" w:eastAsia="zh-CN"/>
        </w:rPr>
        <w:t>4.2.2</w:t>
      </w:r>
      <w:r>
        <w:rPr>
          <w:rFonts w:cs="Times New Roman"/>
        </w:rPr>
        <w:t>生态保护红线</w:t>
      </w:r>
    </w:p>
    <w:p w14:paraId="54DEDA90">
      <w:pPr>
        <w:ind w:firstLine="640"/>
        <w:rPr>
          <w:rFonts w:cs="Times New Roman"/>
          <w:color w:val="000000"/>
          <w:lang w:bidi="ar"/>
        </w:rPr>
      </w:pPr>
      <w:r>
        <w:rPr>
          <w:rFonts w:cs="Times New Roman"/>
        </w:rPr>
        <w:t>落实《桓仁满族自治县国土空间总体规划（2021-2035年）》下达的生态保护红线约束性指标，</w:t>
      </w:r>
      <w:r>
        <w:rPr>
          <w:rFonts w:cs="Times New Roman"/>
          <w:u w:val="single"/>
        </w:rPr>
        <w:t>全域转落生态保护红线面积</w:t>
      </w:r>
      <w:bookmarkStart w:id="22" w:name="OLE_LINK26"/>
      <w:r>
        <w:rPr>
          <w:rFonts w:cs="Times New Roman"/>
          <w:u w:val="single"/>
        </w:rPr>
        <w:t>508</w:t>
      </w:r>
      <w:r>
        <w:rPr>
          <w:rFonts w:hint="eastAsia" w:cs="Times New Roman"/>
          <w:u w:val="single"/>
          <w:lang w:val="en-US" w:eastAsia="zh-CN"/>
        </w:rPr>
        <w:t>3</w:t>
      </w:r>
      <w:r>
        <w:rPr>
          <w:rFonts w:cs="Times New Roman"/>
          <w:u w:val="single"/>
        </w:rPr>
        <w:t>.</w:t>
      </w:r>
      <w:r>
        <w:rPr>
          <w:rFonts w:hint="eastAsia" w:cs="Times New Roman"/>
          <w:u w:val="single"/>
        </w:rPr>
        <w:t>9</w:t>
      </w:r>
      <w:bookmarkEnd w:id="22"/>
      <w:r>
        <w:rPr>
          <w:rFonts w:hint="eastAsia" w:cs="Times New Roman"/>
          <w:u w:val="single"/>
          <w:lang w:val="en-US" w:eastAsia="zh-CN"/>
        </w:rPr>
        <w:t>3</w:t>
      </w:r>
      <w:r>
        <w:rPr>
          <w:rFonts w:cs="Times New Roman"/>
          <w:u w:val="single"/>
        </w:rPr>
        <w:t>公顷，</w:t>
      </w:r>
      <w:r>
        <w:rPr>
          <w:rFonts w:cs="Times New Roman"/>
        </w:rPr>
        <w:t>占全域国土总面积的</w:t>
      </w:r>
      <w:r>
        <w:rPr>
          <w:rFonts w:hint="eastAsia" w:cs="Times New Roman"/>
        </w:rPr>
        <w:t>45.4</w:t>
      </w:r>
      <w:r>
        <w:rPr>
          <w:rFonts w:cs="Times New Roman"/>
        </w:rPr>
        <w:t>%。</w:t>
      </w:r>
      <w:r>
        <w:rPr>
          <w:rFonts w:cs="Times New Roman"/>
          <w:color w:val="000000"/>
          <w:lang w:bidi="ar"/>
        </w:rPr>
        <w:t>严格落实国家、省对生态保护红线的法律法规与规范性文件。</w:t>
      </w:r>
    </w:p>
    <w:p w14:paraId="583F7C39">
      <w:pPr>
        <w:adjustRightInd w:val="0"/>
        <w:snapToGrid w:val="0"/>
        <w:spacing w:line="600" w:lineRule="atLeast"/>
        <w:ind w:firstLine="0" w:firstLineChars="0"/>
        <w:jc w:val="center"/>
        <w:outlineLvl w:val="2"/>
        <w:rPr>
          <w:rFonts w:eastAsia="黑体" w:cs="Times New Roman"/>
          <w:sz w:val="28"/>
          <w:szCs w:val="21"/>
        </w:rPr>
      </w:pPr>
      <w:r>
        <w:rPr>
          <w:rFonts w:eastAsia="黑体" w:cs="Times New Roman"/>
          <w:sz w:val="28"/>
          <w:szCs w:val="21"/>
        </w:rPr>
        <w:t>表4 耕地、永久基本农田、生态保护红线指标分解表</w:t>
      </w:r>
    </w:p>
    <w:p w14:paraId="5506B178">
      <w:pPr>
        <w:widowControl/>
        <w:spacing w:line="240" w:lineRule="auto"/>
        <w:ind w:firstLine="0" w:firstLineChars="0"/>
        <w:jc w:val="right"/>
        <w:rPr>
          <w:rFonts w:eastAsia="黑体" w:cs="Times New Roman"/>
          <w:color w:val="000000"/>
          <w:kern w:val="0"/>
          <w:sz w:val="24"/>
          <w:szCs w:val="24"/>
          <w:lang w:bidi="ar"/>
        </w:rPr>
      </w:pPr>
      <w:r>
        <w:rPr>
          <w:rFonts w:eastAsia="仿宋" w:cs="Times New Roman"/>
          <w:color w:val="000000"/>
          <w:kern w:val="0"/>
          <w:sz w:val="21"/>
          <w:szCs w:val="21"/>
          <w:lang w:bidi="ar"/>
        </w:rPr>
        <w:t>单位：公顷</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1504"/>
        <w:gridCol w:w="2760"/>
        <w:gridCol w:w="2132"/>
      </w:tblGrid>
      <w:tr w14:paraId="2156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E934BEE">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行政村名</w:t>
            </w:r>
          </w:p>
        </w:tc>
        <w:tc>
          <w:tcPr>
            <w:tcW w:w="882" w:type="pct"/>
            <w:vAlign w:val="center"/>
          </w:tcPr>
          <w:p w14:paraId="1CB1033E">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耕地保有量</w:t>
            </w:r>
          </w:p>
        </w:tc>
        <w:tc>
          <w:tcPr>
            <w:tcW w:w="1618" w:type="pct"/>
            <w:vAlign w:val="center"/>
          </w:tcPr>
          <w:p w14:paraId="615DA0FB">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永久基本农田保护面积</w:t>
            </w:r>
          </w:p>
        </w:tc>
        <w:tc>
          <w:tcPr>
            <w:tcW w:w="1250" w:type="pct"/>
            <w:vAlign w:val="center"/>
          </w:tcPr>
          <w:p w14:paraId="3450B79E">
            <w:pPr>
              <w:tabs>
                <w:tab w:val="left" w:pos="360"/>
              </w:tabs>
              <w:snapToGrid w:val="0"/>
              <w:spacing w:line="240" w:lineRule="auto"/>
              <w:ind w:firstLine="0" w:firstLineChars="0"/>
              <w:jc w:val="center"/>
              <w:textAlignment w:val="baseline"/>
              <w:rPr>
                <w:rFonts w:cs="Times New Roman"/>
                <w:b/>
                <w:kern w:val="21"/>
                <w:sz w:val="21"/>
                <w:szCs w:val="21"/>
              </w:rPr>
            </w:pPr>
            <w:r>
              <w:rPr>
                <w:rFonts w:cs="Times New Roman"/>
                <w:b/>
                <w:kern w:val="21"/>
                <w:sz w:val="21"/>
                <w:szCs w:val="21"/>
              </w:rPr>
              <w:t>生态保护红线面积</w:t>
            </w:r>
          </w:p>
        </w:tc>
      </w:tr>
      <w:tr w14:paraId="696C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B0D2DEC">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北甸村</w:t>
            </w:r>
          </w:p>
        </w:tc>
        <w:tc>
          <w:tcPr>
            <w:tcW w:w="882" w:type="pct"/>
            <w:vAlign w:val="center"/>
          </w:tcPr>
          <w:p w14:paraId="4D299DBA">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369.22 </w:t>
            </w:r>
          </w:p>
        </w:tc>
        <w:tc>
          <w:tcPr>
            <w:tcW w:w="1618" w:type="pct"/>
            <w:vAlign w:val="center"/>
          </w:tcPr>
          <w:p w14:paraId="440B4049">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353.28 </w:t>
            </w:r>
          </w:p>
        </w:tc>
        <w:tc>
          <w:tcPr>
            <w:tcW w:w="1250" w:type="pct"/>
          </w:tcPr>
          <w:p w14:paraId="0028C7E1">
            <w:pPr>
              <w:widowControl/>
              <w:spacing w:line="240" w:lineRule="auto"/>
              <w:ind w:firstLine="0" w:firstLineChars="0"/>
              <w:jc w:val="center"/>
              <w:rPr>
                <w:rFonts w:eastAsia="等线" w:cs="Arial"/>
                <w:kern w:val="0"/>
                <w:sz w:val="21"/>
                <w:szCs w:val="21"/>
              </w:rPr>
            </w:pPr>
            <w:r>
              <w:rPr>
                <w:rFonts w:eastAsia="等线" w:cs="Arial"/>
                <w:kern w:val="0"/>
                <w:sz w:val="21"/>
                <w:szCs w:val="21"/>
              </w:rPr>
              <w:t xml:space="preserve">353.40 </w:t>
            </w:r>
          </w:p>
        </w:tc>
      </w:tr>
      <w:tr w14:paraId="1033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48E7A4CE">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大牛沟村</w:t>
            </w:r>
          </w:p>
        </w:tc>
        <w:tc>
          <w:tcPr>
            <w:tcW w:w="882" w:type="pct"/>
            <w:vAlign w:val="center"/>
          </w:tcPr>
          <w:p w14:paraId="0FD0E375">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197.62 </w:t>
            </w:r>
          </w:p>
        </w:tc>
        <w:tc>
          <w:tcPr>
            <w:tcW w:w="1618" w:type="pct"/>
            <w:vAlign w:val="center"/>
          </w:tcPr>
          <w:p w14:paraId="2A87541A">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191.93 </w:t>
            </w:r>
          </w:p>
        </w:tc>
        <w:tc>
          <w:tcPr>
            <w:tcW w:w="1250" w:type="pct"/>
          </w:tcPr>
          <w:p w14:paraId="622F508F">
            <w:pPr>
              <w:widowControl/>
              <w:spacing w:line="240" w:lineRule="auto"/>
              <w:ind w:firstLine="0" w:firstLineChars="0"/>
              <w:jc w:val="center"/>
              <w:rPr>
                <w:rFonts w:eastAsia="等线" w:cs="Arial"/>
                <w:kern w:val="0"/>
                <w:sz w:val="21"/>
                <w:szCs w:val="21"/>
              </w:rPr>
            </w:pPr>
            <w:r>
              <w:rPr>
                <w:rFonts w:eastAsia="等线" w:cs="Arial"/>
                <w:kern w:val="0"/>
                <w:sz w:val="21"/>
                <w:szCs w:val="21"/>
              </w:rPr>
              <w:t xml:space="preserve">129.62 </w:t>
            </w:r>
          </w:p>
        </w:tc>
      </w:tr>
      <w:tr w14:paraId="7523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107C690C">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湾龙背村</w:t>
            </w:r>
          </w:p>
        </w:tc>
        <w:tc>
          <w:tcPr>
            <w:tcW w:w="882" w:type="pct"/>
            <w:vAlign w:val="center"/>
          </w:tcPr>
          <w:p w14:paraId="20978768">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546.89 </w:t>
            </w:r>
          </w:p>
        </w:tc>
        <w:tc>
          <w:tcPr>
            <w:tcW w:w="1618" w:type="pct"/>
            <w:vAlign w:val="center"/>
          </w:tcPr>
          <w:p w14:paraId="1FF0E589">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532.99 </w:t>
            </w:r>
          </w:p>
        </w:tc>
        <w:tc>
          <w:tcPr>
            <w:tcW w:w="1250" w:type="pct"/>
          </w:tcPr>
          <w:p w14:paraId="79B6B4B3">
            <w:pPr>
              <w:widowControl/>
              <w:spacing w:line="240" w:lineRule="auto"/>
              <w:ind w:firstLine="0" w:firstLineChars="0"/>
              <w:jc w:val="center"/>
              <w:rPr>
                <w:rFonts w:eastAsia="等线" w:cs="Arial"/>
                <w:kern w:val="0"/>
                <w:sz w:val="21"/>
                <w:szCs w:val="21"/>
              </w:rPr>
            </w:pPr>
            <w:r>
              <w:rPr>
                <w:rFonts w:eastAsia="等线" w:cs="Arial"/>
                <w:kern w:val="0"/>
                <w:sz w:val="21"/>
                <w:szCs w:val="21"/>
              </w:rPr>
              <w:t xml:space="preserve">330.01 </w:t>
            </w:r>
          </w:p>
        </w:tc>
      </w:tr>
      <w:tr w14:paraId="12E5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78F85D1C">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英英沟村</w:t>
            </w:r>
          </w:p>
        </w:tc>
        <w:tc>
          <w:tcPr>
            <w:tcW w:w="882" w:type="pct"/>
            <w:vAlign w:val="center"/>
          </w:tcPr>
          <w:p w14:paraId="3506E7F5">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256.95 </w:t>
            </w:r>
          </w:p>
        </w:tc>
        <w:tc>
          <w:tcPr>
            <w:tcW w:w="1618" w:type="pct"/>
            <w:vAlign w:val="center"/>
          </w:tcPr>
          <w:p w14:paraId="21F82620">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244.51 </w:t>
            </w:r>
          </w:p>
        </w:tc>
        <w:tc>
          <w:tcPr>
            <w:tcW w:w="1250" w:type="pct"/>
          </w:tcPr>
          <w:p w14:paraId="3AB5274A">
            <w:pPr>
              <w:widowControl/>
              <w:spacing w:line="240" w:lineRule="auto"/>
              <w:ind w:firstLine="0" w:firstLineChars="0"/>
              <w:jc w:val="center"/>
              <w:rPr>
                <w:rFonts w:eastAsia="等线" w:cs="Arial"/>
                <w:kern w:val="0"/>
                <w:sz w:val="21"/>
                <w:szCs w:val="21"/>
              </w:rPr>
            </w:pPr>
            <w:r>
              <w:rPr>
                <w:rFonts w:eastAsia="等线" w:cs="Arial"/>
                <w:kern w:val="0"/>
                <w:sz w:val="21"/>
                <w:szCs w:val="21"/>
              </w:rPr>
              <w:t xml:space="preserve">1527.10 </w:t>
            </w:r>
          </w:p>
        </w:tc>
      </w:tr>
      <w:tr w14:paraId="147B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627F046F">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友谊村</w:t>
            </w:r>
          </w:p>
        </w:tc>
        <w:tc>
          <w:tcPr>
            <w:tcW w:w="882" w:type="pct"/>
            <w:vAlign w:val="center"/>
          </w:tcPr>
          <w:p w14:paraId="23097183">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215.96 </w:t>
            </w:r>
          </w:p>
        </w:tc>
        <w:tc>
          <w:tcPr>
            <w:tcW w:w="1618" w:type="pct"/>
            <w:vAlign w:val="center"/>
          </w:tcPr>
          <w:p w14:paraId="7EF3CA70">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200.47 </w:t>
            </w:r>
          </w:p>
        </w:tc>
        <w:tc>
          <w:tcPr>
            <w:tcW w:w="1250" w:type="pct"/>
          </w:tcPr>
          <w:p w14:paraId="52BD7290">
            <w:pPr>
              <w:widowControl/>
              <w:spacing w:line="240" w:lineRule="auto"/>
              <w:ind w:firstLine="0" w:firstLineChars="0"/>
              <w:jc w:val="center"/>
              <w:rPr>
                <w:rFonts w:eastAsia="等线" w:cs="Arial"/>
                <w:kern w:val="0"/>
                <w:sz w:val="21"/>
                <w:szCs w:val="21"/>
              </w:rPr>
            </w:pPr>
            <w:r>
              <w:rPr>
                <w:rFonts w:eastAsia="等线" w:cs="Arial"/>
                <w:kern w:val="0"/>
                <w:sz w:val="21"/>
                <w:szCs w:val="21"/>
              </w:rPr>
              <w:t xml:space="preserve">1357.34 </w:t>
            </w:r>
          </w:p>
        </w:tc>
      </w:tr>
      <w:tr w14:paraId="56C5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vAlign w:val="center"/>
          </w:tcPr>
          <w:p w14:paraId="208B71F8">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长春沟村</w:t>
            </w:r>
          </w:p>
        </w:tc>
        <w:tc>
          <w:tcPr>
            <w:tcW w:w="882" w:type="pct"/>
            <w:vAlign w:val="center"/>
          </w:tcPr>
          <w:p w14:paraId="5FCD2B0C">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139.08 </w:t>
            </w:r>
          </w:p>
        </w:tc>
        <w:tc>
          <w:tcPr>
            <w:tcW w:w="1618" w:type="pct"/>
            <w:vAlign w:val="center"/>
          </w:tcPr>
          <w:p w14:paraId="5689D806">
            <w:pPr>
              <w:widowControl/>
              <w:spacing w:line="240" w:lineRule="auto"/>
              <w:ind w:firstLine="0" w:firstLineChars="0"/>
              <w:jc w:val="center"/>
              <w:rPr>
                <w:rFonts w:eastAsia="等线" w:cs="Arial"/>
                <w:kern w:val="0"/>
                <w:sz w:val="21"/>
                <w:szCs w:val="21"/>
              </w:rPr>
            </w:pPr>
            <w:r>
              <w:rPr>
                <w:rFonts w:hint="eastAsia" w:eastAsia="等线" w:cs="Arial"/>
                <w:kern w:val="0"/>
                <w:sz w:val="21"/>
                <w:szCs w:val="21"/>
              </w:rPr>
              <w:t xml:space="preserve">125.07 </w:t>
            </w:r>
          </w:p>
        </w:tc>
        <w:tc>
          <w:tcPr>
            <w:tcW w:w="1250" w:type="pct"/>
          </w:tcPr>
          <w:p w14:paraId="14D44DEF">
            <w:pPr>
              <w:widowControl/>
              <w:spacing w:line="240" w:lineRule="auto"/>
              <w:ind w:firstLine="0" w:firstLineChars="0"/>
              <w:jc w:val="center"/>
              <w:rPr>
                <w:rFonts w:eastAsia="等线" w:cs="Arial"/>
                <w:kern w:val="0"/>
                <w:sz w:val="21"/>
                <w:szCs w:val="21"/>
              </w:rPr>
            </w:pPr>
            <w:r>
              <w:rPr>
                <w:rFonts w:eastAsia="等线" w:cs="Arial"/>
                <w:kern w:val="0"/>
                <w:sz w:val="21"/>
                <w:szCs w:val="21"/>
              </w:rPr>
              <w:t xml:space="preserve">1386.46 </w:t>
            </w:r>
          </w:p>
        </w:tc>
      </w:tr>
    </w:tbl>
    <w:p w14:paraId="4CC0CBDC">
      <w:pPr>
        <w:adjustRightInd w:val="0"/>
        <w:snapToGrid w:val="0"/>
        <w:spacing w:line="600" w:lineRule="atLeast"/>
        <w:ind w:firstLine="0" w:firstLineChars="0"/>
        <w:jc w:val="center"/>
        <w:outlineLvl w:val="2"/>
        <w:rPr>
          <w:rFonts w:eastAsia="黑体" w:cs="Times New Roman"/>
          <w:sz w:val="28"/>
          <w:szCs w:val="21"/>
        </w:rPr>
      </w:pPr>
      <w:r>
        <w:rPr>
          <w:rFonts w:eastAsia="黑体" w:cs="Times New Roman"/>
          <w:sz w:val="28"/>
          <w:szCs w:val="21"/>
        </w:rPr>
        <w:t>表7 自然保护地一览表</w:t>
      </w:r>
    </w:p>
    <w:p w14:paraId="537DA4D3">
      <w:pPr>
        <w:spacing w:line="240" w:lineRule="auto"/>
        <w:ind w:firstLine="0" w:firstLineChars="0"/>
        <w:jc w:val="right"/>
        <w:rPr>
          <w:rFonts w:eastAsia="仿宋" w:cs="Times New Roman"/>
          <w:sz w:val="21"/>
          <w:szCs w:val="21"/>
        </w:rPr>
      </w:pPr>
      <w:r>
        <w:rPr>
          <w:rFonts w:eastAsia="仿宋" w:cs="Times New Roman"/>
          <w:sz w:val="21"/>
          <w:szCs w:val="21"/>
        </w:rPr>
        <w:t>单位：公顷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693"/>
        <w:gridCol w:w="1418"/>
        <w:gridCol w:w="1134"/>
        <w:gridCol w:w="1280"/>
        <w:gridCol w:w="1073"/>
      </w:tblGrid>
      <w:tr w14:paraId="2CFD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D5EAAD7">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序号</w:t>
            </w:r>
          </w:p>
        </w:tc>
        <w:tc>
          <w:tcPr>
            <w:tcW w:w="2693" w:type="dxa"/>
          </w:tcPr>
          <w:p w14:paraId="42D4BE55">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名称</w:t>
            </w:r>
          </w:p>
        </w:tc>
        <w:tc>
          <w:tcPr>
            <w:tcW w:w="1418" w:type="dxa"/>
          </w:tcPr>
          <w:p w14:paraId="73BFA41B">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行政村</w:t>
            </w:r>
          </w:p>
        </w:tc>
        <w:tc>
          <w:tcPr>
            <w:tcW w:w="1134" w:type="dxa"/>
          </w:tcPr>
          <w:p w14:paraId="4AF1FAB6">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总面积</w:t>
            </w:r>
          </w:p>
        </w:tc>
        <w:tc>
          <w:tcPr>
            <w:tcW w:w="1280" w:type="dxa"/>
          </w:tcPr>
          <w:p w14:paraId="6108BEEF">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保护地类型</w:t>
            </w:r>
          </w:p>
        </w:tc>
        <w:tc>
          <w:tcPr>
            <w:tcW w:w="1073" w:type="dxa"/>
          </w:tcPr>
          <w:p w14:paraId="3D5B5CB1">
            <w:pPr>
              <w:spacing w:line="240" w:lineRule="auto"/>
              <w:ind w:firstLine="0" w:firstLineChars="0"/>
              <w:contextualSpacing/>
              <w:jc w:val="center"/>
              <w:rPr>
                <w:rFonts w:eastAsia="仿宋" w:cs="Times New Roman"/>
                <w:b/>
                <w:bCs/>
                <w:kern w:val="0"/>
                <w:sz w:val="21"/>
                <w:szCs w:val="20"/>
                <w:lang w:bidi="zh-CN"/>
              </w:rPr>
            </w:pPr>
            <w:r>
              <w:rPr>
                <w:rFonts w:eastAsia="仿宋" w:cs="Times New Roman"/>
                <w:b/>
                <w:bCs/>
                <w:kern w:val="0"/>
                <w:sz w:val="21"/>
                <w:szCs w:val="20"/>
                <w:lang w:bidi="zh-CN"/>
              </w:rPr>
              <w:t>级别</w:t>
            </w:r>
          </w:p>
        </w:tc>
      </w:tr>
      <w:tr w14:paraId="2F17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40C5532">
            <w:pPr>
              <w:spacing w:line="240" w:lineRule="auto"/>
              <w:ind w:firstLine="0" w:firstLineChars="0"/>
              <w:contextualSpacing/>
              <w:jc w:val="center"/>
              <w:rPr>
                <w:rFonts w:eastAsia="仿宋" w:cs="Times New Roman"/>
                <w:kern w:val="0"/>
                <w:sz w:val="21"/>
                <w:szCs w:val="21"/>
              </w:rPr>
            </w:pPr>
            <w:r>
              <w:rPr>
                <w:rFonts w:eastAsia="仿宋" w:cs="Times New Roman"/>
                <w:kern w:val="0"/>
                <w:sz w:val="21"/>
                <w:szCs w:val="21"/>
              </w:rPr>
              <w:t>1</w:t>
            </w:r>
          </w:p>
        </w:tc>
        <w:tc>
          <w:tcPr>
            <w:tcW w:w="2693" w:type="dxa"/>
            <w:vAlign w:val="center"/>
          </w:tcPr>
          <w:p w14:paraId="214682FF">
            <w:pPr>
              <w:spacing w:line="240" w:lineRule="auto"/>
              <w:ind w:firstLine="0" w:firstLineChars="0"/>
              <w:contextualSpacing/>
              <w:jc w:val="center"/>
              <w:rPr>
                <w:rFonts w:eastAsia="仿宋" w:cs="Times New Roman"/>
                <w:kern w:val="0"/>
                <w:sz w:val="21"/>
                <w:szCs w:val="21"/>
              </w:rPr>
            </w:pPr>
            <w:r>
              <w:rPr>
                <w:rFonts w:hint="eastAsia" w:eastAsia="仿宋" w:cs="Times New Roman"/>
                <w:kern w:val="0"/>
                <w:sz w:val="21"/>
                <w:szCs w:val="21"/>
              </w:rPr>
              <w:t>辽宁桓龙湖国家森林公园</w:t>
            </w:r>
          </w:p>
        </w:tc>
        <w:tc>
          <w:tcPr>
            <w:tcW w:w="1418" w:type="dxa"/>
            <w:vAlign w:val="center"/>
          </w:tcPr>
          <w:p w14:paraId="66AE1AB7">
            <w:pPr>
              <w:spacing w:line="240" w:lineRule="auto"/>
              <w:ind w:firstLine="0" w:firstLineChars="0"/>
              <w:contextualSpacing/>
              <w:jc w:val="center"/>
              <w:rPr>
                <w:rFonts w:eastAsia="仿宋" w:cs="Times New Roman"/>
                <w:kern w:val="0"/>
                <w:sz w:val="21"/>
                <w:szCs w:val="21"/>
              </w:rPr>
            </w:pPr>
            <w:r>
              <w:rPr>
                <w:rFonts w:hint="eastAsia" w:eastAsia="仿宋" w:cs="Times New Roman"/>
                <w:kern w:val="0"/>
                <w:sz w:val="21"/>
                <w:szCs w:val="21"/>
              </w:rPr>
              <w:t>湾龙背村、友谊村、长春沟村</w:t>
            </w:r>
          </w:p>
        </w:tc>
        <w:tc>
          <w:tcPr>
            <w:tcW w:w="1134" w:type="dxa"/>
            <w:vAlign w:val="center"/>
          </w:tcPr>
          <w:p w14:paraId="2408F1F7">
            <w:pPr>
              <w:spacing w:line="240" w:lineRule="auto"/>
              <w:ind w:firstLine="0" w:firstLineChars="0"/>
              <w:contextualSpacing/>
              <w:jc w:val="center"/>
              <w:rPr>
                <w:rFonts w:eastAsia="仿宋" w:cs="Times New Roman"/>
                <w:kern w:val="0"/>
                <w:sz w:val="21"/>
                <w:szCs w:val="21"/>
              </w:rPr>
            </w:pPr>
            <w:r>
              <w:rPr>
                <w:rFonts w:eastAsia="仿宋" w:cs="Times New Roman"/>
                <w:kern w:val="0"/>
                <w:sz w:val="21"/>
                <w:szCs w:val="21"/>
              </w:rPr>
              <w:t>1174.13</w:t>
            </w:r>
          </w:p>
        </w:tc>
        <w:tc>
          <w:tcPr>
            <w:tcW w:w="1280" w:type="dxa"/>
            <w:vAlign w:val="center"/>
          </w:tcPr>
          <w:p w14:paraId="2986C816">
            <w:pPr>
              <w:spacing w:line="240" w:lineRule="auto"/>
              <w:ind w:firstLine="0" w:firstLineChars="0"/>
              <w:contextualSpacing/>
              <w:jc w:val="center"/>
              <w:rPr>
                <w:rFonts w:eastAsia="仿宋" w:cs="Times New Roman"/>
                <w:kern w:val="0"/>
                <w:sz w:val="21"/>
                <w:szCs w:val="21"/>
              </w:rPr>
            </w:pPr>
            <w:r>
              <w:rPr>
                <w:rFonts w:hint="eastAsia" w:eastAsia="仿宋" w:cs="Times New Roman"/>
                <w:kern w:val="0"/>
                <w:sz w:val="21"/>
                <w:szCs w:val="21"/>
              </w:rPr>
              <w:t>国家森林公园</w:t>
            </w:r>
          </w:p>
        </w:tc>
        <w:tc>
          <w:tcPr>
            <w:tcW w:w="1073" w:type="dxa"/>
            <w:vAlign w:val="center"/>
          </w:tcPr>
          <w:p w14:paraId="34ADD824">
            <w:pPr>
              <w:spacing w:line="240" w:lineRule="auto"/>
              <w:ind w:firstLine="0" w:firstLineChars="0"/>
              <w:contextualSpacing/>
              <w:jc w:val="center"/>
              <w:rPr>
                <w:rFonts w:eastAsia="仿宋" w:cs="Times New Roman"/>
                <w:kern w:val="0"/>
                <w:sz w:val="21"/>
                <w:szCs w:val="21"/>
              </w:rPr>
            </w:pPr>
            <w:r>
              <w:rPr>
                <w:rFonts w:hint="eastAsia" w:eastAsia="仿宋" w:cs="Times New Roman"/>
                <w:kern w:val="0"/>
                <w:sz w:val="21"/>
                <w:szCs w:val="21"/>
              </w:rPr>
              <w:t>国家级</w:t>
            </w:r>
          </w:p>
        </w:tc>
      </w:tr>
    </w:tbl>
    <w:p w14:paraId="1F1718A2">
      <w:pPr>
        <w:pStyle w:val="4"/>
        <w:numPr>
          <w:ilvl w:val="0"/>
          <w:numId w:val="0"/>
        </w:numPr>
        <w:ind w:left="640" w:leftChars="0"/>
        <w:rPr>
          <w:rFonts w:cs="Times New Roman"/>
        </w:rPr>
      </w:pPr>
      <w:r>
        <w:rPr>
          <w:rFonts w:hint="eastAsia" w:cs="Times New Roman"/>
          <w:lang w:val="en-US" w:eastAsia="zh-CN"/>
        </w:rPr>
        <w:t>4.2.3</w:t>
      </w:r>
      <w:r>
        <w:rPr>
          <w:rFonts w:cs="Times New Roman"/>
        </w:rPr>
        <w:t>城镇开发边界</w:t>
      </w:r>
    </w:p>
    <w:p w14:paraId="526082ED">
      <w:pPr>
        <w:ind w:firstLine="640"/>
        <w:rPr>
          <w:rFonts w:cs="Times New Roman"/>
          <w:color w:val="000000"/>
          <w:lang w:bidi="ar"/>
        </w:rPr>
      </w:pPr>
      <w:r>
        <w:rPr>
          <w:rFonts w:cs="Times New Roman"/>
        </w:rPr>
        <w:t>落实《桓仁满族自治县国土空间总体规划（2021-2035年）》下达的城镇开发边界约束性指标，</w:t>
      </w:r>
      <w:r>
        <w:rPr>
          <w:rFonts w:cs="Times New Roman"/>
          <w:u w:val="single"/>
        </w:rPr>
        <w:t>全域转落城镇开发边界面积</w:t>
      </w:r>
      <w:bookmarkStart w:id="23" w:name="OLE_LINK27"/>
      <w:r>
        <w:rPr>
          <w:rFonts w:cs="Times New Roman"/>
          <w:u w:val="single"/>
        </w:rPr>
        <w:t>41.39</w:t>
      </w:r>
      <w:bookmarkEnd w:id="23"/>
      <w:r>
        <w:rPr>
          <w:rFonts w:cs="Times New Roman"/>
          <w:u w:val="single"/>
        </w:rPr>
        <w:t>公顷，</w:t>
      </w:r>
      <w:r>
        <w:rPr>
          <w:rFonts w:cs="Times New Roman"/>
        </w:rPr>
        <w:t>占全域国土总面积的</w:t>
      </w:r>
      <w:r>
        <w:rPr>
          <w:rFonts w:hint="eastAsia" w:cs="Times New Roman"/>
        </w:rPr>
        <w:t>0.37</w:t>
      </w:r>
      <w:r>
        <w:rPr>
          <w:rFonts w:cs="Times New Roman"/>
        </w:rPr>
        <w:t>%。</w:t>
      </w:r>
      <w:r>
        <w:rPr>
          <w:rFonts w:cs="Times New Roman"/>
          <w:color w:val="000000"/>
          <w:lang w:bidi="ar"/>
        </w:rPr>
        <w:t>严格落实国家、省对城镇开发边界的法律法规与规范性文件。</w:t>
      </w:r>
    </w:p>
    <w:p w14:paraId="1CAF0F83">
      <w:pPr>
        <w:pStyle w:val="4"/>
        <w:numPr>
          <w:ilvl w:val="0"/>
          <w:numId w:val="0"/>
        </w:numPr>
        <w:ind w:left="640" w:leftChars="0"/>
        <w:rPr>
          <w:rFonts w:cs="Times New Roman"/>
        </w:rPr>
      </w:pPr>
      <w:r>
        <w:rPr>
          <w:rFonts w:hint="eastAsia" w:cs="Times New Roman"/>
          <w:lang w:val="en-US" w:eastAsia="zh-CN"/>
        </w:rPr>
        <w:t>4.2.4</w:t>
      </w:r>
      <w:r>
        <w:rPr>
          <w:rFonts w:cs="Times New Roman"/>
        </w:rPr>
        <w:t>村庄建设边界</w:t>
      </w:r>
    </w:p>
    <w:p w14:paraId="4241DBCC">
      <w:pPr>
        <w:ind w:firstLine="640"/>
        <w:rPr>
          <w:rFonts w:cs="Times New Roman"/>
          <w:color w:val="FF0000"/>
        </w:rPr>
      </w:pPr>
      <w:r>
        <w:rPr>
          <w:rFonts w:cs="Times New Roman"/>
        </w:rPr>
        <w:t>以村庄建设边界初划成果为基础，结合村庄发展需要，在符合</w:t>
      </w:r>
      <w:r>
        <w:rPr>
          <w:rFonts w:hint="eastAsia" w:cs="Times New Roman"/>
          <w:color w:val="000000"/>
          <w:lang w:bidi="ar"/>
        </w:rPr>
        <w:t>“三区三线”</w:t>
      </w:r>
      <w:r>
        <w:rPr>
          <w:rFonts w:cs="Times New Roman"/>
        </w:rPr>
        <w:t>管控要求前提下，优化村庄建设边界，推动乡村建设用地集约利用，</w:t>
      </w:r>
      <w:r>
        <w:rPr>
          <w:rFonts w:cs="Times New Roman"/>
          <w:u w:val="single"/>
        </w:rPr>
        <w:t>全域划定村庄建设边界</w:t>
      </w:r>
      <w:r>
        <w:rPr>
          <w:rFonts w:hint="eastAsia" w:cs="Times New Roman"/>
          <w:u w:val="single"/>
        </w:rPr>
        <w:t>162.95</w:t>
      </w:r>
      <w:r>
        <w:rPr>
          <w:rFonts w:cs="Times New Roman"/>
          <w:u w:val="single"/>
        </w:rPr>
        <w:t>公顷，坚持集聚建设，引导乡村建设向边界内集聚</w:t>
      </w:r>
      <w:r>
        <w:rPr>
          <w:rFonts w:cs="Times New Roman"/>
        </w:rPr>
        <w:t>。全域村庄建设边界规模不超过2020年度国土变更调查村庄用地规模。</w:t>
      </w:r>
    </w:p>
    <w:p w14:paraId="043F9E88">
      <w:pPr>
        <w:widowControl/>
        <w:adjustRightInd w:val="0"/>
        <w:snapToGrid w:val="0"/>
        <w:ind w:firstLine="640"/>
        <w:rPr>
          <w:rFonts w:cs="Times New Roman"/>
        </w:rPr>
      </w:pPr>
      <w:r>
        <w:rPr>
          <w:rFonts w:cs="Times New Roman"/>
        </w:rPr>
        <w:t>强化村庄建设边界对开发建设行为的刚性约束作用。积极引导乡村建设行为向村庄建设用地边界内集聚，鼓励乡村建设用地复合利用。必要情况外，原则上不在村庄建设边界外安排项目。在不占用耕地和永久基本农田、生态保护红线、不突破国土空间规划建设用地指标等约束条件、不破坏生态环境和乡村风貌的前提下，利用农村本地资源开展农产品初加工、发展休闲观光旅游而必须的配套设施建设用地，可在村庄建设边界外安排少量</w:t>
      </w:r>
      <w:r>
        <w:rPr>
          <w:rFonts w:hint="eastAsia" w:cs="Times New Roman"/>
          <w:color w:val="000000"/>
          <w:lang w:bidi="ar"/>
        </w:rPr>
        <w:t>“点状”</w:t>
      </w:r>
      <w:r>
        <w:rPr>
          <w:rFonts w:cs="Times New Roman"/>
        </w:rPr>
        <w:t>建设用地；农村道路、电力、电讯等线性公益设施用地，以及宗教、殡葬等特殊用地可在边界外安排；符合县、镇级国土空间规划村庄国土空间用途管制规则和建设管控要求的可在边界外安排用地，项目确需建设的，可向县级自然资源主管部门申请使用机动指标。</w:t>
      </w:r>
    </w:p>
    <w:p w14:paraId="66E2DAB7">
      <w:pPr>
        <w:pStyle w:val="4"/>
        <w:numPr>
          <w:ilvl w:val="0"/>
          <w:numId w:val="0"/>
        </w:numPr>
        <w:ind w:left="640" w:leftChars="0"/>
        <w:rPr>
          <w:rFonts w:cs="Times New Roman"/>
        </w:rPr>
      </w:pPr>
      <w:r>
        <w:rPr>
          <w:rFonts w:hint="eastAsia" w:cs="Times New Roman"/>
          <w:lang w:val="en-US" w:eastAsia="zh-CN"/>
        </w:rPr>
        <w:t>4.2.5</w:t>
      </w:r>
      <w:r>
        <w:rPr>
          <w:rFonts w:cs="Times New Roman"/>
        </w:rPr>
        <w:t>历史文化保护线</w:t>
      </w:r>
    </w:p>
    <w:p w14:paraId="3009338A">
      <w:pPr>
        <w:ind w:firstLine="640"/>
        <w:rPr>
          <w:rFonts w:cs="Times New Roman"/>
          <w:szCs w:val="32"/>
          <w:lang w:bidi="ar"/>
        </w:rPr>
      </w:pPr>
      <w:r>
        <w:rPr>
          <w:rFonts w:cs="Times New Roman"/>
          <w:szCs w:val="32"/>
          <w:lang w:bidi="ar"/>
        </w:rPr>
        <w:t>保护</w:t>
      </w:r>
      <w:r>
        <w:rPr>
          <w:rFonts w:hint="eastAsia" w:cs="Times New Roman"/>
          <w:szCs w:val="32"/>
          <w:lang w:bidi="ar"/>
        </w:rPr>
        <w:t>北甸子</w:t>
      </w:r>
      <w:r>
        <w:rPr>
          <w:rFonts w:cs="Times New Roman"/>
          <w:szCs w:val="32"/>
          <w:lang w:bidi="ar"/>
        </w:rPr>
        <w:t>乡内的历史文化资源，包括省级重点文物保护单位</w:t>
      </w:r>
      <w:r>
        <w:rPr>
          <w:rFonts w:hint="eastAsia" w:cs="Times New Roman"/>
          <w:szCs w:val="32"/>
          <w:lang w:bidi="ar"/>
        </w:rPr>
        <w:t>高丽墓子</w:t>
      </w:r>
      <w:r>
        <w:rPr>
          <w:rFonts w:cs="Times New Roman"/>
          <w:szCs w:val="32"/>
          <w:lang w:bidi="ar"/>
        </w:rPr>
        <w:t>墓群，市级文物保护单位</w:t>
      </w:r>
      <w:r>
        <w:rPr>
          <w:rFonts w:hint="eastAsia" w:cs="Times New Roman"/>
          <w:szCs w:val="32"/>
          <w:lang w:bidi="ar"/>
        </w:rPr>
        <w:t>王义沟</w:t>
      </w:r>
      <w:r>
        <w:rPr>
          <w:rFonts w:cs="Times New Roman"/>
          <w:szCs w:val="32"/>
          <w:lang w:bidi="ar"/>
        </w:rPr>
        <w:t>遗址。参照《国土空间历史文化遗产保护规划编制指南》（TD/T1090－2023）统筹划定历史文化保护线，并及时落实动态补划。历史文化保护线的具体边界可在详细规划编制和实施中落实。在历史文化保护线范围内进行新建或者改建各类建筑物、构筑物和其他设施，对规划确定保护的建筑物、构筑物和其他设施进行修缮和维修以及改变建筑物、构筑物的使用性质，应当依照相关法律法规的规定，办理相关手续后方可进行。加强历史文化遗产与周边山水环境之间的整体保护，与所在地域农业、生态空间之间的协同保护与涉及建设活动空间之间的协调。</w:t>
      </w:r>
    </w:p>
    <w:p w14:paraId="2D37FBFA">
      <w:pPr>
        <w:adjustRightInd w:val="0"/>
        <w:snapToGrid w:val="0"/>
        <w:spacing w:line="600" w:lineRule="atLeast"/>
        <w:ind w:firstLine="0" w:firstLineChars="0"/>
        <w:jc w:val="center"/>
        <w:outlineLvl w:val="2"/>
        <w:rPr>
          <w:rFonts w:eastAsia="黑体" w:cs="Times New Roman"/>
          <w:sz w:val="28"/>
          <w:szCs w:val="21"/>
        </w:rPr>
      </w:pPr>
      <w:r>
        <w:rPr>
          <w:rFonts w:eastAsia="黑体" w:cs="Times New Roman"/>
          <w:sz w:val="28"/>
          <w:szCs w:val="21"/>
        </w:rPr>
        <w:t>表8 历史文化资源一览表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842"/>
        <w:gridCol w:w="1985"/>
        <w:gridCol w:w="1134"/>
        <w:gridCol w:w="1417"/>
        <w:gridCol w:w="936"/>
      </w:tblGrid>
      <w:tr w14:paraId="400A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02D0300A">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序号</w:t>
            </w:r>
          </w:p>
        </w:tc>
        <w:tc>
          <w:tcPr>
            <w:tcW w:w="1842" w:type="dxa"/>
            <w:vAlign w:val="center"/>
          </w:tcPr>
          <w:p w14:paraId="1E320582">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名称</w:t>
            </w:r>
          </w:p>
        </w:tc>
        <w:tc>
          <w:tcPr>
            <w:tcW w:w="1985" w:type="dxa"/>
            <w:vAlign w:val="center"/>
          </w:tcPr>
          <w:p w14:paraId="0034F854">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行政村</w:t>
            </w:r>
          </w:p>
        </w:tc>
        <w:tc>
          <w:tcPr>
            <w:tcW w:w="1134" w:type="dxa"/>
            <w:vAlign w:val="center"/>
          </w:tcPr>
          <w:p w14:paraId="75CB53BE">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级别</w:t>
            </w:r>
          </w:p>
        </w:tc>
        <w:tc>
          <w:tcPr>
            <w:tcW w:w="1417" w:type="dxa"/>
            <w:vAlign w:val="center"/>
          </w:tcPr>
          <w:p w14:paraId="66876741">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类别</w:t>
            </w:r>
          </w:p>
        </w:tc>
        <w:tc>
          <w:tcPr>
            <w:tcW w:w="936" w:type="dxa"/>
            <w:vAlign w:val="center"/>
          </w:tcPr>
          <w:p w14:paraId="6EEF8298">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备注</w:t>
            </w:r>
          </w:p>
        </w:tc>
      </w:tr>
      <w:tr w14:paraId="3060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7A58447">
            <w:pPr>
              <w:spacing w:line="240" w:lineRule="auto"/>
              <w:ind w:firstLine="0" w:firstLineChars="0"/>
              <w:jc w:val="center"/>
              <w:rPr>
                <w:rFonts w:eastAsia="仿宋" w:cs="Times New Roman"/>
                <w:kern w:val="0"/>
                <w:sz w:val="21"/>
                <w:szCs w:val="21"/>
              </w:rPr>
            </w:pPr>
            <w:r>
              <w:rPr>
                <w:rFonts w:eastAsia="仿宋" w:cs="Times New Roman"/>
                <w:kern w:val="0"/>
                <w:sz w:val="21"/>
                <w:szCs w:val="21"/>
              </w:rPr>
              <w:t>3</w:t>
            </w:r>
          </w:p>
        </w:tc>
        <w:tc>
          <w:tcPr>
            <w:tcW w:w="1842" w:type="dxa"/>
            <w:vAlign w:val="center"/>
          </w:tcPr>
          <w:p w14:paraId="5C30E259">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高丽</w:t>
            </w:r>
            <w:r>
              <w:rPr>
                <w:rFonts w:hint="eastAsia" w:eastAsia="仿宋" w:cs="Times New Roman"/>
                <w:kern w:val="0"/>
                <w:sz w:val="21"/>
                <w:szCs w:val="21"/>
                <w:lang w:val="en-US" w:eastAsia="zh-CN"/>
              </w:rPr>
              <w:t>王</w:t>
            </w:r>
            <w:r>
              <w:rPr>
                <w:rFonts w:hint="eastAsia" w:eastAsia="仿宋" w:cs="Times New Roman"/>
                <w:kern w:val="0"/>
                <w:sz w:val="21"/>
                <w:szCs w:val="21"/>
              </w:rPr>
              <w:t>子墓群</w:t>
            </w:r>
          </w:p>
        </w:tc>
        <w:tc>
          <w:tcPr>
            <w:tcW w:w="1985" w:type="dxa"/>
            <w:vAlign w:val="center"/>
          </w:tcPr>
          <w:p w14:paraId="0C7C6ECF">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长春沟村</w:t>
            </w:r>
          </w:p>
        </w:tc>
        <w:tc>
          <w:tcPr>
            <w:tcW w:w="1134" w:type="dxa"/>
            <w:vAlign w:val="center"/>
          </w:tcPr>
          <w:p w14:paraId="6A5489F0">
            <w:pPr>
              <w:spacing w:line="240" w:lineRule="auto"/>
              <w:ind w:firstLine="0" w:firstLineChars="0"/>
              <w:jc w:val="center"/>
              <w:rPr>
                <w:rFonts w:eastAsia="仿宋" w:cs="Times New Roman"/>
                <w:kern w:val="0"/>
                <w:sz w:val="21"/>
                <w:szCs w:val="21"/>
              </w:rPr>
            </w:pPr>
            <w:r>
              <w:rPr>
                <w:rFonts w:eastAsia="仿宋" w:cs="Times New Roman"/>
                <w:kern w:val="0"/>
                <w:sz w:val="21"/>
                <w:szCs w:val="21"/>
              </w:rPr>
              <w:t>省级</w:t>
            </w:r>
          </w:p>
        </w:tc>
        <w:tc>
          <w:tcPr>
            <w:tcW w:w="1417" w:type="dxa"/>
            <w:vAlign w:val="center"/>
          </w:tcPr>
          <w:p w14:paraId="1F766F1D">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6" w:type="dxa"/>
            <w:vAlign w:val="center"/>
          </w:tcPr>
          <w:p w14:paraId="7CFF5698">
            <w:pPr>
              <w:spacing w:line="240" w:lineRule="auto"/>
              <w:ind w:firstLine="0" w:firstLineChars="0"/>
              <w:jc w:val="center"/>
              <w:rPr>
                <w:rFonts w:eastAsia="仿宋" w:cs="Times New Roman"/>
                <w:kern w:val="0"/>
                <w:sz w:val="21"/>
                <w:szCs w:val="21"/>
              </w:rPr>
            </w:pPr>
          </w:p>
        </w:tc>
      </w:tr>
      <w:tr w14:paraId="1F6E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6680D8D">
            <w:pPr>
              <w:spacing w:line="240" w:lineRule="auto"/>
              <w:ind w:firstLine="0" w:firstLineChars="0"/>
              <w:jc w:val="center"/>
              <w:rPr>
                <w:rFonts w:eastAsia="仿宋" w:cs="Times New Roman"/>
                <w:kern w:val="0"/>
                <w:sz w:val="21"/>
                <w:szCs w:val="21"/>
              </w:rPr>
            </w:pPr>
            <w:r>
              <w:rPr>
                <w:rFonts w:eastAsia="仿宋" w:cs="Times New Roman"/>
                <w:kern w:val="0"/>
                <w:sz w:val="21"/>
                <w:szCs w:val="21"/>
              </w:rPr>
              <w:t>4</w:t>
            </w:r>
          </w:p>
        </w:tc>
        <w:tc>
          <w:tcPr>
            <w:tcW w:w="1842" w:type="dxa"/>
            <w:vAlign w:val="center"/>
          </w:tcPr>
          <w:p w14:paraId="757B8010">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王义沟墓群</w:t>
            </w:r>
          </w:p>
        </w:tc>
        <w:tc>
          <w:tcPr>
            <w:tcW w:w="1985" w:type="dxa"/>
            <w:vAlign w:val="center"/>
          </w:tcPr>
          <w:p w14:paraId="2457DA8B">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长春沟村</w:t>
            </w:r>
          </w:p>
        </w:tc>
        <w:tc>
          <w:tcPr>
            <w:tcW w:w="1134" w:type="dxa"/>
            <w:vAlign w:val="center"/>
          </w:tcPr>
          <w:p w14:paraId="119B868B">
            <w:pPr>
              <w:spacing w:line="240" w:lineRule="auto"/>
              <w:ind w:firstLine="0" w:firstLineChars="0"/>
              <w:jc w:val="center"/>
              <w:rPr>
                <w:rFonts w:eastAsia="仿宋" w:cs="Times New Roman"/>
                <w:kern w:val="0"/>
                <w:sz w:val="21"/>
                <w:szCs w:val="21"/>
              </w:rPr>
            </w:pPr>
            <w:r>
              <w:rPr>
                <w:rFonts w:eastAsia="仿宋" w:cs="Times New Roman"/>
                <w:kern w:val="0"/>
                <w:sz w:val="21"/>
                <w:szCs w:val="21"/>
              </w:rPr>
              <w:t>市级</w:t>
            </w:r>
          </w:p>
        </w:tc>
        <w:tc>
          <w:tcPr>
            <w:tcW w:w="1417" w:type="dxa"/>
            <w:vAlign w:val="center"/>
          </w:tcPr>
          <w:p w14:paraId="2375514D">
            <w:pPr>
              <w:spacing w:line="240" w:lineRule="auto"/>
              <w:ind w:firstLine="0" w:firstLineChars="0"/>
              <w:jc w:val="center"/>
              <w:rPr>
                <w:rFonts w:eastAsia="仿宋" w:cs="Times New Roman"/>
                <w:kern w:val="0"/>
                <w:sz w:val="21"/>
                <w:szCs w:val="21"/>
              </w:rPr>
            </w:pPr>
            <w:r>
              <w:rPr>
                <w:rFonts w:eastAsia="仿宋" w:cs="Times New Roman"/>
                <w:kern w:val="0"/>
                <w:sz w:val="21"/>
                <w:szCs w:val="21"/>
              </w:rPr>
              <w:t>文保单位</w:t>
            </w:r>
          </w:p>
        </w:tc>
        <w:tc>
          <w:tcPr>
            <w:tcW w:w="936" w:type="dxa"/>
            <w:vAlign w:val="center"/>
          </w:tcPr>
          <w:p w14:paraId="7EA95CA5">
            <w:pPr>
              <w:spacing w:line="240" w:lineRule="auto"/>
              <w:ind w:firstLine="0" w:firstLineChars="0"/>
              <w:jc w:val="center"/>
              <w:rPr>
                <w:rFonts w:eastAsia="仿宋" w:cs="Times New Roman"/>
                <w:kern w:val="0"/>
                <w:sz w:val="21"/>
                <w:szCs w:val="21"/>
              </w:rPr>
            </w:pPr>
          </w:p>
        </w:tc>
      </w:tr>
    </w:tbl>
    <w:p w14:paraId="19CC23AB">
      <w:pPr>
        <w:pStyle w:val="4"/>
        <w:numPr>
          <w:ilvl w:val="0"/>
          <w:numId w:val="0"/>
        </w:numPr>
        <w:ind w:left="640" w:leftChars="0"/>
        <w:rPr>
          <w:rFonts w:cs="Times New Roman"/>
        </w:rPr>
      </w:pPr>
      <w:r>
        <w:rPr>
          <w:rFonts w:hint="eastAsia" w:cs="Times New Roman"/>
          <w:lang w:val="en-US" w:eastAsia="zh-CN"/>
        </w:rPr>
        <w:t>4.2.6</w:t>
      </w:r>
      <w:r>
        <w:rPr>
          <w:rFonts w:hint="eastAsia" w:cs="Times New Roman"/>
        </w:rPr>
        <w:t>洪涝风险控制性及管控要求</w:t>
      </w:r>
    </w:p>
    <w:p w14:paraId="2E4E650C">
      <w:pPr>
        <w:ind w:firstLine="640"/>
        <w:rPr>
          <w:szCs w:val="32"/>
        </w:rPr>
      </w:pPr>
      <w:r>
        <w:rPr>
          <w:rFonts w:hint="eastAsia"/>
          <w:szCs w:val="32"/>
        </w:rPr>
        <w:t>划定洪涝风险控制线。以本溪市河湖划界成果为基础，结合河流防洪排涝标准、三年一遇洪水淹没线数据，对流域面积大于50平方千米的部分河流划定洪涝风险控制线，全镇初步划定洪涝风险控制区14.10平方千米，具体洪涝风险控制线在详细规划中落实。洪涝风险控制线内严格限制影响防洪排涝系统完整性和通达性的行为，禁止修建阻碍行洪的各类建筑物。结合灾害防治工程建设进度实时调整风险管控范围，引导各项建设避开灾害风险区。</w:t>
      </w:r>
    </w:p>
    <w:p w14:paraId="5F019250">
      <w:pPr>
        <w:pStyle w:val="3"/>
        <w:rPr>
          <w:rFonts w:ascii="Times New Roman" w:hAnsi="Times New Roman" w:cs="Times New Roman"/>
        </w:rPr>
      </w:pPr>
      <w:bookmarkStart w:id="24" w:name="_Toc205557223"/>
      <w:bookmarkStart w:id="25" w:name="_Toc15806"/>
      <w:r>
        <w:rPr>
          <w:rFonts w:hint="eastAsia" w:ascii="Times New Roman" w:hAnsi="Times New Roman" w:cs="Times New Roman"/>
          <w:lang w:val="en-US" w:eastAsia="zh-CN"/>
        </w:rPr>
        <w:t>4.3</w:t>
      </w:r>
      <w:r>
        <w:rPr>
          <w:rFonts w:ascii="Times New Roman" w:hAnsi="Times New Roman" w:cs="Times New Roman"/>
        </w:rPr>
        <w:t xml:space="preserve"> 规划分区</w:t>
      </w:r>
      <w:bookmarkEnd w:id="24"/>
      <w:bookmarkEnd w:id="25"/>
    </w:p>
    <w:p w14:paraId="4696FE07">
      <w:pPr>
        <w:pStyle w:val="4"/>
        <w:numPr>
          <w:ilvl w:val="0"/>
          <w:numId w:val="0"/>
        </w:numPr>
        <w:ind w:left="640" w:leftChars="0"/>
        <w:rPr>
          <w:rFonts w:cs="Times New Roman"/>
        </w:rPr>
      </w:pPr>
      <w:r>
        <w:rPr>
          <w:rFonts w:hint="eastAsia" w:cs="Times New Roman"/>
          <w:lang w:val="en-US" w:eastAsia="zh-CN"/>
        </w:rPr>
        <w:t>4.3.1</w:t>
      </w:r>
      <w:r>
        <w:rPr>
          <w:rFonts w:cs="Times New Roman"/>
        </w:rPr>
        <w:t>规划分区</w:t>
      </w:r>
    </w:p>
    <w:p w14:paraId="132A3837">
      <w:pPr>
        <w:ind w:firstLine="640"/>
        <w:rPr>
          <w:rFonts w:cs="Times New Roman"/>
        </w:rPr>
      </w:pPr>
      <w:r>
        <w:rPr>
          <w:rFonts w:cs="Times New Roman"/>
        </w:rPr>
        <w:t>规划分区分为一级规划分区和二级规划分区。一级规划分区包括以下6类：生态保护区、生态控制区、农田保护区、城镇发展区、乡村发展区、矿产能源发展区。城镇发展区和乡村发展区分别细分为二级规划分区。规划分区管控应按照国家转换原则和准入要求规定执行。</w:t>
      </w:r>
    </w:p>
    <w:p w14:paraId="760ACF65">
      <w:pPr>
        <w:ind w:firstLine="640"/>
        <w:rPr>
          <w:rFonts w:cs="Times New Roman"/>
        </w:rPr>
      </w:pPr>
      <w:r>
        <w:rPr>
          <w:rFonts w:cs="Times New Roman"/>
        </w:rPr>
        <w:t>生态保护区指具有特殊重要生态功能或</w:t>
      </w:r>
      <w:r>
        <w:rPr>
          <w:rFonts w:hint="eastAsia" w:cs="Times New Roman"/>
        </w:rPr>
        <w:t>生</w:t>
      </w:r>
      <w:r>
        <w:rPr>
          <w:rFonts w:cs="Times New Roman"/>
        </w:rPr>
        <w:t>态敏感脆弱、必须强制性严格保护的自然区域，总面积为</w:t>
      </w:r>
      <w:r>
        <w:rPr>
          <w:rFonts w:hint="eastAsia" w:cs="Times New Roman"/>
        </w:rPr>
        <w:t>5083.85</w:t>
      </w:r>
      <w:r>
        <w:rPr>
          <w:rFonts w:cs="Times New Roman"/>
        </w:rPr>
        <w:t>公顷，占北甸子乡国土总面积的</w:t>
      </w:r>
      <w:r>
        <w:rPr>
          <w:rFonts w:hint="eastAsia" w:cs="Times New Roman"/>
        </w:rPr>
        <w:t>45.48</w:t>
      </w:r>
      <w:r>
        <w:rPr>
          <w:rFonts w:cs="Times New Roman"/>
        </w:rPr>
        <w:t>%。生态控制区指生态保护红线外，需要予以保留原貌、强化生态保育和生态建设、限制开发建设的区域，总面积为</w:t>
      </w:r>
      <w:r>
        <w:rPr>
          <w:rFonts w:hint="eastAsia" w:cs="Times New Roman"/>
        </w:rPr>
        <w:t>3501.42</w:t>
      </w:r>
      <w:r>
        <w:rPr>
          <w:rFonts w:cs="Times New Roman"/>
        </w:rPr>
        <w:t>公顷，占北甸子乡国土总面积的</w:t>
      </w:r>
      <w:r>
        <w:rPr>
          <w:rFonts w:hint="eastAsia" w:cs="Times New Roman"/>
        </w:rPr>
        <w:t>31.32</w:t>
      </w:r>
      <w:r>
        <w:rPr>
          <w:rFonts w:cs="Times New Roman"/>
        </w:rPr>
        <w:t>%。农田保护区指永久基本农田相对集中需严格保护的区域，主要分布在镇域东部等永久基本农田大规模集中的地区，总面积为</w:t>
      </w:r>
      <w:r>
        <w:rPr>
          <w:rFonts w:hint="eastAsia" w:cs="Times New Roman"/>
        </w:rPr>
        <w:t>1648.59</w:t>
      </w:r>
      <w:r>
        <w:rPr>
          <w:rFonts w:cs="Times New Roman"/>
        </w:rPr>
        <w:t xml:space="preserve"> 公顷，占北甸子乡国土总面积的</w:t>
      </w:r>
      <w:r>
        <w:rPr>
          <w:rFonts w:hint="eastAsia" w:cs="Times New Roman"/>
        </w:rPr>
        <w:t>14.75</w:t>
      </w:r>
      <w:r>
        <w:rPr>
          <w:rFonts w:cs="Times New Roman"/>
        </w:rPr>
        <w:t>%。乡村发展区指农田保护区外，为满足农林牧渔等农业发展以及农民集中生活和生产配套为主的区域，主要分布于城镇发展区、农田保护区周边，总面积为</w:t>
      </w:r>
      <w:r>
        <w:rPr>
          <w:rFonts w:hint="eastAsia" w:cs="Times New Roman"/>
        </w:rPr>
        <w:t>901.38</w:t>
      </w:r>
      <w:r>
        <w:rPr>
          <w:rFonts w:cs="Times New Roman"/>
        </w:rPr>
        <w:t>公顷，占北甸子乡国土总面积的</w:t>
      </w:r>
      <w:r>
        <w:rPr>
          <w:rFonts w:hint="eastAsia" w:cs="Times New Roman"/>
        </w:rPr>
        <w:t>8.06</w:t>
      </w:r>
      <w:r>
        <w:rPr>
          <w:rFonts w:cs="Times New Roman"/>
        </w:rPr>
        <w:t>%。城镇发展区指城镇开发边界围合的范围，是城镇集中开发建设并可满足城镇生产、生活需要的区域，主要分布在北甸子乡中心区，总面积为</w:t>
      </w:r>
      <w:r>
        <w:rPr>
          <w:rFonts w:hint="eastAsia" w:cs="Times New Roman"/>
        </w:rPr>
        <w:t>41.48</w:t>
      </w:r>
      <w:r>
        <w:rPr>
          <w:rFonts w:cs="Times New Roman"/>
        </w:rPr>
        <w:t xml:space="preserve"> 公顷，占北甸子乡国土总面积的0.3</w:t>
      </w:r>
      <w:r>
        <w:rPr>
          <w:rFonts w:hint="eastAsia" w:cs="Times New Roman"/>
        </w:rPr>
        <w:t>7</w:t>
      </w:r>
      <w:r>
        <w:rPr>
          <w:rFonts w:cs="Times New Roman"/>
        </w:rPr>
        <w:t>%。矿产能源发展区指为适应国家能源安全与矿业发展的重要陆域采矿区、战略性矿产储量区等区域，主要分布在镇域西部，总面积为</w:t>
      </w:r>
      <w:r>
        <w:rPr>
          <w:rFonts w:hint="eastAsia" w:cs="Times New Roman"/>
        </w:rPr>
        <w:t>2.58</w:t>
      </w:r>
      <w:r>
        <w:rPr>
          <w:rFonts w:cs="Times New Roman"/>
        </w:rPr>
        <w:t xml:space="preserve"> 公顷，占北甸子乡国土总面积的0.0</w:t>
      </w:r>
      <w:r>
        <w:rPr>
          <w:rFonts w:hint="eastAsia" w:cs="Times New Roman"/>
        </w:rPr>
        <w:t>2</w:t>
      </w:r>
      <w:r>
        <w:rPr>
          <w:rFonts w:cs="Times New Roman"/>
        </w:rPr>
        <w:t>%。</w:t>
      </w:r>
    </w:p>
    <w:p w14:paraId="44E2C3B3">
      <w:pPr>
        <w:pStyle w:val="3"/>
        <w:rPr>
          <w:rFonts w:ascii="Times New Roman" w:hAnsi="Times New Roman" w:cs="Times New Roman"/>
        </w:rPr>
      </w:pPr>
      <w:bookmarkStart w:id="26" w:name="_Toc205557224"/>
      <w:bookmarkStart w:id="27" w:name="_Toc1971"/>
      <w:r>
        <w:rPr>
          <w:rFonts w:hint="eastAsia" w:ascii="Times New Roman" w:hAnsi="Times New Roman" w:cs="Times New Roman"/>
          <w:lang w:val="en-US" w:eastAsia="zh-CN"/>
        </w:rPr>
        <w:t>4.4</w:t>
      </w:r>
      <w:r>
        <w:rPr>
          <w:rFonts w:ascii="Times New Roman" w:hAnsi="Times New Roman" w:cs="Times New Roman"/>
        </w:rPr>
        <w:t xml:space="preserve"> 国土空间用途结构优化</w:t>
      </w:r>
      <w:bookmarkEnd w:id="26"/>
      <w:bookmarkEnd w:id="27"/>
    </w:p>
    <w:p w14:paraId="7A594C25">
      <w:pPr>
        <w:ind w:firstLine="640"/>
        <w:rPr>
          <w:rFonts w:cs="Times New Roman"/>
          <w:lang w:bidi="ar"/>
        </w:rPr>
      </w:pPr>
      <w:r>
        <w:rPr>
          <w:rFonts w:cs="Times New Roman"/>
          <w:color w:val="000000"/>
          <w:lang w:bidi="ar"/>
        </w:rPr>
        <w:t>加强全域用途管制，统筹国土空间用</w:t>
      </w:r>
      <w:r>
        <w:rPr>
          <w:rFonts w:cs="Times New Roman"/>
          <w:lang w:bidi="ar"/>
        </w:rPr>
        <w:t>途结构优化。</w:t>
      </w:r>
    </w:p>
    <w:p w14:paraId="407C544D">
      <w:pPr>
        <w:pStyle w:val="4"/>
        <w:numPr>
          <w:ilvl w:val="0"/>
          <w:numId w:val="0"/>
        </w:numPr>
        <w:ind w:left="640" w:leftChars="0"/>
        <w:rPr>
          <w:rFonts w:cs="Times New Roman"/>
        </w:rPr>
      </w:pPr>
      <w:r>
        <w:rPr>
          <w:rFonts w:hint="eastAsia" w:cs="Times New Roman"/>
          <w:lang w:val="en-US" w:eastAsia="zh-CN"/>
        </w:rPr>
        <w:t>4.4.1</w:t>
      </w:r>
      <w:r>
        <w:rPr>
          <w:rFonts w:hint="eastAsia" w:cs="Times New Roman"/>
        </w:rPr>
        <w:t>优先保障农业与生态空间用途</w:t>
      </w:r>
    </w:p>
    <w:p w14:paraId="5838A52B">
      <w:pPr>
        <w:ind w:firstLine="640"/>
        <w:rPr>
          <w:rFonts w:cs="Times New Roman"/>
        </w:rPr>
      </w:pPr>
      <w:r>
        <w:rPr>
          <w:rFonts w:hint="eastAsia" w:cs="Times New Roman"/>
        </w:rPr>
        <w:t>优先保护耕地、林地、湿地等重要农业和生态功能用地。落实最严格的耕地保护制度，现状耕地应划尽划，应保尽保。</w:t>
      </w:r>
      <w:r>
        <w:rPr>
          <w:rFonts w:cs="Times New Roman"/>
        </w:rPr>
        <w:t>规划到2035年，耕地保护面积不低于</w:t>
      </w:r>
      <w:r>
        <w:rPr>
          <w:rFonts w:hint="eastAsia" w:cs="Times New Roman"/>
        </w:rPr>
        <w:t>1725.73公顷</w:t>
      </w:r>
      <w:r>
        <w:rPr>
          <w:rFonts w:cs="Times New Roman"/>
        </w:rPr>
        <w:t>，永久基本农田保护面积不低于</w:t>
      </w:r>
      <w:r>
        <w:rPr>
          <w:rFonts w:hint="eastAsia" w:cs="Times New Roman"/>
        </w:rPr>
        <w:t>1648.25公顷</w:t>
      </w:r>
      <w:r>
        <w:rPr>
          <w:rFonts w:cs="Times New Roman"/>
        </w:rPr>
        <w:t>。</w:t>
      </w:r>
    </w:p>
    <w:p w14:paraId="6D3E18A5">
      <w:pPr>
        <w:ind w:firstLine="640"/>
        <w:rPr>
          <w:rFonts w:cs="Times New Roman"/>
        </w:rPr>
      </w:pPr>
      <w:r>
        <w:rPr>
          <w:rFonts w:cs="Times New Roman"/>
        </w:rPr>
        <w:t>规划期间合理引导园地发展，综合运用农业措施，改善生产条件，提高园地利用效益，推动农产品加工等产业发展。</w:t>
      </w:r>
    </w:p>
    <w:p w14:paraId="413E5402">
      <w:pPr>
        <w:ind w:firstLine="640"/>
        <w:rPr>
          <w:rFonts w:cs="Times New Roman"/>
        </w:rPr>
      </w:pPr>
      <w:r>
        <w:rPr>
          <w:rFonts w:cs="Times New Roman"/>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2A0D268A">
      <w:pPr>
        <w:pStyle w:val="4"/>
        <w:numPr>
          <w:ilvl w:val="0"/>
          <w:numId w:val="0"/>
        </w:numPr>
        <w:ind w:left="640" w:leftChars="0"/>
        <w:rPr>
          <w:rFonts w:cs="Times New Roman"/>
        </w:rPr>
      </w:pPr>
      <w:r>
        <w:rPr>
          <w:rFonts w:hint="eastAsia" w:cs="Times New Roman"/>
          <w:lang w:val="en-US" w:eastAsia="zh-CN"/>
        </w:rPr>
        <w:t>4.4.2</w:t>
      </w:r>
      <w:r>
        <w:rPr>
          <w:rFonts w:cs="Times New Roman"/>
        </w:rPr>
        <w:t>建设用地结构优化</w:t>
      </w:r>
    </w:p>
    <w:p w14:paraId="0C687468">
      <w:pPr>
        <w:ind w:firstLine="640"/>
        <w:rPr>
          <w:rFonts w:cs="Times New Roman"/>
        </w:rPr>
      </w:pPr>
      <w:r>
        <w:rPr>
          <w:rFonts w:cs="Times New Roman"/>
        </w:rPr>
        <w:t>统筹城乡居住、基础设施、公共服务、产业发展布局，推动城乡建设用地结构优化。节约集约用地，引导工业区分散用地集中布局，优化职住比例和空间布局。提升公共管理与公共服务设施用地、商业服务业用地占比，增加基础设施，完善路网结构，鼓励宅基地集约化建设，引导乡村人口集中居住。</w:t>
      </w:r>
    </w:p>
    <w:p w14:paraId="483F07D4">
      <w:pPr>
        <w:ind w:firstLine="640"/>
        <w:rPr>
          <w:rFonts w:cs="Times New Roman"/>
        </w:rPr>
      </w:pPr>
      <w:r>
        <w:rPr>
          <w:rFonts w:cs="Times New Roman"/>
        </w:rPr>
        <w:t>促进城镇建设用地集约利用。引导城镇建设用地向城镇开发边界内集中，促进城镇集约集聚建设，提高土地节约集约利用水平。推进闲置土地二次开发，积极引导城中村集中成片改造，推动城中村向现代化社区转变，提升土地利用效率和环境品质。逐步增加城乡建设用地增减挂钩、工矿废弃地复垦利用等流量指标，通过建设用地流量供应推动建设用地在城镇和农村内部、城乡之间合理流动。</w:t>
      </w:r>
    </w:p>
    <w:p w14:paraId="33403E05">
      <w:pPr>
        <w:ind w:firstLine="640"/>
        <w:rPr>
          <w:rFonts w:cs="Times New Roman"/>
        </w:rPr>
      </w:pPr>
      <w:r>
        <w:rPr>
          <w:rFonts w:cs="Times New Roman"/>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在符合法律法规、政策要求的前提下，可预留不高于5%的建设用地机动指标，用于村民居住、农村公共公益设施、零星分散的乡村文旅设施及农村新产业新业态等用地需求。</w:t>
      </w:r>
    </w:p>
    <w:p w14:paraId="726F22CE">
      <w:pPr>
        <w:adjustRightInd w:val="0"/>
        <w:snapToGrid w:val="0"/>
        <w:spacing w:line="600" w:lineRule="atLeast"/>
        <w:ind w:firstLine="0" w:firstLineChars="0"/>
        <w:jc w:val="center"/>
        <w:outlineLvl w:val="2"/>
        <w:rPr>
          <w:rFonts w:eastAsia="黑体" w:cs="Times New Roman"/>
          <w:sz w:val="28"/>
          <w:szCs w:val="21"/>
        </w:rPr>
      </w:pPr>
      <w:r>
        <w:rPr>
          <w:rFonts w:eastAsia="黑体" w:cs="Times New Roman"/>
          <w:sz w:val="28"/>
          <w:szCs w:val="21"/>
        </w:rPr>
        <w:t>表2 国土空间功能结构调整表</w:t>
      </w:r>
    </w:p>
    <w:p w14:paraId="56DA6B4D">
      <w:pPr>
        <w:widowControl/>
        <w:spacing w:line="240" w:lineRule="auto"/>
        <w:ind w:firstLine="0" w:firstLineChars="0"/>
        <w:jc w:val="right"/>
        <w:rPr>
          <w:rFonts w:eastAsia="仿宋" w:cs="Times New Roman"/>
          <w:color w:val="000000"/>
          <w:kern w:val="0"/>
          <w:sz w:val="21"/>
          <w:szCs w:val="21"/>
          <w:lang w:bidi="ar"/>
        </w:rPr>
      </w:pPr>
      <w:r>
        <w:rPr>
          <w:rFonts w:eastAsia="仿宋" w:cs="Times New Roman"/>
          <w:color w:val="000000"/>
          <w:kern w:val="0"/>
          <w:sz w:val="21"/>
          <w:szCs w:val="21"/>
          <w:lang w:bidi="ar"/>
        </w:rPr>
        <w:t>单位：公顷、%</w:t>
      </w:r>
    </w:p>
    <w:tbl>
      <w:tblPr>
        <w:tblStyle w:val="15"/>
        <w:tblW w:w="5000" w:type="pct"/>
        <w:tblInd w:w="0" w:type="dxa"/>
        <w:tblLayout w:type="autofit"/>
        <w:tblCellMar>
          <w:top w:w="0" w:type="dxa"/>
          <w:left w:w="108" w:type="dxa"/>
          <w:bottom w:w="0" w:type="dxa"/>
          <w:right w:w="108" w:type="dxa"/>
        </w:tblCellMar>
      </w:tblPr>
      <w:tblGrid>
        <w:gridCol w:w="1631"/>
        <w:gridCol w:w="1937"/>
        <w:gridCol w:w="1548"/>
        <w:gridCol w:w="1365"/>
        <w:gridCol w:w="2047"/>
      </w:tblGrid>
      <w:tr w14:paraId="17D7CFC9">
        <w:tblPrEx>
          <w:tblCellMar>
            <w:top w:w="0" w:type="dxa"/>
            <w:left w:w="108" w:type="dxa"/>
            <w:bottom w:w="0" w:type="dxa"/>
            <w:right w:w="108" w:type="dxa"/>
          </w:tblCellMar>
        </w:tblPrEx>
        <w:trPr>
          <w:trHeight w:val="20" w:hRule="atLeast"/>
        </w:trPr>
        <w:tc>
          <w:tcPr>
            <w:tcW w:w="2091" w:type="pct"/>
            <w:gridSpan w:val="2"/>
            <w:vMerge w:val="restart"/>
            <w:tcBorders>
              <w:top w:val="single" w:color="000000" w:sz="8" w:space="0"/>
              <w:left w:val="single" w:color="000000" w:sz="8" w:space="0"/>
              <w:bottom w:val="single" w:color="000000" w:sz="8" w:space="0"/>
              <w:right w:val="single" w:color="000000" w:sz="8" w:space="0"/>
            </w:tcBorders>
            <w:vAlign w:val="center"/>
          </w:tcPr>
          <w:p w14:paraId="1A79BCD4">
            <w:pPr>
              <w:spacing w:line="240" w:lineRule="auto"/>
              <w:ind w:firstLine="0" w:firstLineChars="0"/>
              <w:jc w:val="center"/>
              <w:rPr>
                <w:rFonts w:eastAsia="仿宋" w:cs="Times New Roman"/>
                <w:b/>
                <w:bCs/>
                <w:sz w:val="21"/>
                <w:lang w:bidi="zh-CN"/>
              </w:rPr>
            </w:pPr>
            <w:r>
              <w:rPr>
                <w:rFonts w:eastAsia="仿宋" w:cs="Times New Roman"/>
                <w:b/>
                <w:bCs/>
                <w:sz w:val="21"/>
                <w:lang w:bidi="zh-CN"/>
              </w:rPr>
              <w:t>用地类型</w:t>
            </w:r>
          </w:p>
        </w:tc>
        <w:tc>
          <w:tcPr>
            <w:tcW w:w="1707" w:type="pct"/>
            <w:gridSpan w:val="2"/>
            <w:tcBorders>
              <w:top w:val="single" w:color="000000" w:sz="8" w:space="0"/>
              <w:left w:val="single" w:color="000000" w:sz="8" w:space="0"/>
              <w:bottom w:val="single" w:color="000000" w:sz="8" w:space="0"/>
              <w:right w:val="single" w:color="000000" w:sz="8" w:space="0"/>
            </w:tcBorders>
            <w:vAlign w:val="center"/>
          </w:tcPr>
          <w:p w14:paraId="3EE6B75F">
            <w:pPr>
              <w:spacing w:line="240" w:lineRule="auto"/>
              <w:ind w:firstLine="0" w:firstLineChars="0"/>
              <w:jc w:val="center"/>
              <w:rPr>
                <w:rFonts w:eastAsia="仿宋" w:cs="Times New Roman"/>
                <w:b/>
                <w:bCs/>
                <w:sz w:val="21"/>
                <w:lang w:bidi="zh-CN"/>
              </w:rPr>
            </w:pPr>
            <w:r>
              <w:rPr>
                <w:rFonts w:eastAsia="仿宋" w:cs="Times New Roman"/>
                <w:b/>
                <w:bCs/>
                <w:sz w:val="21"/>
                <w:lang w:bidi="zh-CN"/>
              </w:rPr>
              <w:t>规划基期年</w:t>
            </w:r>
          </w:p>
        </w:tc>
        <w:tc>
          <w:tcPr>
            <w:tcW w:w="1200" w:type="pct"/>
            <w:tcBorders>
              <w:top w:val="single" w:color="000000" w:sz="8" w:space="0"/>
              <w:left w:val="single" w:color="000000" w:sz="8" w:space="0"/>
              <w:bottom w:val="single" w:color="000000" w:sz="8" w:space="0"/>
              <w:right w:val="single" w:color="000000" w:sz="8" w:space="0"/>
            </w:tcBorders>
            <w:vAlign w:val="center"/>
          </w:tcPr>
          <w:p w14:paraId="22B45FBE">
            <w:pPr>
              <w:spacing w:line="240" w:lineRule="auto"/>
              <w:ind w:firstLine="0" w:firstLineChars="0"/>
              <w:jc w:val="center"/>
              <w:rPr>
                <w:rFonts w:eastAsia="仿宋" w:cs="Times New Roman"/>
                <w:b/>
                <w:bCs/>
                <w:sz w:val="21"/>
                <w:lang w:bidi="zh-CN"/>
              </w:rPr>
            </w:pPr>
            <w:r>
              <w:rPr>
                <w:rFonts w:eastAsia="仿宋" w:cs="Times New Roman"/>
                <w:b/>
                <w:bCs/>
                <w:sz w:val="21"/>
                <w:lang w:bidi="zh-CN"/>
              </w:rPr>
              <w:t>规划目标年</w:t>
            </w:r>
          </w:p>
        </w:tc>
      </w:tr>
      <w:tr w14:paraId="2CF7376F">
        <w:tblPrEx>
          <w:tblCellMar>
            <w:top w:w="0" w:type="dxa"/>
            <w:left w:w="108" w:type="dxa"/>
            <w:bottom w:w="0" w:type="dxa"/>
            <w:right w:w="108" w:type="dxa"/>
          </w:tblCellMar>
        </w:tblPrEx>
        <w:trPr>
          <w:trHeight w:val="20" w:hRule="atLeast"/>
        </w:trPr>
        <w:tc>
          <w:tcPr>
            <w:tcW w:w="2091" w:type="pct"/>
            <w:gridSpan w:val="2"/>
            <w:vMerge w:val="continue"/>
            <w:tcBorders>
              <w:top w:val="single" w:color="000000" w:sz="8" w:space="0"/>
              <w:left w:val="single" w:color="000000" w:sz="8" w:space="0"/>
              <w:bottom w:val="single" w:color="000000" w:sz="8" w:space="0"/>
              <w:right w:val="single" w:color="000000" w:sz="8" w:space="0"/>
            </w:tcBorders>
            <w:vAlign w:val="center"/>
          </w:tcPr>
          <w:p w14:paraId="7F969144">
            <w:pPr>
              <w:spacing w:line="240" w:lineRule="auto"/>
              <w:ind w:firstLine="0" w:firstLineChars="0"/>
              <w:jc w:val="center"/>
              <w:rPr>
                <w:rFonts w:eastAsia="仿宋" w:cs="Times New Roman"/>
                <w:b/>
                <w:bCs/>
                <w:sz w:val="21"/>
                <w:lang w:bidi="zh-CN"/>
              </w:rPr>
            </w:pPr>
          </w:p>
        </w:tc>
        <w:tc>
          <w:tcPr>
            <w:tcW w:w="907" w:type="pct"/>
            <w:tcBorders>
              <w:top w:val="nil"/>
              <w:left w:val="single" w:color="000000" w:sz="8" w:space="0"/>
              <w:bottom w:val="single" w:color="000000" w:sz="8" w:space="0"/>
              <w:right w:val="single" w:color="000000" w:sz="8" w:space="0"/>
            </w:tcBorders>
            <w:vAlign w:val="center"/>
          </w:tcPr>
          <w:p w14:paraId="3116701A">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c>
          <w:tcPr>
            <w:tcW w:w="800" w:type="pct"/>
            <w:tcBorders>
              <w:top w:val="single" w:color="000000" w:sz="8" w:space="0"/>
              <w:left w:val="single" w:color="000000" w:sz="8" w:space="0"/>
              <w:bottom w:val="single" w:color="000000" w:sz="8" w:space="0"/>
              <w:right w:val="single" w:color="000000" w:sz="8" w:space="0"/>
            </w:tcBorders>
            <w:vAlign w:val="center"/>
          </w:tcPr>
          <w:p w14:paraId="56F6F4E6">
            <w:pPr>
              <w:spacing w:line="240" w:lineRule="auto"/>
              <w:ind w:firstLine="0" w:firstLineChars="0"/>
              <w:jc w:val="center"/>
              <w:rPr>
                <w:rFonts w:eastAsia="仿宋" w:cs="Times New Roman"/>
                <w:b/>
                <w:bCs/>
                <w:sz w:val="21"/>
                <w:lang w:bidi="zh-CN"/>
              </w:rPr>
            </w:pPr>
            <w:r>
              <w:rPr>
                <w:rFonts w:eastAsia="仿宋" w:cs="Times New Roman"/>
                <w:b/>
                <w:bCs/>
                <w:sz w:val="21"/>
                <w:lang w:bidi="zh-CN"/>
              </w:rPr>
              <w:t>比重</w:t>
            </w:r>
          </w:p>
        </w:tc>
        <w:tc>
          <w:tcPr>
            <w:tcW w:w="1200" w:type="pct"/>
            <w:tcBorders>
              <w:top w:val="single" w:color="000000" w:sz="8" w:space="0"/>
              <w:left w:val="single" w:color="000000" w:sz="8" w:space="0"/>
              <w:bottom w:val="single" w:color="000000" w:sz="8" w:space="0"/>
              <w:right w:val="single" w:color="000000" w:sz="8" w:space="0"/>
            </w:tcBorders>
            <w:vAlign w:val="center"/>
          </w:tcPr>
          <w:p w14:paraId="031CA3B9">
            <w:pPr>
              <w:spacing w:line="240" w:lineRule="auto"/>
              <w:ind w:firstLine="0" w:firstLineChars="0"/>
              <w:jc w:val="center"/>
              <w:rPr>
                <w:rFonts w:eastAsia="仿宋" w:cs="Times New Roman"/>
                <w:b/>
                <w:bCs/>
                <w:sz w:val="21"/>
                <w:lang w:bidi="zh-CN"/>
              </w:rPr>
            </w:pPr>
            <w:r>
              <w:rPr>
                <w:rFonts w:eastAsia="仿宋" w:cs="Times New Roman"/>
                <w:b/>
                <w:bCs/>
                <w:sz w:val="21"/>
                <w:lang w:bidi="zh-CN"/>
              </w:rPr>
              <w:t>面积</w:t>
            </w:r>
          </w:p>
        </w:tc>
      </w:tr>
      <w:tr w14:paraId="3466FFEF">
        <w:tblPrEx>
          <w:tblCellMar>
            <w:top w:w="0" w:type="dxa"/>
            <w:left w:w="108" w:type="dxa"/>
            <w:bottom w:w="0" w:type="dxa"/>
            <w:right w:w="108" w:type="dxa"/>
          </w:tblCellMar>
        </w:tblPrEx>
        <w:trPr>
          <w:trHeight w:val="217" w:hRule="atLeast"/>
        </w:trPr>
        <w:tc>
          <w:tcPr>
            <w:tcW w:w="2091" w:type="pct"/>
            <w:gridSpan w:val="2"/>
            <w:tcBorders>
              <w:top w:val="nil"/>
              <w:left w:val="single" w:color="000000" w:sz="8" w:space="0"/>
              <w:bottom w:val="single" w:color="000000" w:sz="8" w:space="0"/>
              <w:right w:val="single" w:color="000000" w:sz="8" w:space="0"/>
            </w:tcBorders>
            <w:vAlign w:val="center"/>
          </w:tcPr>
          <w:p w14:paraId="57583039">
            <w:pPr>
              <w:pStyle w:val="38"/>
              <w:ind w:firstLineChars="0"/>
              <w:jc w:val="center"/>
              <w:rPr>
                <w:rFonts w:ascii="Times New Roman" w:hAnsi="Times New Roman" w:eastAsia="仿宋_GB2312" w:cs="Times New Roman"/>
                <w:sz w:val="20"/>
                <w:szCs w:val="20"/>
                <w:lang w:bidi="zh-CN"/>
              </w:rPr>
            </w:pPr>
            <w:r>
              <w:rPr>
                <w:rFonts w:ascii="Times New Roman" w:hAnsi="Times New Roman" w:eastAsia="仿宋_GB2312" w:cs="Times New Roman"/>
                <w:sz w:val="20"/>
                <w:szCs w:val="20"/>
                <w:lang w:bidi="zh-CN"/>
              </w:rPr>
              <w:t>耕地</w:t>
            </w:r>
          </w:p>
        </w:tc>
        <w:tc>
          <w:tcPr>
            <w:tcW w:w="907" w:type="pct"/>
            <w:tcBorders>
              <w:top w:val="nil"/>
              <w:left w:val="single" w:color="000000" w:sz="8" w:space="0"/>
              <w:bottom w:val="single" w:color="000000" w:sz="8" w:space="0"/>
              <w:right w:val="single" w:color="000000" w:sz="8" w:space="0"/>
            </w:tcBorders>
            <w:noWrap/>
            <w:vAlign w:val="bottom"/>
          </w:tcPr>
          <w:p w14:paraId="7652A7E8">
            <w:pPr>
              <w:pStyle w:val="38"/>
              <w:ind w:firstLineChars="0"/>
              <w:jc w:val="center"/>
              <w:rPr>
                <w:rFonts w:ascii="Times New Roman" w:hAnsi="Times New Roman" w:eastAsia="仿宋_GB2312" w:cs="Times New Roman"/>
                <w:sz w:val="20"/>
                <w:szCs w:val="20"/>
                <w:lang w:bidi="zh-CN"/>
              </w:rPr>
            </w:pPr>
            <w:r>
              <w:rPr>
                <w:rFonts w:hint="eastAsia" w:ascii="Times New Roman" w:hAnsi="Times New Roman" w:eastAsia="仿宋_GB2312" w:cs="Times New Roman"/>
                <w:sz w:val="20"/>
                <w:szCs w:val="20"/>
                <w:lang w:bidi="zh-CN"/>
              </w:rPr>
              <w:t>2089.45</w:t>
            </w:r>
          </w:p>
        </w:tc>
        <w:tc>
          <w:tcPr>
            <w:tcW w:w="800" w:type="pct"/>
            <w:tcBorders>
              <w:top w:val="nil"/>
              <w:left w:val="single" w:color="000000" w:sz="8" w:space="0"/>
              <w:bottom w:val="single" w:color="000000" w:sz="8" w:space="0"/>
              <w:right w:val="single" w:color="000000" w:sz="8" w:space="0"/>
            </w:tcBorders>
            <w:vAlign w:val="bottom"/>
          </w:tcPr>
          <w:p w14:paraId="5595D848">
            <w:pPr>
              <w:pStyle w:val="38"/>
              <w:ind w:firstLineChars="0"/>
              <w:jc w:val="center"/>
              <w:rPr>
                <w:rFonts w:hint="eastAsia" w:ascii="Times New Roman" w:hAnsi="Times New Roman" w:eastAsia="仿宋_GB2312" w:cs="Times New Roman"/>
                <w:sz w:val="20"/>
                <w:szCs w:val="20"/>
                <w:lang w:bidi="zh-CN"/>
              </w:rPr>
            </w:pPr>
            <w:r>
              <w:rPr>
                <w:rFonts w:hint="eastAsia" w:ascii="Times New Roman" w:hAnsi="Times New Roman" w:eastAsia="仿宋_GB2312" w:cs="Times New Roman"/>
                <w:sz w:val="20"/>
                <w:szCs w:val="20"/>
                <w:lang w:bidi="zh-CN"/>
              </w:rPr>
              <w:t>18.69%</w:t>
            </w:r>
          </w:p>
        </w:tc>
        <w:tc>
          <w:tcPr>
            <w:tcW w:w="2047" w:type="dxa"/>
            <w:tcBorders>
              <w:top w:val="nil"/>
              <w:left w:val="single" w:color="000000" w:sz="8" w:space="0"/>
              <w:bottom w:val="single" w:color="000000" w:sz="8" w:space="0"/>
              <w:right w:val="single" w:color="000000" w:sz="8" w:space="0"/>
            </w:tcBorders>
            <w:vAlign w:val="center"/>
          </w:tcPr>
          <w:p w14:paraId="60E321AE">
            <w:pPr>
              <w:pStyle w:val="38"/>
              <w:ind w:firstLineChars="0"/>
              <w:jc w:val="center"/>
              <w:rPr>
                <w:rFonts w:hint="eastAsia" w:ascii="Times New Roman" w:hAnsi="Times New Roman" w:eastAsia="仿宋_GB2312" w:cs="Times New Roman"/>
                <w:sz w:val="20"/>
                <w:szCs w:val="20"/>
                <w:lang w:bidi="zh-CN"/>
              </w:rPr>
            </w:pPr>
            <w:r>
              <w:rPr>
                <w:rFonts w:ascii="Times New Roman" w:hAnsi="Times New Roman" w:cs="Times New Roman"/>
                <w:color w:val="000000"/>
                <w:sz w:val="20"/>
                <w:szCs w:val="20"/>
              </w:rPr>
              <w:t>≥</w:t>
            </w:r>
            <w:r>
              <w:rPr>
                <w:rFonts w:ascii="Times New Roman" w:hAnsi="Times New Roman" w:cs="Times New Roman"/>
                <w:sz w:val="20"/>
                <w:szCs w:val="20"/>
                <w:u w:val="none"/>
              </w:rPr>
              <w:t>1725.73</w:t>
            </w:r>
          </w:p>
        </w:tc>
      </w:tr>
      <w:tr w14:paraId="0D51BF4D">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24FD0729">
            <w:pPr>
              <w:spacing w:line="240" w:lineRule="auto"/>
              <w:ind w:firstLine="0" w:firstLineChars="0"/>
              <w:jc w:val="center"/>
              <w:rPr>
                <w:rFonts w:eastAsia="仿宋" w:cs="Times New Roman"/>
                <w:sz w:val="21"/>
                <w:lang w:bidi="zh-CN"/>
              </w:rPr>
            </w:pPr>
            <w:r>
              <w:rPr>
                <w:rFonts w:eastAsia="仿宋" w:cs="Times New Roman"/>
                <w:sz w:val="21"/>
                <w:lang w:bidi="zh-CN"/>
              </w:rPr>
              <w:t>园地</w:t>
            </w:r>
          </w:p>
        </w:tc>
        <w:tc>
          <w:tcPr>
            <w:tcW w:w="907" w:type="pct"/>
            <w:tcBorders>
              <w:top w:val="nil"/>
              <w:left w:val="single" w:color="000000" w:sz="8" w:space="0"/>
              <w:bottom w:val="single" w:color="000000" w:sz="8" w:space="0"/>
              <w:right w:val="single" w:color="000000" w:sz="8" w:space="0"/>
            </w:tcBorders>
            <w:noWrap/>
            <w:vAlign w:val="bottom"/>
          </w:tcPr>
          <w:p w14:paraId="52C96005">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258.60</w:t>
            </w:r>
          </w:p>
        </w:tc>
        <w:tc>
          <w:tcPr>
            <w:tcW w:w="800" w:type="pct"/>
            <w:tcBorders>
              <w:top w:val="nil"/>
              <w:left w:val="single" w:color="000000" w:sz="8" w:space="0"/>
              <w:bottom w:val="single" w:color="000000" w:sz="8" w:space="0"/>
              <w:right w:val="single" w:color="000000" w:sz="8" w:space="0"/>
            </w:tcBorders>
            <w:vAlign w:val="bottom"/>
          </w:tcPr>
          <w:p w14:paraId="12CEFF83">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2.31%</w:t>
            </w:r>
          </w:p>
        </w:tc>
        <w:tc>
          <w:tcPr>
            <w:tcW w:w="2047" w:type="dxa"/>
            <w:tcBorders>
              <w:top w:val="nil"/>
              <w:left w:val="single" w:color="000000" w:sz="8" w:space="0"/>
              <w:bottom w:val="single" w:color="000000" w:sz="8" w:space="0"/>
              <w:right w:val="single" w:color="000000" w:sz="8" w:space="0"/>
            </w:tcBorders>
            <w:vAlign w:val="top"/>
          </w:tcPr>
          <w:p w14:paraId="318D4BE2">
            <w:pPr>
              <w:pStyle w:val="38"/>
              <w:spacing w:line="240" w:lineRule="auto"/>
              <w:rPr>
                <w:rFonts w:hint="eastAsia" w:ascii="Times New Roman" w:hAnsi="Times New Roman" w:eastAsia="仿宋_GB2312" w:cs="Times New Roman"/>
                <w:sz w:val="20"/>
                <w:szCs w:val="20"/>
                <w:lang w:bidi="zh-CN"/>
              </w:rPr>
            </w:pPr>
            <w:r>
              <w:rPr>
                <w:rFonts w:ascii="Times New Roman" w:hAnsi="Times New Roman"/>
                <w:sz w:val="20"/>
                <w:szCs w:val="20"/>
              </w:rPr>
              <w:t>保持稳定</w:t>
            </w:r>
          </w:p>
        </w:tc>
      </w:tr>
      <w:tr w14:paraId="00993E7D">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4C196957">
            <w:pPr>
              <w:spacing w:line="240" w:lineRule="auto"/>
              <w:ind w:firstLine="0" w:firstLineChars="0"/>
              <w:jc w:val="center"/>
              <w:rPr>
                <w:rFonts w:eastAsia="仿宋" w:cs="Times New Roman"/>
                <w:sz w:val="21"/>
                <w:lang w:bidi="zh-CN"/>
              </w:rPr>
            </w:pPr>
            <w:r>
              <w:rPr>
                <w:rFonts w:eastAsia="仿宋" w:cs="Times New Roman"/>
                <w:sz w:val="21"/>
                <w:lang w:bidi="zh-CN"/>
              </w:rPr>
              <w:t>林地</w:t>
            </w:r>
          </w:p>
        </w:tc>
        <w:tc>
          <w:tcPr>
            <w:tcW w:w="907" w:type="pct"/>
            <w:tcBorders>
              <w:top w:val="nil"/>
              <w:left w:val="single" w:color="000000" w:sz="8" w:space="0"/>
              <w:bottom w:val="single" w:color="000000" w:sz="8" w:space="0"/>
              <w:right w:val="single" w:color="000000" w:sz="8" w:space="0"/>
            </w:tcBorders>
            <w:noWrap/>
            <w:vAlign w:val="bottom"/>
          </w:tcPr>
          <w:p w14:paraId="31508A00">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6989.65</w:t>
            </w:r>
          </w:p>
        </w:tc>
        <w:tc>
          <w:tcPr>
            <w:tcW w:w="800" w:type="pct"/>
            <w:tcBorders>
              <w:top w:val="nil"/>
              <w:left w:val="single" w:color="000000" w:sz="8" w:space="0"/>
              <w:bottom w:val="single" w:color="000000" w:sz="8" w:space="0"/>
              <w:right w:val="single" w:color="000000" w:sz="8" w:space="0"/>
            </w:tcBorders>
            <w:vAlign w:val="bottom"/>
          </w:tcPr>
          <w:p w14:paraId="5857EFA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62.52%</w:t>
            </w:r>
          </w:p>
        </w:tc>
        <w:tc>
          <w:tcPr>
            <w:tcW w:w="2047" w:type="dxa"/>
            <w:tcBorders>
              <w:top w:val="nil"/>
              <w:left w:val="single" w:color="000000" w:sz="8" w:space="0"/>
              <w:bottom w:val="single" w:color="000000" w:sz="8" w:space="0"/>
              <w:right w:val="single" w:color="000000" w:sz="8" w:space="0"/>
            </w:tcBorders>
            <w:vAlign w:val="top"/>
          </w:tcPr>
          <w:p w14:paraId="54D00898">
            <w:pPr>
              <w:pStyle w:val="38"/>
              <w:spacing w:line="240" w:lineRule="auto"/>
              <w:rPr>
                <w:rFonts w:hint="eastAsia" w:ascii="等线" w:hAnsi="等线" w:eastAsia="仿宋" w:cs="Times New Roman"/>
                <w:sz w:val="21"/>
                <w:lang w:bidi="zh-CN"/>
              </w:rPr>
            </w:pPr>
            <w:r>
              <w:rPr>
                <w:rFonts w:ascii="Times New Roman" w:hAnsi="Times New Roman"/>
                <w:sz w:val="20"/>
                <w:szCs w:val="20"/>
              </w:rPr>
              <w:t>保持稳定</w:t>
            </w:r>
          </w:p>
        </w:tc>
      </w:tr>
      <w:tr w14:paraId="7BEAB30F">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5DC5E785">
            <w:pPr>
              <w:spacing w:line="240" w:lineRule="auto"/>
              <w:ind w:firstLine="0" w:firstLineChars="0"/>
              <w:jc w:val="center"/>
              <w:rPr>
                <w:rFonts w:eastAsia="仿宋" w:cs="Times New Roman"/>
                <w:sz w:val="21"/>
                <w:lang w:bidi="zh-CN"/>
              </w:rPr>
            </w:pPr>
            <w:r>
              <w:rPr>
                <w:rFonts w:eastAsia="仿宋" w:cs="Times New Roman"/>
                <w:sz w:val="21"/>
                <w:lang w:bidi="zh-CN"/>
              </w:rPr>
              <w:t>草地</w:t>
            </w:r>
          </w:p>
        </w:tc>
        <w:tc>
          <w:tcPr>
            <w:tcW w:w="907" w:type="pct"/>
            <w:tcBorders>
              <w:top w:val="nil"/>
              <w:left w:val="single" w:color="000000" w:sz="8" w:space="0"/>
              <w:bottom w:val="single" w:color="000000" w:sz="8" w:space="0"/>
              <w:right w:val="single" w:color="000000" w:sz="8" w:space="0"/>
            </w:tcBorders>
            <w:noWrap/>
            <w:vAlign w:val="bottom"/>
          </w:tcPr>
          <w:p w14:paraId="09AA2E77">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 xml:space="preserve">48.05 </w:t>
            </w:r>
          </w:p>
        </w:tc>
        <w:tc>
          <w:tcPr>
            <w:tcW w:w="800" w:type="pct"/>
            <w:tcBorders>
              <w:top w:val="nil"/>
              <w:left w:val="single" w:color="000000" w:sz="8" w:space="0"/>
              <w:bottom w:val="single" w:color="000000" w:sz="8" w:space="0"/>
              <w:right w:val="single" w:color="000000" w:sz="8" w:space="0"/>
            </w:tcBorders>
            <w:vAlign w:val="bottom"/>
          </w:tcPr>
          <w:p w14:paraId="5171B6E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0.43%</w:t>
            </w:r>
          </w:p>
        </w:tc>
        <w:tc>
          <w:tcPr>
            <w:tcW w:w="2047" w:type="dxa"/>
            <w:tcBorders>
              <w:top w:val="nil"/>
              <w:left w:val="single" w:color="000000" w:sz="8" w:space="0"/>
              <w:bottom w:val="single" w:color="000000" w:sz="8" w:space="0"/>
              <w:right w:val="single" w:color="000000" w:sz="8" w:space="0"/>
            </w:tcBorders>
            <w:vAlign w:val="center"/>
          </w:tcPr>
          <w:p w14:paraId="02D04247">
            <w:pPr>
              <w:pStyle w:val="38"/>
              <w:spacing w:line="240" w:lineRule="auto"/>
              <w:rPr>
                <w:rFonts w:hint="eastAsia" w:ascii="等线" w:hAnsi="等线" w:eastAsia="仿宋" w:cs="Times New Roman"/>
                <w:sz w:val="21"/>
                <w:lang w:bidi="zh-CN"/>
              </w:rPr>
            </w:pPr>
            <w:r>
              <w:rPr>
                <w:rFonts w:ascii="Times New Roman" w:hAnsi="Times New Roman"/>
                <w:sz w:val="20"/>
                <w:szCs w:val="20"/>
              </w:rPr>
              <w:t>总体略有下降</w:t>
            </w:r>
          </w:p>
        </w:tc>
      </w:tr>
      <w:tr w14:paraId="558B8290">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38A48E09">
            <w:pPr>
              <w:spacing w:line="240" w:lineRule="auto"/>
              <w:ind w:firstLine="0" w:firstLineChars="0"/>
              <w:jc w:val="center"/>
              <w:rPr>
                <w:rFonts w:eastAsia="仿宋" w:cs="Times New Roman"/>
                <w:sz w:val="21"/>
                <w:lang w:bidi="zh-CN"/>
              </w:rPr>
            </w:pPr>
            <w:r>
              <w:rPr>
                <w:rFonts w:eastAsia="仿宋" w:cs="Times New Roman"/>
                <w:sz w:val="21"/>
                <w:lang w:bidi="zh-CN"/>
              </w:rPr>
              <w:t>湿地</w:t>
            </w:r>
          </w:p>
        </w:tc>
        <w:tc>
          <w:tcPr>
            <w:tcW w:w="907" w:type="pct"/>
            <w:tcBorders>
              <w:top w:val="nil"/>
              <w:left w:val="single" w:color="000000" w:sz="8" w:space="0"/>
              <w:bottom w:val="single" w:color="000000" w:sz="8" w:space="0"/>
              <w:right w:val="single" w:color="000000" w:sz="8" w:space="0"/>
            </w:tcBorders>
            <w:noWrap/>
            <w:vAlign w:val="bottom"/>
          </w:tcPr>
          <w:p w14:paraId="79E71DCA">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 xml:space="preserve">49.23 </w:t>
            </w:r>
          </w:p>
        </w:tc>
        <w:tc>
          <w:tcPr>
            <w:tcW w:w="800" w:type="pct"/>
            <w:tcBorders>
              <w:top w:val="nil"/>
              <w:left w:val="single" w:color="000000" w:sz="8" w:space="0"/>
              <w:bottom w:val="single" w:color="000000" w:sz="8" w:space="0"/>
              <w:right w:val="single" w:color="000000" w:sz="8" w:space="0"/>
            </w:tcBorders>
            <w:vAlign w:val="bottom"/>
          </w:tcPr>
          <w:p w14:paraId="0108CCBE">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0.44%</w:t>
            </w:r>
          </w:p>
        </w:tc>
        <w:tc>
          <w:tcPr>
            <w:tcW w:w="2047" w:type="dxa"/>
            <w:tcBorders>
              <w:top w:val="nil"/>
              <w:left w:val="single" w:color="000000" w:sz="8" w:space="0"/>
              <w:bottom w:val="single" w:color="000000" w:sz="8" w:space="0"/>
              <w:right w:val="single" w:color="000000" w:sz="8" w:space="0"/>
            </w:tcBorders>
            <w:vAlign w:val="center"/>
          </w:tcPr>
          <w:p w14:paraId="0C9FDE7D">
            <w:pPr>
              <w:pStyle w:val="38"/>
              <w:spacing w:line="240" w:lineRule="auto"/>
              <w:rPr>
                <w:rFonts w:hint="eastAsia" w:ascii="等线" w:hAnsi="等线" w:eastAsia="仿宋" w:cs="Times New Roman"/>
                <w:sz w:val="21"/>
                <w:lang w:bidi="zh-CN"/>
              </w:rPr>
            </w:pPr>
            <w:r>
              <w:rPr>
                <w:rFonts w:ascii="Times New Roman" w:hAnsi="Times New Roman"/>
                <w:sz w:val="20"/>
                <w:szCs w:val="20"/>
              </w:rPr>
              <w:t>保持稳定</w:t>
            </w:r>
          </w:p>
        </w:tc>
      </w:tr>
      <w:tr w14:paraId="621D7433">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56A10375">
            <w:pPr>
              <w:spacing w:line="240" w:lineRule="auto"/>
              <w:ind w:firstLine="0" w:firstLineChars="0"/>
              <w:jc w:val="center"/>
              <w:rPr>
                <w:rFonts w:eastAsia="仿宋" w:cs="Times New Roman"/>
                <w:sz w:val="21"/>
                <w:lang w:bidi="zh-CN"/>
              </w:rPr>
            </w:pPr>
            <w:r>
              <w:rPr>
                <w:rFonts w:eastAsia="仿宋" w:cs="Times New Roman"/>
                <w:sz w:val="21"/>
                <w:lang w:bidi="zh-CN"/>
              </w:rPr>
              <w:t>农业设施建设用地</w:t>
            </w:r>
          </w:p>
        </w:tc>
        <w:tc>
          <w:tcPr>
            <w:tcW w:w="907" w:type="pct"/>
            <w:tcBorders>
              <w:top w:val="nil"/>
              <w:left w:val="single" w:color="000000" w:sz="8" w:space="0"/>
              <w:bottom w:val="single" w:color="000000" w:sz="8" w:space="0"/>
              <w:right w:val="single" w:color="000000" w:sz="8" w:space="0"/>
            </w:tcBorders>
            <w:noWrap/>
            <w:vAlign w:val="bottom"/>
          </w:tcPr>
          <w:p w14:paraId="569DEC08">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87.71</w:t>
            </w:r>
          </w:p>
        </w:tc>
        <w:tc>
          <w:tcPr>
            <w:tcW w:w="800" w:type="pct"/>
            <w:tcBorders>
              <w:top w:val="nil"/>
              <w:left w:val="single" w:color="000000" w:sz="8" w:space="0"/>
              <w:bottom w:val="single" w:color="000000" w:sz="8" w:space="0"/>
              <w:right w:val="single" w:color="000000" w:sz="8" w:space="0"/>
            </w:tcBorders>
            <w:vAlign w:val="bottom"/>
          </w:tcPr>
          <w:p w14:paraId="43C50E70">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0.78%</w:t>
            </w:r>
          </w:p>
        </w:tc>
        <w:tc>
          <w:tcPr>
            <w:tcW w:w="2047" w:type="dxa"/>
            <w:tcBorders>
              <w:top w:val="nil"/>
              <w:left w:val="single" w:color="000000" w:sz="8" w:space="0"/>
              <w:bottom w:val="single" w:color="000000" w:sz="8" w:space="0"/>
              <w:right w:val="single" w:color="000000" w:sz="8" w:space="0"/>
            </w:tcBorders>
            <w:vAlign w:val="center"/>
          </w:tcPr>
          <w:p w14:paraId="0227EC81">
            <w:pPr>
              <w:pStyle w:val="38"/>
              <w:spacing w:line="240" w:lineRule="auto"/>
              <w:rPr>
                <w:rFonts w:hint="eastAsia" w:ascii="等线" w:hAnsi="等线" w:eastAsia="仿宋" w:cs="Times New Roman"/>
                <w:sz w:val="21"/>
                <w:lang w:bidi="zh-CN"/>
              </w:rPr>
            </w:pPr>
            <w:r>
              <w:rPr>
                <w:rFonts w:ascii="Times New Roman" w:hAnsi="Times New Roman"/>
                <w:sz w:val="20"/>
                <w:szCs w:val="20"/>
              </w:rPr>
              <w:t>保持稳定</w:t>
            </w:r>
          </w:p>
        </w:tc>
      </w:tr>
      <w:tr w14:paraId="7E0528BB">
        <w:tblPrEx>
          <w:tblCellMar>
            <w:top w:w="0" w:type="dxa"/>
            <w:left w:w="108" w:type="dxa"/>
            <w:bottom w:w="0" w:type="dxa"/>
            <w:right w:w="108" w:type="dxa"/>
          </w:tblCellMar>
        </w:tblPrEx>
        <w:trPr>
          <w:trHeight w:val="20" w:hRule="atLeast"/>
        </w:trPr>
        <w:tc>
          <w:tcPr>
            <w:tcW w:w="956" w:type="pct"/>
            <w:vMerge w:val="restart"/>
            <w:tcBorders>
              <w:top w:val="nil"/>
              <w:left w:val="single" w:color="000000" w:sz="8" w:space="0"/>
              <w:bottom w:val="single" w:color="000000" w:sz="8" w:space="0"/>
              <w:right w:val="single" w:color="000000" w:sz="8" w:space="0"/>
            </w:tcBorders>
            <w:vAlign w:val="center"/>
          </w:tcPr>
          <w:p w14:paraId="2B039C54">
            <w:pPr>
              <w:spacing w:line="240" w:lineRule="auto"/>
              <w:ind w:firstLine="0" w:firstLineChars="0"/>
              <w:jc w:val="center"/>
              <w:rPr>
                <w:rFonts w:eastAsia="仿宋" w:cs="Times New Roman"/>
                <w:sz w:val="21"/>
                <w:lang w:bidi="zh-CN"/>
              </w:rPr>
            </w:pPr>
            <w:r>
              <w:rPr>
                <w:rFonts w:eastAsia="仿宋" w:cs="Times New Roman"/>
                <w:sz w:val="21"/>
                <w:lang w:bidi="zh-CN"/>
              </w:rPr>
              <w:t>城乡建设用地</w:t>
            </w:r>
          </w:p>
        </w:tc>
        <w:tc>
          <w:tcPr>
            <w:tcW w:w="1135" w:type="pct"/>
            <w:tcBorders>
              <w:top w:val="nil"/>
              <w:left w:val="single" w:color="000000" w:sz="8" w:space="0"/>
              <w:bottom w:val="single" w:color="000000" w:sz="8" w:space="0"/>
              <w:right w:val="single" w:color="000000" w:sz="8" w:space="0"/>
            </w:tcBorders>
            <w:vAlign w:val="center"/>
          </w:tcPr>
          <w:p w14:paraId="4AA8352E">
            <w:pPr>
              <w:spacing w:line="240" w:lineRule="auto"/>
              <w:ind w:firstLine="0" w:firstLineChars="0"/>
              <w:jc w:val="center"/>
              <w:rPr>
                <w:rFonts w:eastAsia="仿宋" w:cs="Times New Roman"/>
                <w:sz w:val="21"/>
                <w:lang w:bidi="zh-CN"/>
              </w:rPr>
            </w:pPr>
            <w:r>
              <w:rPr>
                <w:rFonts w:eastAsia="仿宋" w:cs="Times New Roman"/>
                <w:sz w:val="21"/>
                <w:lang w:bidi="zh-CN"/>
              </w:rPr>
              <w:t>城镇建设用地</w:t>
            </w:r>
          </w:p>
        </w:tc>
        <w:tc>
          <w:tcPr>
            <w:tcW w:w="907" w:type="pct"/>
            <w:tcBorders>
              <w:top w:val="nil"/>
              <w:left w:val="single" w:color="000000" w:sz="8" w:space="0"/>
              <w:bottom w:val="single" w:color="000000" w:sz="8" w:space="0"/>
              <w:right w:val="single" w:color="000000" w:sz="8" w:space="0"/>
            </w:tcBorders>
            <w:noWrap/>
            <w:vAlign w:val="center"/>
          </w:tcPr>
          <w:p w14:paraId="237A7B42">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0.00</w:t>
            </w:r>
          </w:p>
        </w:tc>
        <w:tc>
          <w:tcPr>
            <w:tcW w:w="800" w:type="pct"/>
            <w:tcBorders>
              <w:top w:val="nil"/>
              <w:left w:val="single" w:color="000000" w:sz="8" w:space="0"/>
              <w:bottom w:val="single" w:color="000000" w:sz="8" w:space="0"/>
              <w:right w:val="single" w:color="000000" w:sz="8" w:space="0"/>
            </w:tcBorders>
            <w:vAlign w:val="bottom"/>
          </w:tcPr>
          <w:p w14:paraId="35E83608">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0.00%</w:t>
            </w:r>
          </w:p>
        </w:tc>
        <w:tc>
          <w:tcPr>
            <w:tcW w:w="2047" w:type="dxa"/>
            <w:tcBorders>
              <w:top w:val="nil"/>
              <w:left w:val="single" w:color="000000" w:sz="8" w:space="0"/>
              <w:bottom w:val="single" w:color="000000" w:sz="8" w:space="0"/>
              <w:right w:val="single" w:color="000000" w:sz="8" w:space="0"/>
            </w:tcBorders>
            <w:vAlign w:val="center"/>
          </w:tcPr>
          <w:p w14:paraId="5DA56C3B">
            <w:pPr>
              <w:pStyle w:val="38"/>
              <w:spacing w:line="240" w:lineRule="auto"/>
              <w:rPr>
                <w:rFonts w:hint="eastAsia" w:ascii="等线" w:hAnsi="等线" w:eastAsia="仿宋" w:cs="Times New Roman"/>
                <w:sz w:val="21"/>
                <w:lang w:bidi="zh-CN"/>
              </w:rPr>
            </w:pPr>
            <w:r>
              <w:rPr>
                <w:rFonts w:ascii="Times New Roman" w:hAnsi="Times New Roman"/>
                <w:sz w:val="20"/>
                <w:szCs w:val="20"/>
              </w:rPr>
              <w:t>保持稳定</w:t>
            </w:r>
          </w:p>
        </w:tc>
      </w:tr>
      <w:tr w14:paraId="11F83499">
        <w:tblPrEx>
          <w:tblCellMar>
            <w:top w:w="0" w:type="dxa"/>
            <w:left w:w="108" w:type="dxa"/>
            <w:bottom w:w="0" w:type="dxa"/>
            <w:right w:w="108" w:type="dxa"/>
          </w:tblCellMar>
        </w:tblPrEx>
        <w:trPr>
          <w:trHeight w:val="20" w:hRule="atLeast"/>
        </w:trPr>
        <w:tc>
          <w:tcPr>
            <w:tcW w:w="956" w:type="pct"/>
            <w:vMerge w:val="continue"/>
            <w:tcBorders>
              <w:top w:val="nil"/>
              <w:left w:val="single" w:color="000000" w:sz="8" w:space="0"/>
              <w:bottom w:val="single" w:color="000000" w:sz="8" w:space="0"/>
              <w:right w:val="single" w:color="000000" w:sz="8" w:space="0"/>
            </w:tcBorders>
            <w:vAlign w:val="center"/>
          </w:tcPr>
          <w:p w14:paraId="43F86A92">
            <w:pPr>
              <w:spacing w:line="240" w:lineRule="auto"/>
              <w:ind w:firstLine="0" w:firstLineChars="0"/>
              <w:jc w:val="center"/>
              <w:rPr>
                <w:rFonts w:eastAsia="仿宋" w:cs="Times New Roman"/>
                <w:sz w:val="21"/>
                <w:lang w:bidi="zh-CN"/>
              </w:rPr>
            </w:pPr>
          </w:p>
        </w:tc>
        <w:tc>
          <w:tcPr>
            <w:tcW w:w="1135" w:type="pct"/>
            <w:tcBorders>
              <w:top w:val="nil"/>
              <w:left w:val="single" w:color="000000" w:sz="8" w:space="0"/>
              <w:bottom w:val="single" w:color="000000" w:sz="8" w:space="0"/>
              <w:right w:val="single" w:color="000000" w:sz="8" w:space="0"/>
            </w:tcBorders>
            <w:vAlign w:val="center"/>
          </w:tcPr>
          <w:p w14:paraId="5D353363">
            <w:pPr>
              <w:spacing w:line="240" w:lineRule="auto"/>
              <w:ind w:firstLine="0" w:firstLineChars="0"/>
              <w:jc w:val="center"/>
              <w:rPr>
                <w:rFonts w:eastAsia="仿宋" w:cs="Times New Roman"/>
                <w:sz w:val="21"/>
                <w:lang w:bidi="zh-CN"/>
              </w:rPr>
            </w:pPr>
            <w:r>
              <w:rPr>
                <w:rFonts w:eastAsia="仿宋" w:cs="Times New Roman"/>
                <w:sz w:val="21"/>
                <w:lang w:bidi="zh-CN"/>
              </w:rPr>
              <w:t>村庄建设用地</w:t>
            </w:r>
          </w:p>
        </w:tc>
        <w:tc>
          <w:tcPr>
            <w:tcW w:w="907" w:type="pct"/>
            <w:tcBorders>
              <w:top w:val="nil"/>
              <w:left w:val="single" w:color="000000" w:sz="8" w:space="0"/>
              <w:bottom w:val="single" w:color="000000" w:sz="8" w:space="0"/>
              <w:right w:val="single" w:color="000000" w:sz="8" w:space="0"/>
            </w:tcBorders>
            <w:noWrap/>
            <w:vAlign w:val="bottom"/>
          </w:tcPr>
          <w:p w14:paraId="4FBB419D">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 xml:space="preserve">248.10 </w:t>
            </w:r>
          </w:p>
        </w:tc>
        <w:tc>
          <w:tcPr>
            <w:tcW w:w="800" w:type="pct"/>
            <w:tcBorders>
              <w:top w:val="nil"/>
              <w:left w:val="single" w:color="000000" w:sz="8" w:space="0"/>
              <w:bottom w:val="single" w:color="000000" w:sz="8" w:space="0"/>
              <w:right w:val="single" w:color="000000" w:sz="8" w:space="0"/>
            </w:tcBorders>
            <w:vAlign w:val="bottom"/>
          </w:tcPr>
          <w:p w14:paraId="709EE5AA">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2.22%</w:t>
            </w:r>
          </w:p>
        </w:tc>
        <w:tc>
          <w:tcPr>
            <w:tcW w:w="2047" w:type="dxa"/>
            <w:tcBorders>
              <w:top w:val="nil"/>
              <w:left w:val="single" w:color="000000" w:sz="8" w:space="0"/>
              <w:bottom w:val="single" w:color="000000" w:sz="8" w:space="0"/>
              <w:right w:val="single" w:color="000000" w:sz="8" w:space="0"/>
            </w:tcBorders>
            <w:vAlign w:val="center"/>
          </w:tcPr>
          <w:p w14:paraId="43F5DBAC">
            <w:pPr>
              <w:pStyle w:val="38"/>
              <w:spacing w:line="240" w:lineRule="auto"/>
              <w:rPr>
                <w:rFonts w:hint="eastAsia" w:ascii="等线" w:hAnsi="等线" w:eastAsia="仿宋" w:cs="Times New Roman"/>
                <w:sz w:val="21"/>
                <w:lang w:bidi="zh-CN"/>
              </w:rPr>
            </w:pPr>
            <w:r>
              <w:rPr>
                <w:rFonts w:ascii="Times New Roman" w:hAnsi="Times New Roman"/>
                <w:sz w:val="20"/>
                <w:szCs w:val="20"/>
              </w:rPr>
              <w:t>保持稳定</w:t>
            </w:r>
          </w:p>
        </w:tc>
      </w:tr>
      <w:tr w14:paraId="51FD6228">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066E2693">
            <w:pPr>
              <w:spacing w:line="240" w:lineRule="auto"/>
              <w:ind w:firstLine="0" w:firstLineChars="0"/>
              <w:jc w:val="center"/>
              <w:rPr>
                <w:rFonts w:eastAsia="仿宋" w:cs="Times New Roman"/>
                <w:sz w:val="21"/>
                <w:lang w:bidi="zh-CN"/>
              </w:rPr>
            </w:pPr>
            <w:r>
              <w:rPr>
                <w:rFonts w:eastAsia="仿宋" w:cs="Times New Roman"/>
                <w:sz w:val="21"/>
                <w:lang w:bidi="zh-CN"/>
              </w:rPr>
              <w:t>区域基础设施用地</w:t>
            </w:r>
          </w:p>
        </w:tc>
        <w:tc>
          <w:tcPr>
            <w:tcW w:w="907" w:type="pct"/>
            <w:tcBorders>
              <w:top w:val="nil"/>
              <w:left w:val="single" w:color="000000" w:sz="8" w:space="0"/>
              <w:bottom w:val="single" w:color="000000" w:sz="8" w:space="0"/>
              <w:right w:val="single" w:color="000000" w:sz="8" w:space="0"/>
            </w:tcBorders>
            <w:noWrap/>
            <w:vAlign w:val="bottom"/>
          </w:tcPr>
          <w:p w14:paraId="3400B595">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 xml:space="preserve">49.55 </w:t>
            </w:r>
          </w:p>
        </w:tc>
        <w:tc>
          <w:tcPr>
            <w:tcW w:w="800" w:type="pct"/>
            <w:tcBorders>
              <w:top w:val="nil"/>
              <w:left w:val="single" w:color="000000" w:sz="8" w:space="0"/>
              <w:bottom w:val="single" w:color="000000" w:sz="8" w:space="0"/>
              <w:right w:val="single" w:color="000000" w:sz="8" w:space="0"/>
            </w:tcBorders>
            <w:vAlign w:val="bottom"/>
          </w:tcPr>
          <w:p w14:paraId="060B8182">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0.44%</w:t>
            </w:r>
          </w:p>
        </w:tc>
        <w:tc>
          <w:tcPr>
            <w:tcW w:w="2047" w:type="dxa"/>
            <w:tcBorders>
              <w:top w:val="nil"/>
              <w:left w:val="single" w:color="000000" w:sz="8" w:space="0"/>
              <w:bottom w:val="single" w:color="000000" w:sz="8" w:space="0"/>
              <w:right w:val="single" w:color="000000" w:sz="8" w:space="0"/>
            </w:tcBorders>
            <w:vAlign w:val="center"/>
          </w:tcPr>
          <w:p w14:paraId="2B6EC62D">
            <w:pPr>
              <w:pStyle w:val="38"/>
              <w:spacing w:line="240" w:lineRule="auto"/>
              <w:rPr>
                <w:rFonts w:hint="eastAsia" w:ascii="等线" w:hAnsi="等线" w:eastAsia="仿宋" w:cs="Times New Roman"/>
                <w:sz w:val="21"/>
                <w:lang w:bidi="zh-CN"/>
              </w:rPr>
            </w:pPr>
            <w:r>
              <w:rPr>
                <w:rFonts w:ascii="Times New Roman" w:hAnsi="Times New Roman"/>
                <w:sz w:val="20"/>
                <w:szCs w:val="20"/>
              </w:rPr>
              <w:t>持续增加</w:t>
            </w:r>
          </w:p>
        </w:tc>
      </w:tr>
      <w:tr w14:paraId="5EC8CA93">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27B17A43">
            <w:pPr>
              <w:spacing w:line="240" w:lineRule="auto"/>
              <w:ind w:firstLine="0" w:firstLineChars="0"/>
              <w:jc w:val="center"/>
              <w:rPr>
                <w:rFonts w:eastAsia="仿宋" w:cs="Times New Roman"/>
                <w:sz w:val="21"/>
                <w:lang w:bidi="zh-CN"/>
              </w:rPr>
            </w:pPr>
            <w:r>
              <w:rPr>
                <w:rFonts w:eastAsia="仿宋" w:cs="Times New Roman"/>
                <w:sz w:val="21"/>
                <w:lang w:bidi="zh-CN"/>
              </w:rPr>
              <w:t>其他建设用地</w:t>
            </w:r>
          </w:p>
        </w:tc>
        <w:tc>
          <w:tcPr>
            <w:tcW w:w="907" w:type="pct"/>
            <w:tcBorders>
              <w:top w:val="nil"/>
              <w:left w:val="single" w:color="000000" w:sz="8" w:space="0"/>
              <w:bottom w:val="single" w:color="000000" w:sz="8" w:space="0"/>
              <w:right w:val="single" w:color="000000" w:sz="8" w:space="0"/>
            </w:tcBorders>
            <w:noWrap/>
            <w:vAlign w:val="center"/>
          </w:tcPr>
          <w:p w14:paraId="7B3FBB64">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5.56</w:t>
            </w:r>
          </w:p>
        </w:tc>
        <w:tc>
          <w:tcPr>
            <w:tcW w:w="800" w:type="pct"/>
            <w:tcBorders>
              <w:top w:val="nil"/>
              <w:left w:val="single" w:color="000000" w:sz="8" w:space="0"/>
              <w:bottom w:val="single" w:color="000000" w:sz="8" w:space="0"/>
              <w:right w:val="single" w:color="000000" w:sz="8" w:space="0"/>
            </w:tcBorders>
            <w:vAlign w:val="bottom"/>
          </w:tcPr>
          <w:p w14:paraId="39CCA47C">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0.05%</w:t>
            </w:r>
          </w:p>
        </w:tc>
        <w:tc>
          <w:tcPr>
            <w:tcW w:w="2047" w:type="dxa"/>
            <w:tcBorders>
              <w:top w:val="nil"/>
              <w:left w:val="single" w:color="000000" w:sz="8" w:space="0"/>
              <w:bottom w:val="single" w:color="000000" w:sz="8" w:space="0"/>
              <w:right w:val="single" w:color="000000" w:sz="8" w:space="0"/>
            </w:tcBorders>
            <w:vAlign w:val="center"/>
          </w:tcPr>
          <w:p w14:paraId="17DD7753">
            <w:pPr>
              <w:pStyle w:val="38"/>
              <w:spacing w:line="240" w:lineRule="auto"/>
              <w:rPr>
                <w:rFonts w:hint="eastAsia" w:ascii="等线" w:hAnsi="等线" w:eastAsia="仿宋" w:cs="Times New Roman"/>
                <w:sz w:val="21"/>
                <w:lang w:bidi="zh-CN"/>
              </w:rPr>
            </w:pPr>
            <w:r>
              <w:rPr>
                <w:rFonts w:ascii="Times New Roman" w:hAnsi="Times New Roman"/>
                <w:sz w:val="20"/>
                <w:szCs w:val="20"/>
              </w:rPr>
              <w:t>保持稳定</w:t>
            </w:r>
          </w:p>
        </w:tc>
      </w:tr>
      <w:tr w14:paraId="759F9FBD">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000000" w:sz="8" w:space="0"/>
              <w:right w:val="single" w:color="000000" w:sz="8" w:space="0"/>
            </w:tcBorders>
            <w:vAlign w:val="center"/>
          </w:tcPr>
          <w:p w14:paraId="6DEF5144">
            <w:pPr>
              <w:spacing w:line="240" w:lineRule="auto"/>
              <w:ind w:firstLine="0" w:firstLineChars="0"/>
              <w:jc w:val="center"/>
              <w:rPr>
                <w:rFonts w:eastAsia="仿宋" w:cs="Times New Roman"/>
                <w:sz w:val="21"/>
                <w:lang w:bidi="zh-CN"/>
              </w:rPr>
            </w:pPr>
            <w:r>
              <w:rPr>
                <w:rFonts w:eastAsia="仿宋" w:cs="Times New Roman"/>
                <w:sz w:val="21"/>
                <w:lang w:bidi="zh-CN"/>
              </w:rPr>
              <w:t>陆地水域</w:t>
            </w:r>
          </w:p>
        </w:tc>
        <w:tc>
          <w:tcPr>
            <w:tcW w:w="907" w:type="pct"/>
            <w:tcBorders>
              <w:top w:val="nil"/>
              <w:left w:val="single" w:color="000000" w:sz="8" w:space="0"/>
              <w:bottom w:val="single" w:color="000000" w:sz="8" w:space="0"/>
              <w:right w:val="single" w:color="000000" w:sz="8" w:space="0"/>
            </w:tcBorders>
            <w:noWrap/>
            <w:vAlign w:val="bottom"/>
          </w:tcPr>
          <w:p w14:paraId="7F7536E2">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1354.13</w:t>
            </w:r>
          </w:p>
        </w:tc>
        <w:tc>
          <w:tcPr>
            <w:tcW w:w="800" w:type="pct"/>
            <w:tcBorders>
              <w:top w:val="nil"/>
              <w:left w:val="single" w:color="000000" w:sz="8" w:space="0"/>
              <w:bottom w:val="single" w:color="000000" w:sz="8" w:space="0"/>
              <w:right w:val="single" w:color="000000" w:sz="8" w:space="0"/>
            </w:tcBorders>
            <w:vAlign w:val="bottom"/>
          </w:tcPr>
          <w:p w14:paraId="694DBBB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12.11%</w:t>
            </w:r>
          </w:p>
        </w:tc>
        <w:tc>
          <w:tcPr>
            <w:tcW w:w="2047" w:type="dxa"/>
            <w:tcBorders>
              <w:top w:val="nil"/>
              <w:left w:val="single" w:color="000000" w:sz="8" w:space="0"/>
              <w:bottom w:val="single" w:color="000000" w:sz="8" w:space="0"/>
              <w:right w:val="single" w:color="000000" w:sz="8" w:space="0"/>
            </w:tcBorders>
            <w:vAlign w:val="center"/>
          </w:tcPr>
          <w:p w14:paraId="0EC75183">
            <w:pPr>
              <w:pStyle w:val="38"/>
              <w:spacing w:line="240" w:lineRule="auto"/>
              <w:rPr>
                <w:rFonts w:hint="eastAsia" w:ascii="等线" w:hAnsi="等线" w:eastAsia="仿宋" w:cs="Times New Roman"/>
                <w:sz w:val="21"/>
                <w:lang w:bidi="zh-CN"/>
              </w:rPr>
            </w:pPr>
            <w:r>
              <w:rPr>
                <w:rFonts w:ascii="Times New Roman" w:hAnsi="Times New Roman"/>
                <w:sz w:val="20"/>
                <w:szCs w:val="20"/>
              </w:rPr>
              <w:t>保持稳定</w:t>
            </w:r>
          </w:p>
        </w:tc>
      </w:tr>
      <w:tr w14:paraId="73AEA83D">
        <w:tblPrEx>
          <w:tblCellMar>
            <w:top w:w="0" w:type="dxa"/>
            <w:left w:w="108" w:type="dxa"/>
            <w:bottom w:w="0" w:type="dxa"/>
            <w:right w:w="108" w:type="dxa"/>
          </w:tblCellMar>
        </w:tblPrEx>
        <w:trPr>
          <w:trHeight w:val="20" w:hRule="atLeast"/>
        </w:trPr>
        <w:tc>
          <w:tcPr>
            <w:tcW w:w="2091" w:type="pct"/>
            <w:gridSpan w:val="2"/>
            <w:tcBorders>
              <w:top w:val="nil"/>
              <w:left w:val="single" w:color="000000" w:sz="8" w:space="0"/>
              <w:bottom w:val="single" w:color="auto" w:sz="4" w:space="0"/>
              <w:right w:val="single" w:color="000000" w:sz="8" w:space="0"/>
            </w:tcBorders>
            <w:noWrap/>
            <w:vAlign w:val="center"/>
          </w:tcPr>
          <w:p w14:paraId="01EB8099">
            <w:pPr>
              <w:spacing w:line="240" w:lineRule="auto"/>
              <w:ind w:firstLine="0" w:firstLineChars="0"/>
              <w:jc w:val="center"/>
              <w:rPr>
                <w:rFonts w:eastAsia="仿宋" w:cs="Times New Roman"/>
                <w:sz w:val="21"/>
                <w:lang w:bidi="zh-CN"/>
              </w:rPr>
            </w:pPr>
            <w:r>
              <w:rPr>
                <w:rFonts w:eastAsia="仿宋" w:cs="Times New Roman"/>
                <w:sz w:val="21"/>
                <w:lang w:bidi="zh-CN"/>
              </w:rPr>
              <w:t>其他土地</w:t>
            </w:r>
          </w:p>
        </w:tc>
        <w:tc>
          <w:tcPr>
            <w:tcW w:w="907" w:type="pct"/>
            <w:tcBorders>
              <w:top w:val="nil"/>
              <w:left w:val="single" w:color="000000" w:sz="8" w:space="0"/>
              <w:bottom w:val="single" w:color="auto" w:sz="4" w:space="0"/>
              <w:right w:val="single" w:color="000000" w:sz="8" w:space="0"/>
            </w:tcBorders>
            <w:noWrap/>
            <w:vAlign w:val="center"/>
          </w:tcPr>
          <w:p w14:paraId="2A846E56">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0.65</w:t>
            </w:r>
          </w:p>
        </w:tc>
        <w:tc>
          <w:tcPr>
            <w:tcW w:w="800" w:type="pct"/>
            <w:tcBorders>
              <w:top w:val="nil"/>
              <w:left w:val="single" w:color="000000" w:sz="8" w:space="0"/>
              <w:bottom w:val="single" w:color="auto" w:sz="4" w:space="0"/>
              <w:right w:val="single" w:color="000000" w:sz="8" w:space="0"/>
            </w:tcBorders>
            <w:vAlign w:val="bottom"/>
          </w:tcPr>
          <w:p w14:paraId="13CF9104">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0.01%</w:t>
            </w:r>
          </w:p>
        </w:tc>
        <w:tc>
          <w:tcPr>
            <w:tcW w:w="2047" w:type="dxa"/>
            <w:tcBorders>
              <w:top w:val="nil"/>
              <w:left w:val="single" w:color="000000" w:sz="8" w:space="0"/>
              <w:bottom w:val="single" w:color="auto" w:sz="4" w:space="0"/>
              <w:right w:val="single" w:color="000000" w:sz="8" w:space="0"/>
            </w:tcBorders>
            <w:vAlign w:val="center"/>
          </w:tcPr>
          <w:p w14:paraId="299D2D4D">
            <w:pPr>
              <w:spacing w:line="240" w:lineRule="auto"/>
              <w:ind w:firstLine="0" w:firstLineChars="0"/>
              <w:jc w:val="center"/>
              <w:rPr>
                <w:rFonts w:hint="eastAsia" w:ascii="等线" w:hAnsi="等线" w:eastAsia="仿宋" w:cs="Times New Roman"/>
                <w:sz w:val="21"/>
                <w:lang w:bidi="zh-CN"/>
              </w:rPr>
            </w:pPr>
            <w:r>
              <w:rPr>
                <w:rFonts w:ascii="Times New Roman" w:hAnsi="Times New Roman"/>
                <w:sz w:val="20"/>
                <w:szCs w:val="20"/>
              </w:rPr>
              <w:t>逐步降低</w:t>
            </w:r>
          </w:p>
        </w:tc>
      </w:tr>
      <w:tr w14:paraId="0B4F752F">
        <w:tblPrEx>
          <w:tblCellMar>
            <w:top w:w="0" w:type="dxa"/>
            <w:left w:w="108" w:type="dxa"/>
            <w:bottom w:w="0" w:type="dxa"/>
            <w:right w:w="108" w:type="dxa"/>
          </w:tblCellMar>
        </w:tblPrEx>
        <w:trPr>
          <w:trHeight w:val="20" w:hRule="atLeast"/>
        </w:trPr>
        <w:tc>
          <w:tcPr>
            <w:tcW w:w="2091" w:type="pct"/>
            <w:gridSpan w:val="2"/>
            <w:tcBorders>
              <w:top w:val="single" w:color="auto" w:sz="4" w:space="0"/>
              <w:left w:val="single" w:color="000000" w:sz="8" w:space="0"/>
              <w:bottom w:val="single" w:color="000000" w:sz="8" w:space="0"/>
              <w:right w:val="single" w:color="000000" w:sz="8" w:space="0"/>
            </w:tcBorders>
            <w:noWrap/>
            <w:vAlign w:val="center"/>
          </w:tcPr>
          <w:p w14:paraId="1FDF0543">
            <w:pPr>
              <w:spacing w:line="240" w:lineRule="auto"/>
              <w:ind w:firstLine="0" w:firstLineChars="0"/>
              <w:jc w:val="center"/>
              <w:rPr>
                <w:rFonts w:eastAsia="仿宋" w:cs="Times New Roman"/>
                <w:sz w:val="21"/>
                <w:lang w:bidi="zh-CN"/>
              </w:rPr>
            </w:pPr>
            <w:r>
              <w:rPr>
                <w:rFonts w:eastAsia="仿宋" w:cs="Times New Roman"/>
                <w:sz w:val="21"/>
                <w:lang w:bidi="zh-CN"/>
              </w:rPr>
              <w:t>合计</w:t>
            </w:r>
          </w:p>
        </w:tc>
        <w:tc>
          <w:tcPr>
            <w:tcW w:w="907" w:type="pct"/>
            <w:tcBorders>
              <w:top w:val="single" w:color="auto" w:sz="4" w:space="0"/>
              <w:left w:val="single" w:color="000000" w:sz="8" w:space="0"/>
              <w:bottom w:val="single" w:color="000000" w:sz="8" w:space="0"/>
              <w:right w:val="single" w:color="000000" w:sz="8" w:space="0"/>
            </w:tcBorders>
            <w:noWrap/>
            <w:vAlign w:val="center"/>
          </w:tcPr>
          <w:p w14:paraId="16EF752B">
            <w:pPr>
              <w:spacing w:line="240" w:lineRule="auto"/>
              <w:ind w:firstLine="0" w:firstLineChars="0"/>
              <w:jc w:val="center"/>
              <w:rPr>
                <w:rFonts w:eastAsia="仿宋" w:cs="Times New Roman"/>
                <w:sz w:val="21"/>
                <w:lang w:bidi="zh-CN"/>
              </w:rPr>
            </w:pPr>
            <w:r>
              <w:rPr>
                <w:rFonts w:hint="eastAsia" w:ascii="等线" w:hAnsi="等线" w:eastAsia="仿宋" w:cs="Times New Roman"/>
                <w:sz w:val="21"/>
                <w:lang w:bidi="zh-CN"/>
              </w:rPr>
              <w:t>11180.68</w:t>
            </w:r>
          </w:p>
        </w:tc>
        <w:tc>
          <w:tcPr>
            <w:tcW w:w="800" w:type="pct"/>
            <w:tcBorders>
              <w:top w:val="single" w:color="auto" w:sz="4" w:space="0"/>
              <w:left w:val="single" w:color="000000" w:sz="8" w:space="0"/>
              <w:bottom w:val="single" w:color="000000" w:sz="8" w:space="0"/>
              <w:right w:val="single" w:color="000000" w:sz="8" w:space="0"/>
            </w:tcBorders>
            <w:vAlign w:val="center"/>
          </w:tcPr>
          <w:p w14:paraId="35593147">
            <w:pPr>
              <w:spacing w:line="240" w:lineRule="auto"/>
              <w:ind w:firstLine="0" w:firstLineChars="0"/>
              <w:jc w:val="center"/>
              <w:rPr>
                <w:rFonts w:hint="eastAsia" w:ascii="等线" w:hAnsi="等线" w:eastAsia="仿宋" w:cs="Times New Roman"/>
                <w:sz w:val="21"/>
                <w:lang w:bidi="zh-CN"/>
              </w:rPr>
            </w:pPr>
            <w:r>
              <w:rPr>
                <w:rFonts w:hint="eastAsia" w:ascii="等线" w:hAnsi="等线" w:eastAsia="仿宋" w:cs="Times New Roman"/>
                <w:sz w:val="21"/>
                <w:lang w:bidi="zh-CN"/>
              </w:rPr>
              <w:t>100％</w:t>
            </w:r>
          </w:p>
        </w:tc>
        <w:tc>
          <w:tcPr>
            <w:tcW w:w="1200" w:type="pct"/>
            <w:tcBorders>
              <w:top w:val="single" w:color="auto" w:sz="4" w:space="0"/>
              <w:left w:val="single" w:color="000000" w:sz="8" w:space="0"/>
              <w:bottom w:val="single" w:color="000000" w:sz="8" w:space="0"/>
              <w:right w:val="single" w:color="000000" w:sz="8" w:space="0"/>
            </w:tcBorders>
            <w:vAlign w:val="center"/>
          </w:tcPr>
          <w:p w14:paraId="05DABA85">
            <w:pPr>
              <w:spacing w:line="240" w:lineRule="auto"/>
              <w:ind w:firstLine="0" w:firstLineChars="0"/>
              <w:jc w:val="center"/>
              <w:rPr>
                <w:rFonts w:hint="eastAsia" w:ascii="等线" w:hAnsi="等线" w:eastAsia="仿宋" w:cs="Times New Roman"/>
                <w:sz w:val="21"/>
                <w:lang w:bidi="zh-CN"/>
              </w:rPr>
            </w:pPr>
          </w:p>
        </w:tc>
      </w:tr>
    </w:tbl>
    <w:p w14:paraId="2E2C16A0">
      <w:pPr>
        <w:widowControl/>
        <w:tabs>
          <w:tab w:val="center" w:pos="4153"/>
          <w:tab w:val="right" w:pos="8306"/>
        </w:tabs>
        <w:adjustRightInd w:val="0"/>
        <w:snapToGrid w:val="0"/>
        <w:spacing w:line="240" w:lineRule="auto"/>
        <w:ind w:firstLine="480"/>
        <w:rPr>
          <w:rFonts w:cs="Times New Roman"/>
          <w:sz w:val="24"/>
          <w:szCs w:val="18"/>
        </w:rPr>
      </w:pPr>
    </w:p>
    <w:p w14:paraId="0A6A77EC">
      <w:pPr>
        <w:ind w:firstLine="640"/>
        <w:rPr>
          <w:rFonts w:cs="Times New Roman"/>
        </w:rPr>
      </w:pPr>
    </w:p>
    <w:p w14:paraId="75E6945E">
      <w:pPr>
        <w:pStyle w:val="2"/>
        <w:spacing w:before="312" w:after="312"/>
        <w:rPr>
          <w:rFonts w:ascii="Times New Roman" w:hAnsi="Times New Roman" w:cs="Times New Roman"/>
        </w:rPr>
      </w:pPr>
      <w:bookmarkStart w:id="28" w:name="_Toc205557225"/>
      <w:bookmarkStart w:id="29" w:name="_Toc7175"/>
      <w:r>
        <w:rPr>
          <w:rFonts w:ascii="Times New Roman" w:hAnsi="Times New Roman" w:cs="Times New Roman"/>
        </w:rPr>
        <w:t>第</w:t>
      </w:r>
      <w:r>
        <w:rPr>
          <w:rFonts w:hint="eastAsia" w:ascii="Times New Roman" w:hAnsi="Times New Roman" w:cs="Times New Roman"/>
          <w:lang w:val="en-US" w:eastAsia="zh-CN"/>
        </w:rPr>
        <w:t>5</w:t>
      </w:r>
      <w:r>
        <w:rPr>
          <w:rFonts w:ascii="Times New Roman" w:hAnsi="Times New Roman" w:cs="Times New Roman"/>
        </w:rPr>
        <w:t>章 资源保护与利用</w:t>
      </w:r>
      <w:bookmarkEnd w:id="28"/>
      <w:bookmarkEnd w:id="29"/>
    </w:p>
    <w:p w14:paraId="74AC99E6">
      <w:pPr>
        <w:pStyle w:val="3"/>
        <w:rPr>
          <w:rFonts w:ascii="Times New Roman" w:hAnsi="Times New Roman" w:cs="Times New Roman"/>
        </w:rPr>
      </w:pPr>
      <w:bookmarkStart w:id="30" w:name="_Toc5919"/>
      <w:bookmarkStart w:id="31" w:name="_Toc205557226"/>
      <w:r>
        <w:rPr>
          <w:rFonts w:hint="eastAsia" w:ascii="Times New Roman" w:hAnsi="Times New Roman" w:cs="Times New Roman"/>
          <w:lang w:val="en-US" w:eastAsia="zh-CN"/>
        </w:rPr>
        <w:t>5.1</w:t>
      </w:r>
      <w:r>
        <w:rPr>
          <w:rFonts w:ascii="Times New Roman" w:hAnsi="Times New Roman" w:cs="Times New Roman"/>
        </w:rPr>
        <w:t xml:space="preserve"> 耕地资源</w:t>
      </w:r>
      <w:bookmarkEnd w:id="30"/>
      <w:bookmarkEnd w:id="31"/>
    </w:p>
    <w:p w14:paraId="6B4E30A6">
      <w:pPr>
        <w:pStyle w:val="4"/>
        <w:numPr>
          <w:ilvl w:val="0"/>
          <w:numId w:val="0"/>
        </w:numPr>
        <w:ind w:left="640" w:leftChars="0"/>
        <w:rPr>
          <w:rFonts w:cs="Times New Roman"/>
        </w:rPr>
      </w:pPr>
      <w:r>
        <w:rPr>
          <w:rFonts w:hint="eastAsia" w:cs="Times New Roman"/>
          <w:lang w:val="en-US" w:eastAsia="zh-CN"/>
        </w:rPr>
        <w:t>5.1.1</w:t>
      </w:r>
      <w:r>
        <w:rPr>
          <w:rFonts w:cs="Times New Roman"/>
        </w:rPr>
        <w:t>严守耕地数量</w:t>
      </w:r>
    </w:p>
    <w:p w14:paraId="49EED980">
      <w:pPr>
        <w:ind w:firstLine="640"/>
        <w:rPr>
          <w:rFonts w:cs="Times New Roman"/>
        </w:rPr>
      </w:pPr>
      <w:r>
        <w:rPr>
          <w:rFonts w:cs="Times New Roman"/>
        </w:rPr>
        <w:t>严格落实《桓仁满族自治县国土空间总体规划（2021-2035年）》下达的耕地保护目标和永久基本农田保护任务。坚持最严格的耕地和永久基本农田保护制度，科学合理利用耕地资源，坚持耕地保护优先，强化耕地数量质量双重保护，坚决制止耕地尤其是永久基本农田</w:t>
      </w:r>
      <w:r>
        <w:rPr>
          <w:rFonts w:hint="eastAsia" w:cs="Times New Roman"/>
          <w:color w:val="000000"/>
          <w:lang w:bidi="ar"/>
        </w:rPr>
        <w:t>“非农化”</w:t>
      </w:r>
      <w:r>
        <w:rPr>
          <w:rFonts w:cs="Times New Roman"/>
        </w:rPr>
        <w:t>、防止耕地</w:t>
      </w:r>
      <w:r>
        <w:rPr>
          <w:rFonts w:hint="eastAsia" w:cs="Times New Roman"/>
          <w:color w:val="000000"/>
          <w:lang w:bidi="ar"/>
        </w:rPr>
        <w:t>“非粮化”，</w:t>
      </w:r>
      <w:r>
        <w:rPr>
          <w:rFonts w:cs="Times New Roman"/>
        </w:rPr>
        <w:t>确保粮食安全。</w:t>
      </w:r>
    </w:p>
    <w:p w14:paraId="6565B0D2">
      <w:pPr>
        <w:pStyle w:val="4"/>
        <w:numPr>
          <w:ilvl w:val="0"/>
          <w:numId w:val="0"/>
        </w:numPr>
        <w:ind w:left="640" w:leftChars="0"/>
        <w:rPr>
          <w:rFonts w:cs="Times New Roman"/>
        </w:rPr>
      </w:pPr>
      <w:r>
        <w:rPr>
          <w:rFonts w:hint="eastAsia" w:cs="Times New Roman"/>
          <w:lang w:val="en-US" w:eastAsia="zh-CN"/>
        </w:rPr>
        <w:t>5.1.2</w:t>
      </w:r>
      <w:r>
        <w:rPr>
          <w:rFonts w:cs="Times New Roman"/>
        </w:rPr>
        <w:t>提升耕地质量</w:t>
      </w:r>
    </w:p>
    <w:p w14:paraId="3CDBBE94">
      <w:pPr>
        <w:ind w:firstLine="640"/>
        <w:rPr>
          <w:rFonts w:cs="Times New Roman"/>
        </w:rPr>
      </w:pPr>
      <w:r>
        <w:rPr>
          <w:rFonts w:cs="Times New Roman"/>
        </w:rPr>
        <w:t>切实加强耕地质量建设。全面推进建设占用耕地耕作层剥离再利用，用于劣质耕地或新开垦耕地提质。因地制宜实施坡改梯工程建设，在尊重村民意愿的前提下，实施旱改水工程，对现有耕地进行提质改造，开展退化耕地综合治理、污染耕地阻控修复等，有效提高耕地产能。</w:t>
      </w:r>
    </w:p>
    <w:p w14:paraId="4EB34B99">
      <w:pPr>
        <w:ind w:firstLine="640"/>
        <w:rPr>
          <w:rFonts w:cs="Times New Roman"/>
        </w:rPr>
      </w:pPr>
      <w:r>
        <w:rPr>
          <w:rFonts w:cs="Times New Roman"/>
        </w:rPr>
        <w:t>推动耕地生态环境质量提升。严格控制污染耕地，加大耕地污染防治力度，提升土壤质量，防范新增污染。严格预防耕地灾毁，加强自然灾害防御措施，控制人为活动损毁耕地，强化灾毁耕地治理。</w:t>
      </w:r>
    </w:p>
    <w:p w14:paraId="64295CA8">
      <w:pPr>
        <w:pStyle w:val="4"/>
        <w:numPr>
          <w:ilvl w:val="0"/>
          <w:numId w:val="0"/>
        </w:numPr>
        <w:ind w:left="640" w:leftChars="0"/>
        <w:rPr>
          <w:rFonts w:cs="Times New Roman"/>
        </w:rPr>
      </w:pPr>
      <w:r>
        <w:rPr>
          <w:rFonts w:hint="eastAsia" w:cs="Times New Roman"/>
          <w:lang w:val="en-US" w:eastAsia="zh-CN"/>
        </w:rPr>
        <w:t>5.1.3</w:t>
      </w:r>
      <w:r>
        <w:rPr>
          <w:rFonts w:cs="Times New Roman"/>
        </w:rPr>
        <w:t>完善永久基本农田储备区制度</w:t>
      </w:r>
    </w:p>
    <w:p w14:paraId="68ACF824">
      <w:pPr>
        <w:ind w:firstLine="640"/>
        <w:rPr>
          <w:rFonts w:cs="Times New Roman"/>
        </w:rPr>
      </w:pPr>
      <w:r>
        <w:rPr>
          <w:rFonts w:cs="Times New Roman"/>
        </w:rPr>
        <w:t>加大实施补充耕地力度。统筹实施农用地整理、城乡建设用地增减挂钩、历史遗留工矿废弃地复垦、宜耕后备资源开发等工程，拓展补充耕地途径，增加有效耕地面积。落实补充耕地质量验收制度，完善后续管护和再评价机制。</w:t>
      </w:r>
    </w:p>
    <w:p w14:paraId="706C4CC5">
      <w:pPr>
        <w:ind w:firstLine="640"/>
        <w:rPr>
          <w:rFonts w:cs="Times New Roman"/>
        </w:rPr>
      </w:pPr>
      <w:r>
        <w:rPr>
          <w:rFonts w:cs="Times New Roman"/>
        </w:rPr>
        <w:t>加强永久基本农田保护和建设。优先把优质耕地、高标准农田划为永久基本农田，以永久基本农田为基础，优先在粮食生产功能区、重要农产品生产保护区建设高标准农田，逐步把永久基本农田全部建成旱涝保收的高标准农田。经依法批准确需占用永久基本农田的，应先补建后占用。完善永久基本农田保护储备区制度。土地整治和新建高标准农田增加的优质耕地应当优先补划为永久基本农田。在永久基本农田集中分布地区，不得规划新建可能造成污染的建设项目。</w:t>
      </w:r>
    </w:p>
    <w:p w14:paraId="5FE32999">
      <w:pPr>
        <w:pStyle w:val="4"/>
        <w:numPr>
          <w:ilvl w:val="0"/>
          <w:numId w:val="0"/>
        </w:numPr>
        <w:ind w:left="640" w:leftChars="0"/>
        <w:rPr>
          <w:rFonts w:cs="Times New Roman"/>
        </w:rPr>
      </w:pPr>
      <w:r>
        <w:rPr>
          <w:rFonts w:hint="eastAsia" w:cs="Times New Roman"/>
          <w:lang w:val="en-US" w:eastAsia="zh-CN"/>
        </w:rPr>
        <w:t>5.1.4</w:t>
      </w:r>
      <w:r>
        <w:rPr>
          <w:rFonts w:cs="Times New Roman"/>
        </w:rPr>
        <w:t>落实耕地占补平衡</w:t>
      </w:r>
    </w:p>
    <w:p w14:paraId="29A99E71">
      <w:pPr>
        <w:ind w:firstLine="640"/>
        <w:rPr>
          <w:rFonts w:cs="Times New Roman"/>
        </w:rPr>
      </w:pPr>
      <w:r>
        <w:rPr>
          <w:rFonts w:cs="Times New Roman"/>
        </w:rPr>
        <w:t>严格控制建设占用耕地特别是永久基本农田，确需占用耕地的应尽量占用低等别耕地，并积极落实</w:t>
      </w:r>
      <w:r>
        <w:rPr>
          <w:rFonts w:hint="eastAsia" w:cs="Times New Roman"/>
          <w:color w:val="000000"/>
          <w:lang w:bidi="ar"/>
        </w:rPr>
        <w:t>“占补平衡”</w:t>
      </w:r>
      <w:r>
        <w:rPr>
          <w:rFonts w:cs="Times New Roman"/>
        </w:rPr>
        <w:t>制度，坚持</w:t>
      </w:r>
      <w:r>
        <w:rPr>
          <w:rFonts w:hint="eastAsia" w:cs="Times New Roman"/>
          <w:color w:val="000000"/>
          <w:lang w:bidi="ar"/>
        </w:rPr>
        <w:t>“以补定占”</w:t>
      </w:r>
      <w:r>
        <w:rPr>
          <w:rFonts w:cs="Times New Roman"/>
        </w:rPr>
        <w:t>，严格落实耕地</w:t>
      </w:r>
      <w:r>
        <w:rPr>
          <w:rFonts w:hint="eastAsia" w:cs="Times New Roman"/>
          <w:color w:val="000000"/>
          <w:lang w:bidi="ar"/>
        </w:rPr>
        <w:t>“占一补一、先补后占、占优补优、占水田补水田”</w:t>
      </w:r>
      <w:r>
        <w:rPr>
          <w:rFonts w:cs="Times New Roman"/>
        </w:rPr>
        <w:t>，严控占用、严格补充、严守总量，强化耕地占补平衡实施监管，落实耕地占补平衡责任制度，确保补充数量质量双到位。</w:t>
      </w:r>
    </w:p>
    <w:p w14:paraId="63E2031B">
      <w:pPr>
        <w:pStyle w:val="3"/>
        <w:rPr>
          <w:rFonts w:ascii="Times New Roman" w:hAnsi="Times New Roman" w:cs="Times New Roman"/>
          <w:color w:val="auto"/>
        </w:rPr>
      </w:pPr>
      <w:bookmarkStart w:id="32" w:name="_Toc205557227"/>
      <w:bookmarkStart w:id="33" w:name="_Toc4491"/>
      <w:r>
        <w:rPr>
          <w:rFonts w:hint="eastAsia" w:ascii="Times New Roman" w:hAnsi="Times New Roman" w:cs="Times New Roman"/>
          <w:color w:val="auto"/>
          <w:lang w:val="en-US" w:eastAsia="zh-CN"/>
        </w:rPr>
        <w:t>5.2</w:t>
      </w:r>
      <w:r>
        <w:rPr>
          <w:rFonts w:ascii="Times New Roman" w:hAnsi="Times New Roman" w:cs="Times New Roman"/>
          <w:color w:val="auto"/>
        </w:rPr>
        <w:t xml:space="preserve"> 水资源</w:t>
      </w:r>
      <w:bookmarkEnd w:id="32"/>
      <w:bookmarkEnd w:id="33"/>
    </w:p>
    <w:p w14:paraId="778945C8">
      <w:pPr>
        <w:pStyle w:val="4"/>
        <w:numPr>
          <w:ilvl w:val="0"/>
          <w:numId w:val="0"/>
        </w:numPr>
        <w:ind w:left="640" w:leftChars="0"/>
        <w:rPr>
          <w:rFonts w:cs="Times New Roman"/>
        </w:rPr>
      </w:pPr>
      <w:r>
        <w:rPr>
          <w:rFonts w:hint="eastAsia" w:cs="Times New Roman"/>
          <w:lang w:val="en-US" w:eastAsia="zh-CN"/>
        </w:rPr>
        <w:t>5.2.1</w:t>
      </w:r>
      <w:r>
        <w:rPr>
          <w:rFonts w:cs="Times New Roman"/>
        </w:rPr>
        <w:t>加强水资源保护</w:t>
      </w:r>
    </w:p>
    <w:p w14:paraId="3A61315F">
      <w:pPr>
        <w:ind w:firstLine="640"/>
        <w:rPr>
          <w:rFonts w:cs="Times New Roman"/>
        </w:rPr>
      </w:pPr>
      <w:r>
        <w:rPr>
          <w:rFonts w:cs="Times New Roman"/>
        </w:rPr>
        <w:t>实施</w:t>
      </w:r>
      <w:r>
        <w:rPr>
          <w:rFonts w:hint="eastAsia" w:cs="Times New Roman"/>
          <w:color w:val="000000"/>
          <w:lang w:bidi="ar"/>
        </w:rPr>
        <w:t>“生态涵水”</w:t>
      </w:r>
      <w:r>
        <w:rPr>
          <w:rFonts w:cs="Times New Roman"/>
        </w:rPr>
        <w:t>战略，涵水于地、涵水于林草，实现</w:t>
      </w:r>
      <w:r>
        <w:rPr>
          <w:rFonts w:hint="eastAsia" w:cs="Times New Roman"/>
          <w:color w:val="000000"/>
          <w:lang w:bidi="ar"/>
        </w:rPr>
        <w:t>“以水带绿，以绿养水，以林护岸”</w:t>
      </w:r>
      <w:r>
        <w:rPr>
          <w:rFonts w:cs="Times New Roman"/>
        </w:rPr>
        <w:t>，进一步增强北甸子乡水源涵养能力。优化水资源配置，协调地表水、地下水、外调水、再生水使用比例，合理控制地下水开采，保障水资源供需平衡。加强供水设施建设，提高供水水平，保证供水安全。根据国家《生活饮用水卫生标准》（GB5749-2006）和《地面水环境质量标准》（GB3838-2002）中水源卫生保护规定，划定水源保护区，保护区必须执行国家水源相关保护条例，保证取水点的水质符合饮用水水源水质标准。</w:t>
      </w:r>
    </w:p>
    <w:p w14:paraId="0CDA597F">
      <w:pPr>
        <w:pStyle w:val="4"/>
        <w:numPr>
          <w:ilvl w:val="0"/>
          <w:numId w:val="0"/>
        </w:numPr>
        <w:ind w:left="640" w:leftChars="0"/>
        <w:rPr>
          <w:rFonts w:cs="Times New Roman"/>
        </w:rPr>
      </w:pPr>
      <w:r>
        <w:rPr>
          <w:rFonts w:hint="eastAsia" w:cs="Times New Roman"/>
          <w:lang w:val="en-US" w:eastAsia="zh-CN"/>
        </w:rPr>
        <w:t>5.2.2</w:t>
      </w:r>
      <w:r>
        <w:rPr>
          <w:rFonts w:cs="Times New Roman"/>
        </w:rPr>
        <w:t>河流水系保护</w:t>
      </w:r>
    </w:p>
    <w:p w14:paraId="2644987E">
      <w:pPr>
        <w:ind w:firstLine="640"/>
        <w:rPr>
          <w:rFonts w:cs="Times New Roman"/>
        </w:rPr>
      </w:pPr>
      <w:r>
        <w:rPr>
          <w:rFonts w:cs="Times New Roman"/>
        </w:rPr>
        <w:t>加强水环境生态治理，控源、截污与河段清淤相结合，实施河流水质目标管理，全面治理工业污染源。强化城镇、乡村污水收集处理，有效治理农业面源污染，打造良好河流生态环境，确保</w:t>
      </w:r>
      <w:r>
        <w:rPr>
          <w:rFonts w:hint="eastAsia" w:cs="Times New Roman"/>
        </w:rPr>
        <w:t>桓仁水库、浑江、富尔江</w:t>
      </w:r>
      <w:r>
        <w:rPr>
          <w:rFonts w:cs="Times New Roman"/>
        </w:rPr>
        <w:t>等重要水功能区水质达标率保持100%。</w:t>
      </w:r>
    </w:p>
    <w:p w14:paraId="25761418">
      <w:pPr>
        <w:pStyle w:val="4"/>
        <w:numPr>
          <w:ilvl w:val="0"/>
          <w:numId w:val="0"/>
        </w:numPr>
        <w:ind w:left="640" w:leftChars="0"/>
        <w:rPr>
          <w:rFonts w:cs="Times New Roman"/>
        </w:rPr>
      </w:pPr>
      <w:r>
        <w:rPr>
          <w:rFonts w:hint="eastAsia" w:cs="Times New Roman"/>
          <w:lang w:val="en-US" w:eastAsia="zh-CN"/>
        </w:rPr>
        <w:t>5.2.3</w:t>
      </w:r>
      <w:r>
        <w:rPr>
          <w:rFonts w:cs="Times New Roman"/>
        </w:rPr>
        <w:t>建设节水型社会</w:t>
      </w:r>
    </w:p>
    <w:p w14:paraId="12E96FF4">
      <w:pPr>
        <w:ind w:firstLine="640"/>
        <w:rPr>
          <w:rFonts w:cs="Times New Roman"/>
        </w:rPr>
      </w:pPr>
      <w:r>
        <w:rPr>
          <w:rFonts w:cs="Times New Roman"/>
        </w:rPr>
        <w:t>全面推进节水型社会建设，加强工业、农业、城乡节水改造，大力推广工业节水工艺和农业节水灌溉技术，大力倡导节水型产业，实施建设项目节水制度。统筹考虑水资源保护、雨水利用、再生水利用、新水源开发等各项措施，进行统一规划和科学管理，合理利用多种水资源。</w:t>
      </w:r>
    </w:p>
    <w:p w14:paraId="46A29C19">
      <w:pPr>
        <w:pStyle w:val="3"/>
        <w:rPr>
          <w:rFonts w:ascii="Times New Roman" w:hAnsi="Times New Roman" w:cs="Times New Roman"/>
        </w:rPr>
      </w:pPr>
      <w:bookmarkStart w:id="34" w:name="_Toc205557228"/>
      <w:bookmarkStart w:id="35" w:name="_Toc25438"/>
      <w:r>
        <w:rPr>
          <w:rFonts w:hint="eastAsia" w:ascii="Times New Roman" w:hAnsi="Times New Roman" w:cs="Times New Roman"/>
          <w:lang w:val="en-US" w:eastAsia="zh-CN"/>
        </w:rPr>
        <w:t>5.3</w:t>
      </w:r>
      <w:r>
        <w:rPr>
          <w:rFonts w:ascii="Times New Roman" w:hAnsi="Times New Roman" w:cs="Times New Roman"/>
        </w:rPr>
        <w:t xml:space="preserve"> 湿地资源</w:t>
      </w:r>
      <w:bookmarkEnd w:id="34"/>
      <w:bookmarkEnd w:id="35"/>
    </w:p>
    <w:p w14:paraId="636FBA67">
      <w:pPr>
        <w:pStyle w:val="4"/>
        <w:numPr>
          <w:ilvl w:val="0"/>
          <w:numId w:val="0"/>
        </w:numPr>
        <w:ind w:left="640" w:leftChars="0"/>
        <w:rPr>
          <w:rFonts w:cs="Times New Roman"/>
        </w:rPr>
      </w:pPr>
      <w:r>
        <w:rPr>
          <w:rFonts w:hint="eastAsia" w:cs="Times New Roman"/>
          <w:lang w:val="en-US" w:eastAsia="zh-CN"/>
        </w:rPr>
        <w:t>5.3.1</w:t>
      </w:r>
      <w:r>
        <w:rPr>
          <w:rFonts w:cs="Times New Roman"/>
        </w:rPr>
        <w:t>湿地保护</w:t>
      </w:r>
    </w:p>
    <w:p w14:paraId="2F18C323">
      <w:pPr>
        <w:ind w:firstLine="640"/>
        <w:rPr>
          <w:rFonts w:cs="Times New Roman"/>
        </w:rPr>
      </w:pPr>
      <w:r>
        <w:rPr>
          <w:rFonts w:cs="Times New Roman"/>
        </w:rPr>
        <w:t>严格保护现状重要湿地，对镇域内湿地进行动态监测，对可能存在湿地面积减少、生态功能退化等情况，制定科学的湿地保护方案，及时采取措施予以恢复、修复，维护湿地生态系统完整性和稳定性，稳步提升湿地生态系统服务功能和生态产品供给能力。规划期间，湿地面积保持稳定，湿地保护率依据上级下达任务确定。</w:t>
      </w:r>
    </w:p>
    <w:p w14:paraId="7DDC1CFE">
      <w:pPr>
        <w:pStyle w:val="3"/>
        <w:rPr>
          <w:rFonts w:ascii="Times New Roman" w:hAnsi="Times New Roman" w:cs="Times New Roman"/>
        </w:rPr>
      </w:pPr>
      <w:bookmarkStart w:id="36" w:name="_Toc205557229"/>
      <w:bookmarkStart w:id="37" w:name="_Toc24083"/>
      <w:r>
        <w:rPr>
          <w:rFonts w:hint="eastAsia" w:ascii="Times New Roman" w:hAnsi="Times New Roman" w:cs="Times New Roman"/>
          <w:lang w:val="en-US" w:eastAsia="zh-CN"/>
        </w:rPr>
        <w:t>5.4</w:t>
      </w:r>
      <w:r>
        <w:rPr>
          <w:rFonts w:ascii="Times New Roman" w:hAnsi="Times New Roman" w:cs="Times New Roman"/>
        </w:rPr>
        <w:t xml:space="preserve"> 林草资源</w:t>
      </w:r>
      <w:bookmarkEnd w:id="36"/>
      <w:bookmarkEnd w:id="37"/>
    </w:p>
    <w:p w14:paraId="34D9A676">
      <w:pPr>
        <w:pStyle w:val="4"/>
        <w:numPr>
          <w:ilvl w:val="0"/>
          <w:numId w:val="0"/>
        </w:numPr>
        <w:ind w:left="640" w:leftChars="0"/>
        <w:rPr>
          <w:rFonts w:cs="Times New Roman"/>
        </w:rPr>
      </w:pPr>
      <w:r>
        <w:rPr>
          <w:rFonts w:hint="eastAsia" w:cs="Times New Roman"/>
          <w:lang w:val="en-US" w:eastAsia="zh-CN"/>
        </w:rPr>
        <w:t>5.4.1</w:t>
      </w:r>
      <w:r>
        <w:rPr>
          <w:rFonts w:cs="Times New Roman"/>
        </w:rPr>
        <w:t>加强森林资源保护</w:t>
      </w:r>
    </w:p>
    <w:p w14:paraId="1366DA69">
      <w:pPr>
        <w:ind w:firstLine="640"/>
        <w:rPr>
          <w:rFonts w:cs="Times New Roman"/>
        </w:rPr>
      </w:pPr>
      <w:r>
        <w:rPr>
          <w:rFonts w:cs="Times New Roman"/>
          <w:color w:val="000000"/>
          <w:lang w:bidi="ar"/>
        </w:rPr>
        <w:t>大力维护森林资源，稳步推进提升林分质量为主的中幼龄林抚育和退化林修复工作。大力推进</w:t>
      </w:r>
      <w:r>
        <w:rPr>
          <w:rFonts w:hint="eastAsia" w:cs="Times New Roman"/>
          <w:color w:val="000000"/>
          <w:lang w:bidi="ar"/>
        </w:rPr>
        <w:t>辽宁桓龙湖国家森林公园</w:t>
      </w:r>
      <w:r>
        <w:rPr>
          <w:rFonts w:cs="Times New Roman"/>
          <w:color w:val="000000"/>
          <w:lang w:bidi="ar"/>
        </w:rPr>
        <w:t>建设，强化对林地的整体保护。</w:t>
      </w:r>
      <w:r>
        <w:rPr>
          <w:rFonts w:cs="Times New Roman"/>
          <w:lang w:bidi="ar"/>
        </w:rPr>
        <w:t>规</w:t>
      </w:r>
      <w:r>
        <w:rPr>
          <w:rFonts w:cs="Times New Roman"/>
          <w:color w:val="000000"/>
          <w:lang w:bidi="ar"/>
        </w:rPr>
        <w:t>划期间林地面积保持稳定，确保森林覆盖率和林地保有量达到上级下达任务要求。</w:t>
      </w:r>
    </w:p>
    <w:p w14:paraId="1F24478F">
      <w:pPr>
        <w:ind w:firstLine="640"/>
        <w:rPr>
          <w:rFonts w:cs="Times New Roman"/>
        </w:rPr>
      </w:pPr>
      <w:r>
        <w:rPr>
          <w:rFonts w:cs="Times New Roman"/>
          <w:color w:val="000000"/>
          <w:lang w:bidi="ar"/>
        </w:rPr>
        <w:t>大力提升森林质量。规划期间，加固全域生态保护屏障，提高生态环境质量。实施封山育林，坚持</w:t>
      </w:r>
      <w:r>
        <w:rPr>
          <w:rFonts w:hint="eastAsia" w:cs="Times New Roman"/>
          <w:color w:val="000000"/>
          <w:lang w:bidi="ar"/>
        </w:rPr>
        <w:t>“</w:t>
      </w:r>
      <w:r>
        <w:rPr>
          <w:rFonts w:cs="Times New Roman"/>
          <w:color w:val="000000"/>
          <w:lang w:bidi="ar"/>
        </w:rPr>
        <w:t>以封为主，封育结合</w:t>
      </w:r>
      <w:r>
        <w:rPr>
          <w:rFonts w:hint="eastAsia" w:cs="Times New Roman"/>
          <w:color w:val="000000"/>
          <w:lang w:bidi="ar"/>
        </w:rPr>
        <w:t>”</w:t>
      </w:r>
      <w:r>
        <w:rPr>
          <w:rFonts w:cs="Times New Roman"/>
          <w:color w:val="000000"/>
          <w:lang w:bidi="ar"/>
        </w:rPr>
        <w:t>原则，加大对天然林、生态公益林等林地保护力度，优化森林组成、结构和功能，营造水土保持林、水源涵养林，全面提升水土保持、水源涵养和生物多样性维护功能。加大森林防火和有害生物防治力度。保障以山体和水体为骨架的生态过程连续性和生态系统稳定性，构建山体、林田、水系共生的生态基础设施格局，稳定国土生态安全屏障防护功能。在不影响整体森林生态系统功能发挥和破坏森林植被的前提下，科学发展林下经济，增强生态产品供给能力。</w:t>
      </w:r>
    </w:p>
    <w:p w14:paraId="3C4D57EC">
      <w:pPr>
        <w:pStyle w:val="4"/>
        <w:numPr>
          <w:ilvl w:val="0"/>
          <w:numId w:val="0"/>
        </w:numPr>
        <w:ind w:left="640" w:leftChars="0"/>
        <w:rPr>
          <w:rFonts w:cs="Times New Roman"/>
        </w:rPr>
      </w:pPr>
      <w:r>
        <w:rPr>
          <w:rFonts w:hint="eastAsia" w:cs="Times New Roman"/>
          <w:lang w:val="en-US" w:eastAsia="zh-CN"/>
        </w:rPr>
        <w:t>5.4.2</w:t>
      </w:r>
      <w:r>
        <w:rPr>
          <w:rFonts w:cs="Times New Roman"/>
        </w:rPr>
        <w:t>加强草地资源保护</w:t>
      </w:r>
    </w:p>
    <w:p w14:paraId="26BD1553">
      <w:pPr>
        <w:ind w:firstLine="640"/>
        <w:rPr>
          <w:rFonts w:cs="Times New Roman"/>
        </w:rPr>
      </w:pPr>
      <w:r>
        <w:rPr>
          <w:rFonts w:hint="eastAsia" w:cs="Times New Roman"/>
          <w:lang w:bidi="ar"/>
        </w:rPr>
        <w:t>北甸子</w:t>
      </w:r>
      <w:r>
        <w:rPr>
          <w:rFonts w:cs="Times New Roman"/>
          <w:lang w:bidi="ar"/>
        </w:rPr>
        <w:t>乡现状草地主要是其他草地，大力维护天然牧草地，合理利用草地资源，有序实施草地生态修复与综合治理，提升草地生态质量，最大程度保护原生植被不</w:t>
      </w:r>
      <w:r>
        <w:rPr>
          <w:rFonts w:cs="Times New Roman"/>
          <w:color w:val="000000"/>
          <w:lang w:bidi="ar"/>
        </w:rPr>
        <w:t>受破坏，增加草地物种生物多样性，维护草地生态系统稳定性，稳固草地在防风固沙、水土保持等方面的积极作用。</w:t>
      </w:r>
    </w:p>
    <w:p w14:paraId="524BA8AF">
      <w:pPr>
        <w:pStyle w:val="3"/>
        <w:rPr>
          <w:rFonts w:ascii="Times New Roman" w:hAnsi="Times New Roman" w:cs="Times New Roman"/>
        </w:rPr>
      </w:pPr>
      <w:bookmarkStart w:id="38" w:name="_Toc17179"/>
      <w:bookmarkStart w:id="39" w:name="_Toc205557230"/>
      <w:r>
        <w:rPr>
          <w:rFonts w:hint="eastAsia" w:ascii="Times New Roman" w:hAnsi="Times New Roman" w:cs="Times New Roman"/>
          <w:lang w:val="en-US" w:eastAsia="zh-CN"/>
        </w:rPr>
        <w:t>5.5</w:t>
      </w:r>
      <w:r>
        <w:rPr>
          <w:rFonts w:ascii="Times New Roman" w:hAnsi="Times New Roman" w:cs="Times New Roman"/>
        </w:rPr>
        <w:t xml:space="preserve"> 矿产资源</w:t>
      </w:r>
      <w:bookmarkEnd w:id="38"/>
      <w:bookmarkEnd w:id="39"/>
    </w:p>
    <w:p w14:paraId="663DAEFD">
      <w:pPr>
        <w:pStyle w:val="4"/>
        <w:numPr>
          <w:ilvl w:val="0"/>
          <w:numId w:val="0"/>
        </w:numPr>
        <w:ind w:left="640" w:leftChars="0"/>
        <w:rPr>
          <w:rFonts w:cs="Times New Roman"/>
        </w:rPr>
      </w:pPr>
      <w:r>
        <w:rPr>
          <w:rFonts w:hint="eastAsia" w:cs="Times New Roman"/>
          <w:lang w:val="en-US" w:eastAsia="zh-CN"/>
        </w:rPr>
        <w:t>5.5.1</w:t>
      </w:r>
      <w:r>
        <w:rPr>
          <w:rFonts w:cs="Times New Roman"/>
        </w:rPr>
        <w:t>合理利用矿产资源</w:t>
      </w:r>
    </w:p>
    <w:p w14:paraId="2E9BA357">
      <w:pPr>
        <w:ind w:firstLine="640"/>
        <w:rPr>
          <w:rFonts w:cs="Times New Roman"/>
        </w:rPr>
      </w:pPr>
      <w:r>
        <w:rPr>
          <w:rFonts w:cs="Times New Roman"/>
        </w:rPr>
        <w:t>合理开发利用石灰石矿、方解石矿和采石场等，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鼓励矿山企业加强低品位、难选冶、共伴生矿产资源以及尾矿、废石等废弃物的综合利用，科学利用地下开采矿山坑采废石、露天开采矿山覆盖层、夹层及矿体顶底板岩石，不断提升矿产资源节约与综合利用水平。</w:t>
      </w:r>
    </w:p>
    <w:p w14:paraId="3A3F29FA">
      <w:pPr>
        <w:pStyle w:val="4"/>
        <w:numPr>
          <w:ilvl w:val="0"/>
          <w:numId w:val="0"/>
        </w:numPr>
        <w:ind w:left="640" w:leftChars="0"/>
        <w:rPr>
          <w:rFonts w:cs="Times New Roman"/>
        </w:rPr>
      </w:pPr>
      <w:r>
        <w:rPr>
          <w:rFonts w:hint="eastAsia" w:cs="Times New Roman"/>
          <w:lang w:val="en-US" w:eastAsia="zh-CN"/>
        </w:rPr>
        <w:t>5.5.2</w:t>
      </w:r>
      <w:r>
        <w:rPr>
          <w:rFonts w:cs="Times New Roman"/>
        </w:rPr>
        <w:t>积极发展绿色矿山</w:t>
      </w:r>
    </w:p>
    <w:p w14:paraId="1D93C616">
      <w:pPr>
        <w:ind w:firstLine="640"/>
        <w:rPr>
          <w:rFonts w:cs="Times New Roman"/>
        </w:rPr>
      </w:pPr>
      <w:r>
        <w:rPr>
          <w:rFonts w:cs="Times New Roman"/>
        </w:rPr>
        <w:t>加大矿山地质环境保护与治理力度，发展绿色矿山，切实推进绿色矿山建设进程。新建矿山全部按照绿色矿山标准进行规划、设计、建设和运营管理，积极推动已有矿山加快升级改造，逐步达到绿色矿山标准。重点加快石灰石矿、方解石矿等符合建设要求生产矿山的绿色矿山建设。</w:t>
      </w:r>
    </w:p>
    <w:p w14:paraId="0B5B7890">
      <w:pPr>
        <w:pStyle w:val="3"/>
        <w:rPr>
          <w:rFonts w:ascii="Times New Roman" w:hAnsi="Times New Roman" w:cs="Times New Roman"/>
        </w:rPr>
      </w:pPr>
      <w:bookmarkStart w:id="40" w:name="_Toc25468"/>
      <w:bookmarkStart w:id="41" w:name="_Toc205557231"/>
      <w:r>
        <w:rPr>
          <w:rFonts w:hint="eastAsia" w:ascii="Times New Roman" w:hAnsi="Times New Roman" w:cs="Times New Roman"/>
          <w:lang w:val="en-US" w:eastAsia="zh-CN"/>
        </w:rPr>
        <w:t>5.6</w:t>
      </w:r>
      <w:r>
        <w:rPr>
          <w:rFonts w:ascii="Times New Roman" w:hAnsi="Times New Roman" w:cs="Times New Roman"/>
        </w:rPr>
        <w:t xml:space="preserve"> 历史文化资源</w:t>
      </w:r>
      <w:bookmarkEnd w:id="40"/>
      <w:bookmarkEnd w:id="41"/>
    </w:p>
    <w:p w14:paraId="64F72C5C">
      <w:pPr>
        <w:pStyle w:val="4"/>
        <w:numPr>
          <w:ilvl w:val="0"/>
          <w:numId w:val="0"/>
        </w:numPr>
        <w:ind w:left="640" w:leftChars="0"/>
        <w:rPr>
          <w:rFonts w:cs="Times New Roman"/>
        </w:rPr>
      </w:pPr>
      <w:bookmarkStart w:id="42" w:name="_Toc381693"/>
      <w:r>
        <w:rPr>
          <w:rFonts w:hint="eastAsia" w:cs="Times New Roman"/>
          <w:lang w:val="en-US" w:eastAsia="zh-CN"/>
        </w:rPr>
        <w:t>5.6.1</w:t>
      </w:r>
      <w:r>
        <w:rPr>
          <w:rFonts w:cs="Times New Roman"/>
        </w:rPr>
        <w:t>完善历史文化保护体系</w:t>
      </w:r>
      <w:bookmarkEnd w:id="42"/>
    </w:p>
    <w:p w14:paraId="30332E86">
      <w:pPr>
        <w:ind w:firstLine="640"/>
        <w:rPr>
          <w:rFonts w:cs="Times New Roman"/>
        </w:rPr>
      </w:pPr>
      <w:r>
        <w:rPr>
          <w:rFonts w:cs="Times New Roman"/>
        </w:rPr>
        <w:t>大力挖掘</w:t>
      </w:r>
      <w:r>
        <w:rPr>
          <w:rFonts w:hint="eastAsia" w:cs="Times New Roman"/>
        </w:rPr>
        <w:t>北甸子</w:t>
      </w:r>
      <w:r>
        <w:rPr>
          <w:rFonts w:cs="Times New Roman"/>
        </w:rPr>
        <w:t>乡乡土文化、地域文化、红色文化、民俗文化等特色资源，注重地方历史文化传承。做好</w:t>
      </w:r>
      <w:r>
        <w:rPr>
          <w:rFonts w:hint="eastAsia" w:cs="Times New Roman"/>
        </w:rPr>
        <w:t>高丽墓子墓群、王义沟遗址</w:t>
      </w:r>
      <w:r>
        <w:rPr>
          <w:rFonts w:cs="Times New Roman"/>
        </w:rPr>
        <w:t>等各级文物保护单位的保护工作，以文物保护单位为主，补充具有历史文化价值的历史建筑、古树名木、街巷格局等，以地方多元文化为主题，展示和传承地方饮食、工艺、传说等，推进全面全要素保护，开展全方位普查工作，积极推动历史文化名镇名村、传统村落申报，不断完善保护对象，建立保护名录。以点带面，实施渐进式更新。坚持以用促保，保护与发展相互促进，以多样化利用活化历史遗迹。</w:t>
      </w:r>
    </w:p>
    <w:p w14:paraId="6D610029">
      <w:pPr>
        <w:pStyle w:val="4"/>
        <w:numPr>
          <w:ilvl w:val="0"/>
          <w:numId w:val="0"/>
        </w:numPr>
        <w:ind w:left="640" w:leftChars="0"/>
        <w:rPr>
          <w:rFonts w:cs="Times New Roman"/>
        </w:rPr>
      </w:pPr>
      <w:bookmarkStart w:id="43" w:name="_Toc381697"/>
      <w:bookmarkStart w:id="44" w:name="_Toc381700"/>
      <w:r>
        <w:rPr>
          <w:rFonts w:hint="eastAsia" w:cs="Times New Roman"/>
          <w:lang w:val="en-US" w:eastAsia="zh-CN"/>
        </w:rPr>
        <w:t>5.6.2</w:t>
      </w:r>
      <w:r>
        <w:rPr>
          <w:rFonts w:cs="Times New Roman"/>
        </w:rPr>
        <w:t>妥善保护利用文物古迹</w:t>
      </w:r>
      <w:bookmarkEnd w:id="43"/>
    </w:p>
    <w:p w14:paraId="4CD070CE">
      <w:pPr>
        <w:widowControl/>
        <w:adjustRightInd w:val="0"/>
        <w:snapToGrid w:val="0"/>
        <w:ind w:firstLine="640"/>
        <w:rPr>
          <w:rFonts w:cs="Times New Roman"/>
        </w:rPr>
      </w:pPr>
      <w:r>
        <w:rPr>
          <w:rFonts w:cs="Times New Roman"/>
        </w:rPr>
        <w:t>严格保护各级文物保护单位的原址、原物、原状，明确保护要求和管理责任，严禁任何对文物本体造成破坏的行为，加强文物周边环境整治，提高历史环境品质，落实保护范围和建设控制地带。保护范围内不得随意改变原有现状建筑；建设控制地带严格控制建设，加强维修可保留建筑，逐步拆除不需保留建筑，凡有新建建筑，应在外观、造型、体量、高度、色彩上和保护对象协调。</w:t>
      </w:r>
    </w:p>
    <w:p w14:paraId="6EE3FBDB">
      <w:pPr>
        <w:pStyle w:val="4"/>
        <w:numPr>
          <w:ilvl w:val="0"/>
          <w:numId w:val="0"/>
        </w:numPr>
        <w:ind w:left="640" w:leftChars="0"/>
        <w:rPr>
          <w:rFonts w:cs="Times New Roman"/>
        </w:rPr>
      </w:pPr>
      <w:r>
        <w:rPr>
          <w:rFonts w:hint="eastAsia" w:cs="Times New Roman"/>
          <w:lang w:val="en-US" w:eastAsia="zh-CN"/>
        </w:rPr>
        <w:t>5.6.3</w:t>
      </w:r>
      <w:r>
        <w:rPr>
          <w:rFonts w:cs="Times New Roman"/>
        </w:rPr>
        <w:t>强化历史文化遗产活化利用</w:t>
      </w:r>
    </w:p>
    <w:p w14:paraId="76009B50">
      <w:pPr>
        <w:widowControl/>
        <w:adjustRightInd w:val="0"/>
        <w:snapToGrid w:val="0"/>
        <w:ind w:firstLine="640"/>
        <w:rPr>
          <w:rFonts w:cs="Times New Roman"/>
        </w:rPr>
      </w:pPr>
      <w:r>
        <w:rPr>
          <w:rFonts w:cs="Times New Roman"/>
        </w:rPr>
        <w:t>深入挖掘</w:t>
      </w:r>
      <w:r>
        <w:rPr>
          <w:rFonts w:hint="eastAsia" w:cs="Times New Roman"/>
        </w:rPr>
        <w:t>北甸子</w:t>
      </w:r>
      <w:r>
        <w:rPr>
          <w:rFonts w:cs="Times New Roman"/>
        </w:rPr>
        <w:t>乡高句丽文化、</w:t>
      </w:r>
      <w:r>
        <w:rPr>
          <w:rFonts w:hint="eastAsia" w:cs="Times New Roman"/>
        </w:rPr>
        <w:t>满族</w:t>
      </w:r>
      <w:r>
        <w:rPr>
          <w:rFonts w:cs="Times New Roman"/>
        </w:rPr>
        <w:t>文化、</w:t>
      </w:r>
      <w:r>
        <w:rPr>
          <w:rFonts w:hint="eastAsia" w:cs="Times New Roman"/>
        </w:rPr>
        <w:t>冰酒</w:t>
      </w:r>
      <w:r>
        <w:rPr>
          <w:rFonts w:cs="Times New Roman"/>
        </w:rPr>
        <w:t>文化，传承农耕文明。坚持创造性转化、创新性发展，深入挖掘、广泛传播文化遗产蕴含的文化精髓和时代价值，创新历史文化遗产合理利用方式，推动历史文化遗产保护利用工作全面融入经济社会发展。引导历史文化遗产充分发挥公共教育、文化服务等作用，让文化遗产活起来。加大文化遗产开放利用力度，因地制宜改造为公共文化设施或场所。妥善处理保护与开发的关系，推动历史文化遗产成为特色旅游目的地和文明旅游的典范，提升环境品质，满足人民群众精神文化生活新期待，推动历史文化遗产保护的同时带动产业发展。</w:t>
      </w:r>
    </w:p>
    <w:p w14:paraId="1583F34D">
      <w:pPr>
        <w:widowControl/>
        <w:adjustRightInd w:val="0"/>
        <w:snapToGrid w:val="0"/>
        <w:ind w:firstLine="640"/>
        <w:rPr>
          <w:rFonts w:cs="Times New Roman"/>
        </w:rPr>
      </w:pPr>
    </w:p>
    <w:bookmarkEnd w:id="44"/>
    <w:p w14:paraId="099F5CAB">
      <w:pPr>
        <w:pStyle w:val="2"/>
        <w:spacing w:before="312" w:after="312"/>
        <w:rPr>
          <w:rFonts w:ascii="Times New Roman" w:hAnsi="Times New Roman" w:cs="Times New Roman"/>
        </w:rPr>
      </w:pPr>
      <w:bookmarkStart w:id="45" w:name="_Toc205557232"/>
      <w:bookmarkStart w:id="46" w:name="_Toc26392"/>
      <w:r>
        <w:rPr>
          <w:rFonts w:ascii="Times New Roman" w:hAnsi="Times New Roman" w:cs="Times New Roman"/>
        </w:rPr>
        <w:t>第</w:t>
      </w:r>
      <w:r>
        <w:rPr>
          <w:rFonts w:hint="eastAsia" w:ascii="Times New Roman" w:hAnsi="Times New Roman" w:cs="Times New Roman"/>
          <w:lang w:val="en-US" w:eastAsia="zh-CN"/>
        </w:rPr>
        <w:t>6</w:t>
      </w:r>
      <w:r>
        <w:rPr>
          <w:rFonts w:ascii="Times New Roman" w:hAnsi="Times New Roman" w:cs="Times New Roman"/>
        </w:rPr>
        <w:t>章 镇村统筹发展</w:t>
      </w:r>
      <w:bookmarkEnd w:id="45"/>
      <w:bookmarkEnd w:id="46"/>
    </w:p>
    <w:p w14:paraId="5A9F1B89">
      <w:pPr>
        <w:pStyle w:val="3"/>
        <w:rPr>
          <w:rFonts w:ascii="Times New Roman" w:hAnsi="Times New Roman" w:cs="Times New Roman"/>
        </w:rPr>
      </w:pPr>
      <w:bookmarkStart w:id="47" w:name="_Toc29816"/>
      <w:bookmarkStart w:id="48" w:name="_Toc205557233"/>
      <w:r>
        <w:rPr>
          <w:rFonts w:hint="eastAsia" w:ascii="Times New Roman" w:hAnsi="Times New Roman" w:cs="Times New Roman"/>
          <w:lang w:val="en-US" w:eastAsia="zh-CN"/>
        </w:rPr>
        <w:t>6.1</w:t>
      </w:r>
      <w:r>
        <w:rPr>
          <w:rFonts w:ascii="Times New Roman" w:hAnsi="Times New Roman" w:cs="Times New Roman"/>
        </w:rPr>
        <w:t xml:space="preserve"> 镇村体系</w:t>
      </w:r>
      <w:bookmarkEnd w:id="47"/>
      <w:bookmarkEnd w:id="48"/>
    </w:p>
    <w:p w14:paraId="5EBB5916">
      <w:pPr>
        <w:pStyle w:val="4"/>
        <w:numPr>
          <w:ilvl w:val="0"/>
          <w:numId w:val="0"/>
        </w:numPr>
        <w:ind w:left="640" w:leftChars="0"/>
        <w:rPr>
          <w:rFonts w:cs="Times New Roman"/>
        </w:rPr>
      </w:pPr>
      <w:r>
        <w:rPr>
          <w:rFonts w:hint="eastAsia" w:cs="Times New Roman"/>
          <w:lang w:val="en-US" w:eastAsia="zh-CN"/>
        </w:rPr>
        <w:t>6.1.1</w:t>
      </w:r>
      <w:r>
        <w:rPr>
          <w:rFonts w:cs="Times New Roman"/>
        </w:rPr>
        <w:t>镇村人口规模</w:t>
      </w:r>
    </w:p>
    <w:p w14:paraId="524D4CE5">
      <w:pPr>
        <w:ind w:firstLine="640"/>
        <w:rPr>
          <w:rFonts w:cs="Times New Roman"/>
        </w:rPr>
      </w:pPr>
      <w:r>
        <w:rPr>
          <w:rFonts w:cs="Times New Roman"/>
        </w:rPr>
        <w:t>正视人口自然收缩规律，顺应城镇化高质量发展和城镇化发展阶段特征，积极应对人口减少与老龄化现象。</w:t>
      </w:r>
      <w:bookmarkStart w:id="49" w:name="_Hlk131409854"/>
      <w:bookmarkStart w:id="50" w:name="_Hlk131410016"/>
      <w:r>
        <w:rPr>
          <w:rFonts w:cs="Times New Roman"/>
        </w:rPr>
        <w:t>规划至</w:t>
      </w:r>
      <w:bookmarkEnd w:id="49"/>
      <w:r>
        <w:rPr>
          <w:rFonts w:cs="Times New Roman"/>
        </w:rPr>
        <w:t>2035年，</w:t>
      </w:r>
      <w:r>
        <w:rPr>
          <w:rFonts w:hint="eastAsia" w:cs="Times New Roman"/>
        </w:rPr>
        <w:t>北甸子</w:t>
      </w:r>
      <w:r>
        <w:rPr>
          <w:rFonts w:cs="Times New Roman"/>
        </w:rPr>
        <w:t>乡域常住人口规模约1</w:t>
      </w:r>
      <w:r>
        <w:rPr>
          <w:rFonts w:hint="eastAsia" w:cs="Times New Roman"/>
        </w:rPr>
        <w:t>2</w:t>
      </w:r>
      <w:r>
        <w:rPr>
          <w:rFonts w:cs="Times New Roman"/>
        </w:rPr>
        <w:t>000人，乡中心区人口约为</w:t>
      </w:r>
      <w:r>
        <w:rPr>
          <w:rFonts w:hint="eastAsia" w:cs="Times New Roman"/>
        </w:rPr>
        <w:t>68</w:t>
      </w:r>
      <w:r>
        <w:rPr>
          <w:rFonts w:cs="Times New Roman"/>
        </w:rPr>
        <w:t>00人</w:t>
      </w:r>
      <w:bookmarkEnd w:id="50"/>
      <w:r>
        <w:rPr>
          <w:rFonts w:cs="Times New Roman"/>
        </w:rPr>
        <w:t>。</w:t>
      </w:r>
    </w:p>
    <w:p w14:paraId="49428BE0">
      <w:pPr>
        <w:pStyle w:val="4"/>
        <w:numPr>
          <w:ilvl w:val="0"/>
          <w:numId w:val="0"/>
        </w:numPr>
        <w:ind w:left="640" w:leftChars="0"/>
        <w:rPr>
          <w:rFonts w:cs="Times New Roman"/>
        </w:rPr>
      </w:pPr>
      <w:r>
        <w:rPr>
          <w:rFonts w:hint="eastAsia" w:cs="Times New Roman"/>
          <w:lang w:val="en-US" w:eastAsia="zh-CN"/>
        </w:rPr>
        <w:t>6.1.2</w:t>
      </w:r>
      <w:r>
        <w:rPr>
          <w:rFonts w:cs="Times New Roman"/>
        </w:rPr>
        <w:t>镇村等级规模职能结构</w:t>
      </w:r>
    </w:p>
    <w:p w14:paraId="090DC3FA">
      <w:pPr>
        <w:ind w:firstLine="640"/>
        <w:jc w:val="left"/>
        <w:rPr>
          <w:rFonts w:cs="Times New Roman"/>
        </w:rPr>
      </w:pPr>
      <w:r>
        <w:rPr>
          <w:rFonts w:cs="Times New Roman"/>
        </w:rPr>
        <w:t>落实上位规划引导，综合考虑人口规模、经济职能、辐射范围等因素，构建</w:t>
      </w:r>
      <w:r>
        <w:rPr>
          <w:rFonts w:hint="eastAsia" w:cs="Times New Roman"/>
        </w:rPr>
        <w:t>“</w:t>
      </w:r>
      <w:r>
        <w:rPr>
          <w:rFonts w:cs="Times New Roman"/>
        </w:rPr>
        <w:t>乡中心区—中心村—一般村</w:t>
      </w:r>
      <w:r>
        <w:rPr>
          <w:rFonts w:hint="eastAsia" w:cs="Times New Roman"/>
        </w:rPr>
        <w:t>”</w:t>
      </w:r>
      <w:r>
        <w:rPr>
          <w:rFonts w:cs="Times New Roman"/>
        </w:rPr>
        <w:t>三级等级结构体系。</w:t>
      </w:r>
      <w:r>
        <w:rPr>
          <w:rFonts w:cs="Times New Roman"/>
        </w:rPr>
        <w:cr/>
      </w:r>
      <w:r>
        <w:rPr>
          <w:rFonts w:cs="Times New Roman"/>
        </w:rPr>
        <w:t xml:space="preserve">    乡中心区：以乡政府驻地</w:t>
      </w:r>
      <w:r>
        <w:rPr>
          <w:rFonts w:hint="eastAsia" w:cs="Times New Roman"/>
        </w:rPr>
        <w:t>友谊</w:t>
      </w:r>
      <w:r>
        <w:rPr>
          <w:rFonts w:cs="Times New Roman"/>
        </w:rPr>
        <w:t>村为核心，是全域的政治、经济、文化中心和综合服务中心</w:t>
      </w:r>
      <w:r>
        <w:rPr>
          <w:rFonts w:hint="eastAsia" w:cs="Times New Roman"/>
        </w:rPr>
        <w:t>，以服务业、冰酒产业及集贸为主要职能</w:t>
      </w:r>
      <w:r>
        <w:rPr>
          <w:rFonts w:cs="Times New Roman"/>
        </w:rPr>
        <w:t>。</w:t>
      </w:r>
    </w:p>
    <w:p w14:paraId="3D0183A6">
      <w:pPr>
        <w:ind w:firstLine="640"/>
        <w:rPr>
          <w:rFonts w:cs="Times New Roman"/>
        </w:rPr>
      </w:pPr>
      <w:r>
        <w:rPr>
          <w:rFonts w:cs="Times New Roman"/>
        </w:rPr>
        <w:t>中心村：</w:t>
      </w:r>
      <w:r>
        <w:rPr>
          <w:rFonts w:hint="eastAsia" w:cs="Times New Roman"/>
        </w:rPr>
        <w:t>英英沟</w:t>
      </w:r>
      <w:r>
        <w:rPr>
          <w:rFonts w:cs="Times New Roman"/>
        </w:rPr>
        <w:t>村、</w:t>
      </w:r>
      <w:r>
        <w:rPr>
          <w:rFonts w:hint="eastAsia" w:cs="Times New Roman"/>
        </w:rPr>
        <w:t>长春沟</w:t>
      </w:r>
      <w:r>
        <w:rPr>
          <w:rFonts w:cs="Times New Roman"/>
        </w:rPr>
        <w:t>村</w:t>
      </w:r>
      <w:r>
        <w:rPr>
          <w:rFonts w:hint="eastAsia" w:cs="Times New Roman"/>
        </w:rPr>
        <w:t>2</w:t>
      </w:r>
      <w:r>
        <w:rPr>
          <w:rFonts w:cs="Times New Roman"/>
        </w:rPr>
        <w:t>个中心村。充分发挥现状基础优势和产业优势，形成村庄组团的中心，为周边村庄提供设施支撑，带动周边村庄发展。规划以</w:t>
      </w:r>
      <w:r>
        <w:rPr>
          <w:rFonts w:hint="eastAsia" w:cs="Times New Roman"/>
        </w:rPr>
        <w:t>冰酒</w:t>
      </w:r>
      <w:r>
        <w:rPr>
          <w:rFonts w:cs="Times New Roman"/>
        </w:rPr>
        <w:t>等特色农业和生态旅游为主导产业，</w:t>
      </w:r>
      <w:r>
        <w:rPr>
          <w:rFonts w:hint="eastAsia" w:cs="Times New Roman"/>
        </w:rPr>
        <w:t>开展冰葡萄采摘、加工等项目，</w:t>
      </w:r>
      <w:r>
        <w:rPr>
          <w:rFonts w:cs="Times New Roman"/>
        </w:rPr>
        <w:t>依托良好的区位交通条件及生态资源禀赋，发展完善配套服务设施。中心村常住人口规模</w:t>
      </w:r>
      <w:r>
        <w:rPr>
          <w:rFonts w:hint="eastAsia" w:cs="Times New Roman"/>
        </w:rPr>
        <w:t>1</w:t>
      </w:r>
      <w:r>
        <w:rPr>
          <w:rFonts w:cs="Times New Roman"/>
        </w:rPr>
        <w:t>000-</w:t>
      </w:r>
      <w:r>
        <w:rPr>
          <w:rFonts w:hint="eastAsia" w:cs="Times New Roman"/>
        </w:rPr>
        <w:t>12</w:t>
      </w:r>
      <w:r>
        <w:rPr>
          <w:rFonts w:cs="Times New Roman"/>
        </w:rPr>
        <w:t>00人。</w:t>
      </w:r>
    </w:p>
    <w:p w14:paraId="6A9AD631">
      <w:pPr>
        <w:ind w:firstLine="640"/>
        <w:rPr>
          <w:rFonts w:cs="Times New Roman"/>
        </w:rPr>
      </w:pPr>
      <w:r>
        <w:rPr>
          <w:rFonts w:cs="Times New Roman"/>
        </w:rPr>
        <w:t>一般村：</w:t>
      </w:r>
      <w:r>
        <w:rPr>
          <w:rFonts w:hint="eastAsia" w:cs="Times New Roman"/>
        </w:rPr>
        <w:t>北甸村、大牛沟村、湾龙背</w:t>
      </w:r>
      <w:r>
        <w:rPr>
          <w:rFonts w:cs="Times New Roman"/>
        </w:rPr>
        <w:t>村</w:t>
      </w:r>
      <w:r>
        <w:rPr>
          <w:rFonts w:hint="eastAsia" w:cs="Times New Roman"/>
        </w:rPr>
        <w:t>3</w:t>
      </w:r>
      <w:r>
        <w:rPr>
          <w:rFonts w:cs="Times New Roman"/>
        </w:rPr>
        <w:t>个一般村，是农村生活、日常公共服务中心和专业化农业生产基地。结合产业基础，重点</w:t>
      </w:r>
      <w:r>
        <w:rPr>
          <w:rFonts w:hint="eastAsia" w:cs="Times New Roman"/>
        </w:rPr>
        <w:t>建设冰葡萄种植、加工基地</w:t>
      </w:r>
      <w:r>
        <w:rPr>
          <w:rFonts w:cs="Times New Roman"/>
        </w:rPr>
        <w:t>。同时完善乡村基础设施和服务设施，提升人居环境水平。一般村常住人口规模</w:t>
      </w:r>
      <w:r>
        <w:rPr>
          <w:rFonts w:hint="eastAsia" w:cs="Times New Roman"/>
        </w:rPr>
        <w:t>8</w:t>
      </w:r>
      <w:r>
        <w:rPr>
          <w:rFonts w:cs="Times New Roman"/>
        </w:rPr>
        <w:t>00-</w:t>
      </w:r>
      <w:r>
        <w:rPr>
          <w:rFonts w:hint="eastAsia" w:cs="Times New Roman"/>
        </w:rPr>
        <w:t>1</w:t>
      </w:r>
      <w:r>
        <w:rPr>
          <w:rFonts w:cs="Times New Roman"/>
        </w:rPr>
        <w:t>000人。</w:t>
      </w:r>
    </w:p>
    <w:p w14:paraId="7FB86A3C">
      <w:pPr>
        <w:pStyle w:val="3"/>
        <w:rPr>
          <w:rFonts w:ascii="Times New Roman" w:hAnsi="Times New Roman" w:cs="Times New Roman"/>
        </w:rPr>
      </w:pPr>
      <w:bookmarkStart w:id="51" w:name="_Toc175064675"/>
      <w:bookmarkStart w:id="52" w:name="_Toc205557234"/>
      <w:bookmarkStart w:id="53" w:name="_Toc28781"/>
      <w:r>
        <w:rPr>
          <w:rFonts w:hint="eastAsia" w:ascii="Times New Roman" w:hAnsi="Times New Roman" w:cs="Times New Roman"/>
          <w:lang w:val="en-US" w:eastAsia="zh-CN"/>
        </w:rPr>
        <w:t>6.2</w:t>
      </w:r>
      <w:r>
        <w:rPr>
          <w:rFonts w:ascii="Times New Roman" w:hAnsi="Times New Roman" w:cs="Times New Roman"/>
        </w:rPr>
        <w:t xml:space="preserve"> 村庄布局</w:t>
      </w:r>
      <w:bookmarkEnd w:id="51"/>
      <w:bookmarkEnd w:id="52"/>
      <w:bookmarkEnd w:id="53"/>
    </w:p>
    <w:p w14:paraId="3CD8DF17">
      <w:pPr>
        <w:pStyle w:val="4"/>
        <w:numPr>
          <w:ilvl w:val="0"/>
          <w:numId w:val="0"/>
        </w:numPr>
        <w:ind w:left="640" w:leftChars="0"/>
        <w:rPr>
          <w:rFonts w:eastAsia="楷体" w:cs="Times New Roman"/>
        </w:rPr>
      </w:pPr>
      <w:r>
        <w:rPr>
          <w:rFonts w:hint="eastAsia" w:cs="Times New Roman"/>
          <w:lang w:val="en-US" w:eastAsia="zh-CN"/>
        </w:rPr>
        <w:t>6.2.1</w:t>
      </w:r>
      <w:r>
        <w:rPr>
          <w:rFonts w:cs="Times New Roman"/>
        </w:rPr>
        <w:t>村庄分类引导</w:t>
      </w:r>
    </w:p>
    <w:p w14:paraId="5369D8B9">
      <w:pPr>
        <w:widowControl/>
        <w:adjustRightInd w:val="0"/>
        <w:snapToGrid w:val="0"/>
        <w:ind w:firstLine="640"/>
        <w:rPr>
          <w:rFonts w:cs="Times New Roman"/>
        </w:rPr>
      </w:pPr>
      <w:r>
        <w:rPr>
          <w:rFonts w:cs="Times New Roman"/>
        </w:rPr>
        <w:t>改善乡村人居环境，保护提升乡村风貌格局，根据不同村庄的发展现状、区位条件、资源禀赋等，</w:t>
      </w:r>
      <w:r>
        <w:rPr>
          <w:rFonts w:cs="Times New Roman"/>
          <w:color w:val="000000"/>
          <w:szCs w:val="32"/>
          <w:lang w:bidi="ar"/>
        </w:rPr>
        <w:t>按照集聚建设、整治提升、城郊融合、特色保护的思路，</w:t>
      </w:r>
      <w:r>
        <w:rPr>
          <w:rFonts w:cs="Times New Roman"/>
        </w:rPr>
        <w:t>加强村庄发展的分类引导，分类推进乡村发展。</w:t>
      </w:r>
    </w:p>
    <w:p w14:paraId="63DFD58B">
      <w:pPr>
        <w:widowControl/>
        <w:adjustRightInd w:val="0"/>
        <w:snapToGrid w:val="0"/>
        <w:ind w:firstLine="640"/>
        <w:rPr>
          <w:rFonts w:cs="Times New Roman"/>
        </w:rPr>
      </w:pPr>
      <w:r>
        <w:rPr>
          <w:rFonts w:cs="Times New Roman"/>
        </w:rPr>
        <w:t>规划全域内集聚建设类村庄</w:t>
      </w:r>
      <w:r>
        <w:rPr>
          <w:rFonts w:hint="eastAsia" w:cs="Times New Roman"/>
        </w:rPr>
        <w:t>1</w:t>
      </w:r>
      <w:r>
        <w:rPr>
          <w:rFonts w:cs="Times New Roman"/>
        </w:rPr>
        <w:t>个，整治提升类村庄</w:t>
      </w:r>
      <w:r>
        <w:rPr>
          <w:rFonts w:hint="eastAsia" w:cs="Times New Roman"/>
        </w:rPr>
        <w:t>3</w:t>
      </w:r>
      <w:r>
        <w:rPr>
          <w:rFonts w:cs="Times New Roman"/>
        </w:rPr>
        <w:t>个，特色保护类村庄</w:t>
      </w:r>
      <w:r>
        <w:rPr>
          <w:rFonts w:hint="eastAsia" w:cs="Times New Roman"/>
        </w:rPr>
        <w:t>1</w:t>
      </w:r>
      <w:r>
        <w:rPr>
          <w:rFonts w:cs="Times New Roman"/>
        </w:rPr>
        <w:t>个，城郊融合类村庄</w:t>
      </w:r>
      <w:r>
        <w:rPr>
          <w:rFonts w:hint="eastAsia" w:cs="Times New Roman"/>
        </w:rPr>
        <w:t>1</w:t>
      </w:r>
      <w:r>
        <w:rPr>
          <w:rFonts w:cs="Times New Roman"/>
        </w:rPr>
        <w:t>个，无和拆迁撤并类，村庄规划编制应按照《辽宁省村庄规划导则（试行）》要求，对村庄进行分类发展引导。</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2067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000" w:type="pct"/>
            <w:tcBorders>
              <w:top w:val="single" w:color="auto" w:sz="4" w:space="0"/>
              <w:left w:val="single" w:color="auto" w:sz="4" w:space="0"/>
              <w:bottom w:val="single" w:color="auto" w:sz="4" w:space="0"/>
              <w:right w:val="single" w:color="auto" w:sz="4" w:space="0"/>
            </w:tcBorders>
          </w:tcPr>
          <w:p w14:paraId="11C14256">
            <w:pPr>
              <w:pStyle w:val="13"/>
              <w:widowControl w:val="0"/>
              <w:tabs>
                <w:tab w:val="left" w:pos="0"/>
                <w:tab w:val="left" w:pos="5530"/>
              </w:tabs>
              <w:adjustRightInd/>
              <w:snapToGrid/>
              <w:spacing w:before="0" w:beforeAutospacing="0" w:after="0" w:afterAutospacing="0" w:line="500" w:lineRule="exact"/>
              <w:ind w:firstLine="560"/>
              <w:jc w:val="center"/>
              <w:rPr>
                <w:rFonts w:ascii="Times New Roman" w:hAnsi="Times New Roman" w:eastAsia="仿宋" w:cs="Times New Roman"/>
                <w:kern w:val="2"/>
                <w:sz w:val="32"/>
                <w:szCs w:val="32"/>
              </w:rPr>
            </w:pPr>
            <w:r>
              <w:rPr>
                <w:rFonts w:ascii="Times New Roman" w:hAnsi="Times New Roman" w:eastAsia="黑体" w:cs="Times New Roman"/>
                <w:kern w:val="2"/>
                <w:sz w:val="28"/>
                <w:szCs w:val="28"/>
                <w:lang w:bidi="ar"/>
              </w:rPr>
              <w:t>专栏1 村庄分类与建设指引</w:t>
            </w:r>
          </w:p>
        </w:tc>
      </w:tr>
      <w:tr w14:paraId="0878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tcPr>
          <w:p w14:paraId="7C6A8B63">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集聚建设类村庄：规划确定</w:t>
            </w:r>
            <w:r>
              <w:rPr>
                <w:rFonts w:hint="eastAsia" w:ascii="Times New Roman" w:hAnsi="Times New Roman" w:eastAsia="仿宋_GB2312" w:cs="Times New Roman"/>
                <w:kern w:val="2"/>
                <w:sz w:val="28"/>
                <w:szCs w:val="20"/>
                <w:lang w:bidi="ar"/>
              </w:rPr>
              <w:t>英英沟</w:t>
            </w:r>
            <w:r>
              <w:rPr>
                <w:rFonts w:ascii="Times New Roman" w:hAnsi="Times New Roman" w:eastAsia="仿宋_GB2312" w:cs="Times New Roman"/>
                <w:kern w:val="2"/>
                <w:sz w:val="28"/>
                <w:szCs w:val="20"/>
                <w:lang w:bidi="ar"/>
              </w:rPr>
              <w:t>村为集聚建设类村庄。坚持保护优先、节约优先，配建补齐各类基础设施，加快人居环境整治，建设美丽宜居村庄。通过打造专业村庄，强化对周边村庄的辐射带动和示范作用，引导周边零散居民点向该类型村庄集聚。鼓励发挥自身比较优势，强化主导产业支撑。强化村庄空间与区域环境协调性。</w:t>
            </w:r>
          </w:p>
          <w:p w14:paraId="0AF34B21">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整治提升类村庄：规划确定</w:t>
            </w:r>
            <w:r>
              <w:rPr>
                <w:rFonts w:hint="eastAsia" w:ascii="Times New Roman" w:hAnsi="Times New Roman" w:eastAsia="仿宋_GB2312" w:cs="Times New Roman"/>
                <w:kern w:val="2"/>
                <w:sz w:val="28"/>
                <w:szCs w:val="20"/>
                <w:lang w:bidi="ar"/>
              </w:rPr>
              <w:t>北甸村、大牛沟村、湾龙背</w:t>
            </w:r>
            <w:r>
              <w:rPr>
                <w:rFonts w:ascii="Times New Roman" w:hAnsi="Times New Roman" w:eastAsia="仿宋_GB2312" w:cs="Times New Roman"/>
                <w:kern w:val="2"/>
                <w:sz w:val="28"/>
                <w:szCs w:val="20"/>
                <w:lang w:bidi="ar"/>
              </w:rPr>
              <w:t>为整治提升类村庄。以改善村民生活居住环境为目的，重点补齐村庄设施短板、强化村庄人居环境整治、保障村民合理建房需求、塑造乡村特色风貌，提高村民的生活居住质量，积极盘活存量用地。</w:t>
            </w:r>
          </w:p>
          <w:p w14:paraId="0C73A5FC">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特色保护类村庄：规划确定</w:t>
            </w:r>
            <w:r>
              <w:rPr>
                <w:rFonts w:hint="eastAsia" w:ascii="Times New Roman" w:hAnsi="Times New Roman" w:eastAsia="仿宋_GB2312" w:cs="Times New Roman"/>
                <w:kern w:val="2"/>
                <w:sz w:val="28"/>
                <w:szCs w:val="20"/>
                <w:lang w:bidi="ar"/>
              </w:rPr>
              <w:t>长春沟</w:t>
            </w:r>
            <w:r>
              <w:rPr>
                <w:rFonts w:ascii="Times New Roman" w:hAnsi="Times New Roman" w:eastAsia="仿宋_GB2312" w:cs="Times New Roman"/>
                <w:kern w:val="2"/>
                <w:sz w:val="28"/>
                <w:szCs w:val="20"/>
                <w:lang w:bidi="ar"/>
              </w:rPr>
              <w:t>村为特色保护类村庄。以村内的文物保护单位为依托，发掘高句丽文化和红色文化，深耕“农文旅”融合发展，完善乡村旅游配套设施，构建以民俗文化体验、红色文化传承、生态旅游、休闲观光为支撑的旅游产品体系。</w:t>
            </w:r>
          </w:p>
          <w:p w14:paraId="0F335784">
            <w:pPr>
              <w:pStyle w:val="13"/>
              <w:spacing w:before="0" w:beforeAutospacing="0" w:after="0" w:afterAutospacing="0" w:line="500" w:lineRule="exact"/>
              <w:ind w:firstLine="560" w:firstLineChars="200"/>
              <w:jc w:val="both"/>
              <w:rPr>
                <w:rFonts w:ascii="Times New Roman" w:hAnsi="Times New Roman" w:cs="Times New Roman"/>
              </w:rPr>
            </w:pPr>
            <w:r>
              <w:rPr>
                <w:rFonts w:ascii="Times New Roman" w:hAnsi="Times New Roman" w:eastAsia="仿宋_GB2312" w:cs="Times New Roman"/>
                <w:kern w:val="2"/>
                <w:sz w:val="28"/>
                <w:szCs w:val="20"/>
                <w:lang w:bidi="ar"/>
              </w:rPr>
              <w:t>城郊融合类村庄：规划确定</w:t>
            </w:r>
            <w:r>
              <w:rPr>
                <w:rFonts w:hint="eastAsia" w:ascii="Times New Roman" w:hAnsi="Times New Roman" w:eastAsia="仿宋_GB2312" w:cs="Times New Roman"/>
                <w:kern w:val="2"/>
                <w:sz w:val="28"/>
                <w:szCs w:val="20"/>
                <w:lang w:bidi="ar"/>
              </w:rPr>
              <w:t>友谊村</w:t>
            </w:r>
            <w:r>
              <w:rPr>
                <w:rFonts w:ascii="Times New Roman" w:hAnsi="Times New Roman" w:eastAsia="仿宋_GB2312" w:cs="Times New Roman"/>
                <w:kern w:val="2"/>
                <w:sz w:val="28"/>
                <w:szCs w:val="20"/>
                <w:lang w:bidi="ar"/>
              </w:rPr>
              <w:t>为城郊融合类村庄。发挥区位优势，推动与中心城区城乡产业融合发展、基础设施互联互通、公共服务设施共建共享，打造宜居、宜业、宜游的现代化村庄。鼓励工业企业与农业形成优势互补。完善公共服务设施，满足村民的基本需求。</w:t>
            </w:r>
          </w:p>
        </w:tc>
      </w:tr>
    </w:tbl>
    <w:p w14:paraId="60561072">
      <w:pPr>
        <w:adjustRightInd w:val="0"/>
        <w:snapToGrid w:val="0"/>
        <w:spacing w:line="240" w:lineRule="auto"/>
        <w:ind w:firstLine="0" w:firstLineChars="0"/>
        <w:jc w:val="center"/>
        <w:outlineLvl w:val="2"/>
        <w:rPr>
          <w:rFonts w:eastAsia="黑体" w:cs="Times New Roman"/>
          <w:sz w:val="28"/>
          <w:szCs w:val="21"/>
        </w:rPr>
      </w:pPr>
      <w:r>
        <w:rPr>
          <w:rFonts w:eastAsia="黑体" w:cs="Times New Roman"/>
          <w:sz w:val="28"/>
          <w:szCs w:val="21"/>
        </w:rPr>
        <w:t>表5 村庄分类统计表</w:t>
      </w:r>
    </w:p>
    <w:p w14:paraId="04E2317E">
      <w:pPr>
        <w:widowControl/>
        <w:spacing w:line="240" w:lineRule="auto"/>
        <w:ind w:firstLine="0" w:firstLineChars="0"/>
        <w:jc w:val="right"/>
        <w:rPr>
          <w:rFonts w:eastAsia="仿宋" w:cs="Times New Roman"/>
          <w:color w:val="000000"/>
          <w:kern w:val="0"/>
          <w:sz w:val="21"/>
          <w:szCs w:val="21"/>
          <w:lang w:bidi="ar"/>
        </w:rPr>
      </w:pPr>
      <w:r>
        <w:rPr>
          <w:rFonts w:eastAsia="仿宋" w:cs="Times New Roman"/>
          <w:color w:val="000000"/>
          <w:kern w:val="0"/>
          <w:sz w:val="21"/>
          <w:szCs w:val="21"/>
          <w:lang w:bidi="ar"/>
        </w:rPr>
        <w:t>单位：个</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6"/>
        <w:gridCol w:w="1286"/>
        <w:gridCol w:w="2133"/>
        <w:gridCol w:w="2133"/>
      </w:tblGrid>
      <w:tr w14:paraId="3ED8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Align w:val="center"/>
          </w:tcPr>
          <w:p w14:paraId="4C2291F6">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行政村类型</w:t>
            </w:r>
          </w:p>
        </w:tc>
        <w:tc>
          <w:tcPr>
            <w:tcW w:w="754" w:type="pct"/>
            <w:vAlign w:val="center"/>
          </w:tcPr>
          <w:p w14:paraId="38BEBE4C">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数量</w:t>
            </w:r>
          </w:p>
        </w:tc>
        <w:tc>
          <w:tcPr>
            <w:tcW w:w="1250" w:type="pct"/>
            <w:vAlign w:val="center"/>
          </w:tcPr>
          <w:p w14:paraId="744C16BF">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行政村名称</w:t>
            </w:r>
          </w:p>
        </w:tc>
        <w:tc>
          <w:tcPr>
            <w:tcW w:w="1250" w:type="pct"/>
            <w:vAlign w:val="center"/>
          </w:tcPr>
          <w:p w14:paraId="791E8335">
            <w:pPr>
              <w:tabs>
                <w:tab w:val="left" w:pos="360"/>
              </w:tabs>
              <w:snapToGrid w:val="0"/>
              <w:spacing w:line="240" w:lineRule="atLeast"/>
              <w:ind w:firstLine="0" w:firstLineChars="0"/>
              <w:jc w:val="center"/>
              <w:textAlignment w:val="baseline"/>
              <w:rPr>
                <w:rFonts w:cs="Times New Roman"/>
                <w:b/>
                <w:kern w:val="21"/>
                <w:sz w:val="21"/>
                <w:szCs w:val="21"/>
              </w:rPr>
            </w:pPr>
            <w:r>
              <w:rPr>
                <w:rFonts w:cs="Times New Roman"/>
                <w:b/>
                <w:kern w:val="21"/>
                <w:sz w:val="21"/>
                <w:szCs w:val="21"/>
              </w:rPr>
              <w:t>备注</w:t>
            </w:r>
          </w:p>
        </w:tc>
      </w:tr>
      <w:tr w14:paraId="6F5F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Align w:val="center"/>
          </w:tcPr>
          <w:p w14:paraId="55818AFE">
            <w:pPr>
              <w:spacing w:line="240" w:lineRule="auto"/>
              <w:ind w:firstLine="0" w:firstLineChars="0"/>
              <w:jc w:val="center"/>
              <w:rPr>
                <w:rFonts w:cs="Times New Roman"/>
                <w:kern w:val="0"/>
                <w:sz w:val="21"/>
                <w:szCs w:val="21"/>
              </w:rPr>
            </w:pPr>
            <w:r>
              <w:rPr>
                <w:rFonts w:cs="Times New Roman"/>
                <w:kern w:val="0"/>
                <w:sz w:val="21"/>
                <w:szCs w:val="21"/>
              </w:rPr>
              <w:t>集聚建设类</w:t>
            </w:r>
          </w:p>
        </w:tc>
        <w:tc>
          <w:tcPr>
            <w:tcW w:w="754" w:type="pct"/>
            <w:vAlign w:val="center"/>
          </w:tcPr>
          <w:p w14:paraId="4C2809E5">
            <w:pPr>
              <w:spacing w:line="240" w:lineRule="auto"/>
              <w:ind w:firstLine="0" w:firstLineChars="0"/>
              <w:jc w:val="center"/>
              <w:rPr>
                <w:rFonts w:cs="Times New Roman"/>
                <w:kern w:val="0"/>
                <w:sz w:val="21"/>
                <w:szCs w:val="21"/>
              </w:rPr>
            </w:pPr>
            <w:r>
              <w:rPr>
                <w:rFonts w:hint="eastAsia" w:cs="Times New Roman"/>
                <w:kern w:val="0"/>
                <w:sz w:val="21"/>
                <w:szCs w:val="21"/>
              </w:rPr>
              <w:t>1</w:t>
            </w:r>
          </w:p>
        </w:tc>
        <w:tc>
          <w:tcPr>
            <w:tcW w:w="1250" w:type="pct"/>
            <w:vAlign w:val="center"/>
          </w:tcPr>
          <w:p w14:paraId="1FABCE58">
            <w:pPr>
              <w:spacing w:line="240" w:lineRule="auto"/>
              <w:ind w:firstLine="0" w:firstLineChars="0"/>
              <w:jc w:val="center"/>
              <w:rPr>
                <w:rFonts w:cs="Times New Roman"/>
                <w:kern w:val="0"/>
                <w:sz w:val="21"/>
                <w:szCs w:val="21"/>
              </w:rPr>
            </w:pPr>
            <w:r>
              <w:rPr>
                <w:rFonts w:hint="eastAsia" w:cs="Times New Roman"/>
                <w:color w:val="000000"/>
                <w:sz w:val="20"/>
                <w:szCs w:val="20"/>
              </w:rPr>
              <w:t>英英沟村</w:t>
            </w:r>
          </w:p>
        </w:tc>
        <w:tc>
          <w:tcPr>
            <w:tcW w:w="1250" w:type="pct"/>
          </w:tcPr>
          <w:p w14:paraId="138585CE">
            <w:pPr>
              <w:widowControl/>
              <w:spacing w:line="240" w:lineRule="auto"/>
              <w:ind w:firstLine="0" w:firstLineChars="0"/>
              <w:jc w:val="center"/>
              <w:rPr>
                <w:rFonts w:eastAsia="黑体" w:cs="Times New Roman"/>
                <w:color w:val="000000"/>
                <w:kern w:val="0"/>
                <w:sz w:val="21"/>
                <w:szCs w:val="21"/>
                <w:lang w:bidi="ar"/>
              </w:rPr>
            </w:pPr>
          </w:p>
        </w:tc>
      </w:tr>
      <w:tr w14:paraId="62BD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Merge w:val="restart"/>
            <w:vAlign w:val="center"/>
          </w:tcPr>
          <w:p w14:paraId="458D56CE">
            <w:pPr>
              <w:spacing w:line="240" w:lineRule="auto"/>
              <w:ind w:firstLine="0" w:firstLineChars="0"/>
              <w:jc w:val="center"/>
              <w:rPr>
                <w:rFonts w:cs="Times New Roman"/>
                <w:kern w:val="0"/>
                <w:sz w:val="21"/>
                <w:szCs w:val="21"/>
              </w:rPr>
            </w:pPr>
            <w:r>
              <w:rPr>
                <w:rFonts w:cs="Times New Roman"/>
                <w:kern w:val="0"/>
                <w:sz w:val="21"/>
                <w:szCs w:val="21"/>
              </w:rPr>
              <w:t>整治提升类</w:t>
            </w:r>
          </w:p>
        </w:tc>
        <w:tc>
          <w:tcPr>
            <w:tcW w:w="754" w:type="pct"/>
            <w:vMerge w:val="restart"/>
            <w:vAlign w:val="center"/>
          </w:tcPr>
          <w:p w14:paraId="74F3C938">
            <w:pPr>
              <w:spacing w:line="240" w:lineRule="auto"/>
              <w:ind w:firstLine="0" w:firstLineChars="0"/>
              <w:jc w:val="center"/>
              <w:rPr>
                <w:rFonts w:cs="Times New Roman"/>
                <w:kern w:val="0"/>
                <w:sz w:val="21"/>
                <w:szCs w:val="21"/>
              </w:rPr>
            </w:pPr>
            <w:r>
              <w:rPr>
                <w:rFonts w:hint="eastAsia" w:cs="Times New Roman"/>
                <w:kern w:val="0"/>
                <w:sz w:val="21"/>
                <w:szCs w:val="21"/>
              </w:rPr>
              <w:t>3</w:t>
            </w:r>
          </w:p>
        </w:tc>
        <w:tc>
          <w:tcPr>
            <w:tcW w:w="1250" w:type="pct"/>
            <w:vAlign w:val="center"/>
          </w:tcPr>
          <w:p w14:paraId="48535E60">
            <w:pPr>
              <w:spacing w:line="240" w:lineRule="auto"/>
              <w:ind w:firstLine="0" w:firstLineChars="0"/>
              <w:jc w:val="center"/>
              <w:rPr>
                <w:rFonts w:cs="Times New Roman"/>
                <w:color w:val="000000"/>
                <w:sz w:val="20"/>
                <w:szCs w:val="20"/>
              </w:rPr>
            </w:pPr>
            <w:r>
              <w:rPr>
                <w:rFonts w:hint="eastAsia" w:cs="Times New Roman"/>
                <w:color w:val="000000"/>
                <w:sz w:val="20"/>
                <w:szCs w:val="20"/>
              </w:rPr>
              <w:t>北甸村</w:t>
            </w:r>
          </w:p>
        </w:tc>
        <w:tc>
          <w:tcPr>
            <w:tcW w:w="1250" w:type="pct"/>
          </w:tcPr>
          <w:p w14:paraId="5378D27D">
            <w:pPr>
              <w:widowControl/>
              <w:spacing w:line="240" w:lineRule="auto"/>
              <w:ind w:firstLine="0" w:firstLineChars="0"/>
              <w:jc w:val="center"/>
              <w:rPr>
                <w:rFonts w:eastAsia="黑体" w:cs="Times New Roman"/>
                <w:color w:val="000000"/>
                <w:kern w:val="0"/>
                <w:sz w:val="21"/>
                <w:szCs w:val="21"/>
                <w:lang w:bidi="ar"/>
              </w:rPr>
            </w:pPr>
          </w:p>
        </w:tc>
      </w:tr>
      <w:tr w14:paraId="62E6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Merge w:val="continue"/>
            <w:vAlign w:val="center"/>
          </w:tcPr>
          <w:p w14:paraId="418FA439">
            <w:pPr>
              <w:spacing w:line="240" w:lineRule="auto"/>
              <w:ind w:firstLine="0" w:firstLineChars="0"/>
              <w:jc w:val="center"/>
              <w:rPr>
                <w:rFonts w:cs="Times New Roman"/>
                <w:kern w:val="0"/>
                <w:sz w:val="21"/>
                <w:szCs w:val="21"/>
              </w:rPr>
            </w:pPr>
          </w:p>
        </w:tc>
        <w:tc>
          <w:tcPr>
            <w:tcW w:w="754" w:type="pct"/>
            <w:vMerge w:val="continue"/>
            <w:vAlign w:val="center"/>
          </w:tcPr>
          <w:p w14:paraId="700EEC37">
            <w:pPr>
              <w:spacing w:line="240" w:lineRule="auto"/>
              <w:ind w:firstLine="0" w:firstLineChars="0"/>
              <w:jc w:val="center"/>
              <w:rPr>
                <w:rFonts w:cs="Times New Roman"/>
                <w:kern w:val="0"/>
                <w:sz w:val="21"/>
                <w:szCs w:val="21"/>
              </w:rPr>
            </w:pPr>
          </w:p>
        </w:tc>
        <w:tc>
          <w:tcPr>
            <w:tcW w:w="1250" w:type="pct"/>
            <w:vAlign w:val="center"/>
          </w:tcPr>
          <w:p w14:paraId="288A8B72">
            <w:pPr>
              <w:spacing w:line="240" w:lineRule="auto"/>
              <w:ind w:firstLine="0" w:firstLineChars="0"/>
              <w:jc w:val="center"/>
              <w:rPr>
                <w:rFonts w:cs="Times New Roman"/>
                <w:color w:val="000000"/>
                <w:sz w:val="20"/>
                <w:szCs w:val="20"/>
              </w:rPr>
            </w:pPr>
            <w:r>
              <w:rPr>
                <w:rFonts w:hint="eastAsia" w:cs="Times New Roman"/>
                <w:color w:val="000000"/>
                <w:sz w:val="20"/>
                <w:szCs w:val="20"/>
              </w:rPr>
              <w:t>大牛沟村</w:t>
            </w:r>
          </w:p>
        </w:tc>
        <w:tc>
          <w:tcPr>
            <w:tcW w:w="1250" w:type="pct"/>
          </w:tcPr>
          <w:p w14:paraId="1EE9049B">
            <w:pPr>
              <w:widowControl/>
              <w:spacing w:line="240" w:lineRule="auto"/>
              <w:ind w:firstLine="0" w:firstLineChars="0"/>
              <w:jc w:val="center"/>
              <w:rPr>
                <w:rFonts w:eastAsia="黑体" w:cs="Times New Roman"/>
                <w:color w:val="000000"/>
                <w:kern w:val="0"/>
                <w:sz w:val="21"/>
                <w:szCs w:val="21"/>
                <w:lang w:bidi="ar"/>
              </w:rPr>
            </w:pPr>
          </w:p>
        </w:tc>
      </w:tr>
      <w:tr w14:paraId="6E1C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Merge w:val="continue"/>
            <w:vAlign w:val="center"/>
          </w:tcPr>
          <w:p w14:paraId="668E448B">
            <w:pPr>
              <w:spacing w:line="240" w:lineRule="auto"/>
              <w:ind w:firstLine="0" w:firstLineChars="0"/>
              <w:jc w:val="center"/>
              <w:rPr>
                <w:rFonts w:cs="Times New Roman"/>
                <w:kern w:val="0"/>
                <w:sz w:val="21"/>
                <w:szCs w:val="21"/>
              </w:rPr>
            </w:pPr>
          </w:p>
        </w:tc>
        <w:tc>
          <w:tcPr>
            <w:tcW w:w="754" w:type="pct"/>
            <w:vMerge w:val="continue"/>
            <w:vAlign w:val="center"/>
          </w:tcPr>
          <w:p w14:paraId="1920BD26">
            <w:pPr>
              <w:spacing w:line="240" w:lineRule="auto"/>
              <w:ind w:firstLine="0" w:firstLineChars="0"/>
              <w:jc w:val="center"/>
              <w:rPr>
                <w:rFonts w:cs="Times New Roman"/>
                <w:kern w:val="0"/>
                <w:sz w:val="21"/>
                <w:szCs w:val="21"/>
              </w:rPr>
            </w:pPr>
          </w:p>
        </w:tc>
        <w:tc>
          <w:tcPr>
            <w:tcW w:w="1250" w:type="pct"/>
            <w:vAlign w:val="center"/>
          </w:tcPr>
          <w:p w14:paraId="128B6F2F">
            <w:pPr>
              <w:spacing w:line="240" w:lineRule="auto"/>
              <w:ind w:firstLine="0" w:firstLineChars="0"/>
              <w:jc w:val="center"/>
              <w:rPr>
                <w:rFonts w:cs="Times New Roman"/>
                <w:color w:val="000000"/>
                <w:sz w:val="20"/>
                <w:szCs w:val="20"/>
              </w:rPr>
            </w:pPr>
            <w:r>
              <w:rPr>
                <w:rFonts w:hint="eastAsia" w:cs="Times New Roman"/>
                <w:color w:val="000000"/>
                <w:sz w:val="20"/>
                <w:szCs w:val="20"/>
              </w:rPr>
              <w:t>湾龙背村</w:t>
            </w:r>
          </w:p>
        </w:tc>
        <w:tc>
          <w:tcPr>
            <w:tcW w:w="1250" w:type="pct"/>
          </w:tcPr>
          <w:p w14:paraId="4B563C20">
            <w:pPr>
              <w:widowControl/>
              <w:spacing w:line="240" w:lineRule="auto"/>
              <w:ind w:firstLine="0" w:firstLineChars="0"/>
              <w:jc w:val="center"/>
              <w:rPr>
                <w:rFonts w:eastAsia="黑体" w:cs="Times New Roman"/>
                <w:color w:val="000000"/>
                <w:kern w:val="0"/>
                <w:sz w:val="21"/>
                <w:szCs w:val="21"/>
                <w:lang w:bidi="ar"/>
              </w:rPr>
            </w:pPr>
          </w:p>
        </w:tc>
      </w:tr>
      <w:tr w14:paraId="2BF6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Align w:val="center"/>
          </w:tcPr>
          <w:p w14:paraId="657D6D24">
            <w:pPr>
              <w:spacing w:line="240" w:lineRule="auto"/>
              <w:ind w:firstLine="420"/>
              <w:jc w:val="center"/>
              <w:rPr>
                <w:rFonts w:cs="Times New Roman"/>
                <w:kern w:val="0"/>
                <w:sz w:val="21"/>
                <w:szCs w:val="21"/>
              </w:rPr>
            </w:pPr>
            <w:r>
              <w:rPr>
                <w:rFonts w:cs="Times New Roman"/>
                <w:kern w:val="0"/>
                <w:sz w:val="21"/>
                <w:szCs w:val="21"/>
              </w:rPr>
              <w:t>特色保护类</w:t>
            </w:r>
          </w:p>
        </w:tc>
        <w:tc>
          <w:tcPr>
            <w:tcW w:w="754" w:type="pct"/>
            <w:vAlign w:val="center"/>
          </w:tcPr>
          <w:p w14:paraId="4AFF12A3">
            <w:pPr>
              <w:spacing w:line="240" w:lineRule="auto"/>
              <w:ind w:firstLine="0" w:firstLineChars="0"/>
              <w:jc w:val="center"/>
              <w:rPr>
                <w:rFonts w:cs="Times New Roman"/>
                <w:kern w:val="0"/>
                <w:sz w:val="21"/>
                <w:szCs w:val="21"/>
              </w:rPr>
            </w:pPr>
            <w:r>
              <w:rPr>
                <w:rFonts w:hint="eastAsia" w:cs="Times New Roman"/>
                <w:kern w:val="0"/>
                <w:sz w:val="21"/>
                <w:szCs w:val="21"/>
              </w:rPr>
              <w:t>1</w:t>
            </w:r>
          </w:p>
        </w:tc>
        <w:tc>
          <w:tcPr>
            <w:tcW w:w="1250" w:type="pct"/>
            <w:vAlign w:val="center"/>
          </w:tcPr>
          <w:p w14:paraId="2AEFABB9">
            <w:pPr>
              <w:spacing w:line="240" w:lineRule="auto"/>
              <w:ind w:firstLine="0" w:firstLineChars="0"/>
              <w:jc w:val="center"/>
              <w:rPr>
                <w:rFonts w:cs="Times New Roman"/>
                <w:kern w:val="0"/>
                <w:sz w:val="21"/>
                <w:szCs w:val="21"/>
              </w:rPr>
            </w:pPr>
            <w:r>
              <w:rPr>
                <w:rFonts w:hint="eastAsia" w:cs="Times New Roman"/>
                <w:kern w:val="0"/>
                <w:sz w:val="21"/>
                <w:szCs w:val="21"/>
              </w:rPr>
              <w:t>长春沟村</w:t>
            </w:r>
          </w:p>
        </w:tc>
        <w:tc>
          <w:tcPr>
            <w:tcW w:w="1250" w:type="pct"/>
          </w:tcPr>
          <w:p w14:paraId="481319BD">
            <w:pPr>
              <w:widowControl/>
              <w:spacing w:line="240" w:lineRule="auto"/>
              <w:ind w:firstLine="0" w:firstLineChars="0"/>
              <w:jc w:val="center"/>
              <w:rPr>
                <w:rFonts w:eastAsia="黑体" w:cs="Times New Roman"/>
                <w:color w:val="000000"/>
                <w:kern w:val="0"/>
                <w:sz w:val="21"/>
                <w:szCs w:val="21"/>
                <w:lang w:bidi="ar"/>
              </w:rPr>
            </w:pPr>
          </w:p>
        </w:tc>
      </w:tr>
      <w:tr w14:paraId="4302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745" w:type="pct"/>
            <w:vAlign w:val="center"/>
          </w:tcPr>
          <w:p w14:paraId="54B8BF4F">
            <w:pPr>
              <w:spacing w:line="240" w:lineRule="auto"/>
              <w:ind w:firstLine="0" w:firstLineChars="0"/>
              <w:jc w:val="center"/>
              <w:rPr>
                <w:rFonts w:cs="Times New Roman"/>
                <w:kern w:val="0"/>
                <w:sz w:val="21"/>
                <w:szCs w:val="21"/>
              </w:rPr>
            </w:pPr>
            <w:r>
              <w:rPr>
                <w:rFonts w:cs="Times New Roman"/>
                <w:kern w:val="0"/>
                <w:sz w:val="21"/>
                <w:szCs w:val="21"/>
              </w:rPr>
              <w:t>城郊融合类</w:t>
            </w:r>
          </w:p>
        </w:tc>
        <w:tc>
          <w:tcPr>
            <w:tcW w:w="754" w:type="pct"/>
            <w:vAlign w:val="center"/>
          </w:tcPr>
          <w:p w14:paraId="400C3747">
            <w:pPr>
              <w:spacing w:line="240" w:lineRule="auto"/>
              <w:ind w:firstLine="0" w:firstLineChars="0"/>
              <w:jc w:val="center"/>
              <w:rPr>
                <w:rFonts w:cs="Times New Roman"/>
                <w:kern w:val="0"/>
                <w:sz w:val="21"/>
                <w:szCs w:val="21"/>
              </w:rPr>
            </w:pPr>
            <w:r>
              <w:rPr>
                <w:rFonts w:hint="eastAsia" w:cs="Times New Roman"/>
                <w:kern w:val="0"/>
                <w:sz w:val="21"/>
                <w:szCs w:val="21"/>
              </w:rPr>
              <w:t>1</w:t>
            </w:r>
          </w:p>
        </w:tc>
        <w:tc>
          <w:tcPr>
            <w:tcW w:w="1250" w:type="pct"/>
            <w:vAlign w:val="center"/>
          </w:tcPr>
          <w:p w14:paraId="760701C0">
            <w:pPr>
              <w:spacing w:line="240" w:lineRule="auto"/>
              <w:ind w:firstLine="0" w:firstLineChars="0"/>
              <w:jc w:val="center"/>
              <w:rPr>
                <w:rFonts w:cs="Times New Roman"/>
                <w:kern w:val="0"/>
                <w:sz w:val="21"/>
                <w:szCs w:val="21"/>
              </w:rPr>
            </w:pPr>
            <w:r>
              <w:rPr>
                <w:rFonts w:hint="eastAsia" w:cs="Times New Roman"/>
                <w:kern w:val="0"/>
                <w:sz w:val="21"/>
                <w:szCs w:val="21"/>
              </w:rPr>
              <w:t>友谊村</w:t>
            </w:r>
          </w:p>
        </w:tc>
        <w:tc>
          <w:tcPr>
            <w:tcW w:w="1250" w:type="pct"/>
          </w:tcPr>
          <w:p w14:paraId="2F707A1A">
            <w:pPr>
              <w:widowControl/>
              <w:spacing w:line="240" w:lineRule="auto"/>
              <w:ind w:firstLine="0" w:firstLineChars="0"/>
              <w:jc w:val="center"/>
              <w:rPr>
                <w:rFonts w:eastAsia="黑体" w:cs="Times New Roman"/>
                <w:color w:val="000000"/>
                <w:kern w:val="0"/>
                <w:sz w:val="21"/>
                <w:szCs w:val="21"/>
                <w:lang w:bidi="ar"/>
              </w:rPr>
            </w:pPr>
          </w:p>
        </w:tc>
      </w:tr>
    </w:tbl>
    <w:p w14:paraId="6BE2EEB9">
      <w:pPr>
        <w:pStyle w:val="4"/>
        <w:numPr>
          <w:ilvl w:val="0"/>
          <w:numId w:val="0"/>
        </w:numPr>
        <w:ind w:left="640" w:leftChars="0"/>
        <w:rPr>
          <w:rFonts w:eastAsia="楷体" w:cs="Times New Roman"/>
        </w:rPr>
      </w:pPr>
      <w:r>
        <w:rPr>
          <w:rFonts w:hint="eastAsia" w:cs="Times New Roman"/>
          <w:lang w:val="en-US" w:eastAsia="zh-CN"/>
        </w:rPr>
        <w:t>6.2.2</w:t>
      </w:r>
      <w:r>
        <w:rPr>
          <w:rFonts w:cs="Times New Roman"/>
        </w:rPr>
        <w:t>村庄分型引导</w:t>
      </w:r>
    </w:p>
    <w:p w14:paraId="6BA24326">
      <w:pPr>
        <w:widowControl/>
        <w:adjustRightInd w:val="0"/>
        <w:snapToGrid w:val="0"/>
        <w:ind w:firstLine="640"/>
        <w:rPr>
          <w:rFonts w:cs="Times New Roman"/>
        </w:rPr>
      </w:pPr>
      <w:r>
        <w:rPr>
          <w:rFonts w:cs="Times New Roman"/>
        </w:rPr>
        <w:t>在尊重村民意愿的基础上，结合村庄建设用地规模、人口规模、产业发展、空心化程度等因素，将各行政村内的居民点分为</w:t>
      </w:r>
      <w:r>
        <w:rPr>
          <w:rFonts w:hint="eastAsia" w:cs="Times New Roman"/>
        </w:rPr>
        <w:t>“</w:t>
      </w:r>
      <w:r>
        <w:rPr>
          <w:rFonts w:cs="Times New Roman"/>
        </w:rPr>
        <w:t>增量型、等量型</w:t>
      </w:r>
      <w:r>
        <w:rPr>
          <w:rFonts w:hint="eastAsia" w:cs="Times New Roman"/>
        </w:rPr>
        <w:t>”</w:t>
      </w:r>
      <w:r>
        <w:rPr>
          <w:rFonts w:hint="eastAsia" w:cs="Times New Roman"/>
          <w:lang w:val="en-US" w:eastAsia="zh-CN"/>
        </w:rPr>
        <w:t>二</w:t>
      </w:r>
      <w:r>
        <w:rPr>
          <w:rFonts w:cs="Times New Roman"/>
        </w:rPr>
        <w:t>种类型，作为村庄规划用地管控及指标投放的依据。</w:t>
      </w:r>
    </w:p>
    <w:p w14:paraId="26DC5350">
      <w:pPr>
        <w:adjustRightInd w:val="0"/>
        <w:snapToGrid w:val="0"/>
        <w:spacing w:line="600" w:lineRule="atLeast"/>
        <w:ind w:firstLine="0" w:firstLineChars="0"/>
        <w:jc w:val="center"/>
        <w:outlineLvl w:val="2"/>
        <w:rPr>
          <w:rFonts w:cs="Times New Roman"/>
          <w:color w:val="000000"/>
          <w:szCs w:val="32"/>
          <w:lang w:bidi="ar"/>
        </w:rPr>
      </w:pPr>
      <w:r>
        <w:rPr>
          <w:rFonts w:eastAsia="黑体" w:cs="Times New Roman"/>
          <w:sz w:val="28"/>
          <w:szCs w:val="21"/>
        </w:rPr>
        <w:t>表6 村庄分型表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697"/>
        <w:gridCol w:w="1919"/>
        <w:gridCol w:w="1636"/>
        <w:gridCol w:w="1637"/>
      </w:tblGrid>
      <w:tr w14:paraId="4CF0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61" w:type="pct"/>
            <w:vAlign w:val="center"/>
          </w:tcPr>
          <w:p w14:paraId="4D7DCC69">
            <w:pPr>
              <w:widowControl/>
              <w:spacing w:line="240" w:lineRule="auto"/>
              <w:ind w:firstLine="0" w:firstLineChars="0"/>
              <w:jc w:val="center"/>
              <w:rPr>
                <w:rFonts w:ascii="仿宋_GB2312" w:hAnsi="Arial" w:cs="Arial"/>
                <w:b/>
                <w:bCs/>
                <w:kern w:val="0"/>
                <w:sz w:val="21"/>
                <w:szCs w:val="21"/>
              </w:rPr>
            </w:pPr>
            <w:r>
              <w:rPr>
                <w:rFonts w:hint="eastAsia" w:ascii="仿宋_GB2312" w:hAnsi="Arial" w:cs="Arial"/>
                <w:b/>
                <w:bCs/>
                <w:kern w:val="0"/>
                <w:sz w:val="21"/>
                <w:szCs w:val="21"/>
              </w:rPr>
              <w:t>序号</w:t>
            </w:r>
          </w:p>
        </w:tc>
        <w:tc>
          <w:tcPr>
            <w:tcW w:w="995" w:type="pct"/>
            <w:vAlign w:val="center"/>
          </w:tcPr>
          <w:p w14:paraId="7F0CF998">
            <w:pPr>
              <w:widowControl/>
              <w:spacing w:line="240" w:lineRule="auto"/>
              <w:ind w:firstLine="0" w:firstLineChars="0"/>
              <w:jc w:val="center"/>
              <w:rPr>
                <w:rFonts w:ascii="仿宋_GB2312" w:hAnsi="Arial" w:cs="Arial"/>
                <w:b/>
                <w:bCs/>
                <w:kern w:val="0"/>
                <w:sz w:val="21"/>
                <w:szCs w:val="21"/>
              </w:rPr>
            </w:pPr>
            <w:r>
              <w:rPr>
                <w:rFonts w:hint="eastAsia" w:ascii="仿宋_GB2312" w:hAnsi="Arial" w:cs="Arial"/>
                <w:b/>
                <w:bCs/>
                <w:kern w:val="0"/>
                <w:sz w:val="21"/>
                <w:szCs w:val="21"/>
              </w:rPr>
              <w:t>村庄名称</w:t>
            </w:r>
          </w:p>
        </w:tc>
        <w:tc>
          <w:tcPr>
            <w:tcW w:w="1125" w:type="pct"/>
            <w:vAlign w:val="center"/>
          </w:tcPr>
          <w:p w14:paraId="5F8E3B31">
            <w:pPr>
              <w:widowControl/>
              <w:spacing w:line="240" w:lineRule="auto"/>
              <w:ind w:firstLine="0" w:firstLineChars="0"/>
              <w:jc w:val="center"/>
              <w:rPr>
                <w:rFonts w:ascii="仿宋_GB2312" w:hAnsi="Arial" w:cs="Arial"/>
                <w:b/>
                <w:bCs/>
                <w:kern w:val="0"/>
                <w:sz w:val="21"/>
                <w:szCs w:val="21"/>
              </w:rPr>
            </w:pPr>
            <w:r>
              <w:rPr>
                <w:rFonts w:hint="eastAsia" w:ascii="仿宋_GB2312" w:hAnsi="Arial" w:cs="Arial"/>
                <w:b/>
                <w:bCs/>
                <w:kern w:val="0"/>
                <w:sz w:val="21"/>
                <w:szCs w:val="21"/>
              </w:rPr>
              <w:t>自然村名称</w:t>
            </w:r>
          </w:p>
        </w:tc>
        <w:tc>
          <w:tcPr>
            <w:tcW w:w="959" w:type="pct"/>
            <w:vAlign w:val="center"/>
          </w:tcPr>
          <w:p w14:paraId="2D21B231">
            <w:pPr>
              <w:widowControl/>
              <w:spacing w:line="240" w:lineRule="auto"/>
              <w:ind w:firstLine="0" w:firstLineChars="0"/>
              <w:jc w:val="center"/>
              <w:rPr>
                <w:rFonts w:ascii="仿宋_GB2312" w:hAnsi="Arial" w:cs="Arial"/>
                <w:b/>
                <w:bCs/>
                <w:kern w:val="0"/>
                <w:sz w:val="21"/>
                <w:szCs w:val="21"/>
              </w:rPr>
            </w:pPr>
            <w:r>
              <w:rPr>
                <w:rFonts w:hint="eastAsia" w:ascii="仿宋_GB2312" w:hAnsi="Arial" w:cs="Arial"/>
                <w:b/>
                <w:bCs/>
                <w:kern w:val="0"/>
                <w:sz w:val="21"/>
                <w:szCs w:val="21"/>
              </w:rPr>
              <w:t>分型</w:t>
            </w:r>
          </w:p>
        </w:tc>
        <w:tc>
          <w:tcPr>
            <w:tcW w:w="959" w:type="pct"/>
            <w:vAlign w:val="center"/>
          </w:tcPr>
          <w:p w14:paraId="6C28DB49">
            <w:pPr>
              <w:widowControl/>
              <w:spacing w:line="240" w:lineRule="auto"/>
              <w:ind w:firstLine="0" w:firstLineChars="0"/>
              <w:jc w:val="center"/>
              <w:rPr>
                <w:rFonts w:ascii="仿宋_GB2312" w:hAnsi="Arial" w:cs="Arial"/>
                <w:b/>
                <w:bCs/>
                <w:kern w:val="0"/>
                <w:sz w:val="21"/>
                <w:szCs w:val="21"/>
              </w:rPr>
            </w:pPr>
            <w:r>
              <w:rPr>
                <w:rFonts w:hint="eastAsia" w:ascii="仿宋_GB2312" w:hAnsi="Arial" w:cs="Arial"/>
                <w:b/>
                <w:bCs/>
                <w:kern w:val="0"/>
                <w:sz w:val="21"/>
                <w:szCs w:val="21"/>
              </w:rPr>
              <w:t>备注</w:t>
            </w:r>
          </w:p>
        </w:tc>
      </w:tr>
      <w:tr w14:paraId="44BF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7649BFC7">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w:t>
            </w:r>
          </w:p>
        </w:tc>
        <w:tc>
          <w:tcPr>
            <w:tcW w:w="995" w:type="pct"/>
            <w:vMerge w:val="restart"/>
            <w:noWrap/>
            <w:vAlign w:val="center"/>
          </w:tcPr>
          <w:p w14:paraId="71874533">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友谊村</w:t>
            </w:r>
          </w:p>
        </w:tc>
        <w:tc>
          <w:tcPr>
            <w:tcW w:w="1125" w:type="pct"/>
            <w:noWrap/>
          </w:tcPr>
          <w:p w14:paraId="6AEC489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张家沟</w:t>
            </w:r>
          </w:p>
        </w:tc>
        <w:tc>
          <w:tcPr>
            <w:tcW w:w="959" w:type="pct"/>
          </w:tcPr>
          <w:p w14:paraId="00F677C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347DD56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1F2C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0C7BAB2C">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w:t>
            </w:r>
          </w:p>
        </w:tc>
        <w:tc>
          <w:tcPr>
            <w:tcW w:w="995" w:type="pct"/>
            <w:vMerge w:val="continue"/>
            <w:vAlign w:val="center"/>
          </w:tcPr>
          <w:p w14:paraId="32CACD41">
            <w:pPr>
              <w:widowControl/>
              <w:spacing w:line="240" w:lineRule="auto"/>
              <w:ind w:firstLine="0" w:firstLineChars="0"/>
              <w:jc w:val="center"/>
              <w:rPr>
                <w:rFonts w:ascii="仿宋_GB2312" w:hAnsi="Arial" w:cs="Arial"/>
                <w:kern w:val="0"/>
                <w:sz w:val="21"/>
                <w:szCs w:val="21"/>
              </w:rPr>
            </w:pPr>
          </w:p>
        </w:tc>
        <w:tc>
          <w:tcPr>
            <w:tcW w:w="1125" w:type="pct"/>
            <w:noWrap/>
          </w:tcPr>
          <w:p w14:paraId="63DE4C7B">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盖家沟</w:t>
            </w:r>
          </w:p>
        </w:tc>
        <w:tc>
          <w:tcPr>
            <w:tcW w:w="959" w:type="pct"/>
          </w:tcPr>
          <w:p w14:paraId="501B9BCE">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6E0885B6">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478D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05849C09">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w:t>
            </w:r>
          </w:p>
        </w:tc>
        <w:tc>
          <w:tcPr>
            <w:tcW w:w="995" w:type="pct"/>
            <w:vMerge w:val="continue"/>
            <w:vAlign w:val="center"/>
          </w:tcPr>
          <w:p w14:paraId="1563F465">
            <w:pPr>
              <w:widowControl/>
              <w:spacing w:line="240" w:lineRule="auto"/>
              <w:ind w:firstLine="0" w:firstLineChars="0"/>
              <w:jc w:val="center"/>
              <w:rPr>
                <w:rFonts w:ascii="仿宋_GB2312" w:hAnsi="Arial" w:cs="Arial"/>
                <w:kern w:val="0"/>
                <w:sz w:val="21"/>
                <w:szCs w:val="21"/>
              </w:rPr>
            </w:pPr>
          </w:p>
        </w:tc>
        <w:tc>
          <w:tcPr>
            <w:tcW w:w="1125" w:type="pct"/>
            <w:noWrap/>
          </w:tcPr>
          <w:p w14:paraId="369CF79C">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史家街</w:t>
            </w:r>
          </w:p>
        </w:tc>
        <w:tc>
          <w:tcPr>
            <w:tcW w:w="959" w:type="pct"/>
          </w:tcPr>
          <w:p w14:paraId="5379AA8B">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5CF11C4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610B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11BBB1F3">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4</w:t>
            </w:r>
          </w:p>
        </w:tc>
        <w:tc>
          <w:tcPr>
            <w:tcW w:w="995" w:type="pct"/>
            <w:vMerge w:val="continue"/>
            <w:vAlign w:val="center"/>
          </w:tcPr>
          <w:p w14:paraId="469F270C">
            <w:pPr>
              <w:widowControl/>
              <w:spacing w:line="240" w:lineRule="auto"/>
              <w:ind w:firstLine="0" w:firstLineChars="0"/>
              <w:jc w:val="center"/>
              <w:rPr>
                <w:rFonts w:ascii="仿宋_GB2312" w:hAnsi="Arial" w:cs="Arial"/>
                <w:kern w:val="0"/>
                <w:sz w:val="21"/>
                <w:szCs w:val="21"/>
              </w:rPr>
            </w:pPr>
          </w:p>
        </w:tc>
        <w:tc>
          <w:tcPr>
            <w:tcW w:w="1125" w:type="pct"/>
            <w:noWrap/>
          </w:tcPr>
          <w:p w14:paraId="5EDE8283">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南沟</w:t>
            </w:r>
          </w:p>
        </w:tc>
        <w:tc>
          <w:tcPr>
            <w:tcW w:w="959" w:type="pct"/>
          </w:tcPr>
          <w:p w14:paraId="0DDE137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36FD002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51F4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9124137">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5</w:t>
            </w:r>
          </w:p>
        </w:tc>
        <w:tc>
          <w:tcPr>
            <w:tcW w:w="995" w:type="pct"/>
            <w:vMerge w:val="continue"/>
            <w:vAlign w:val="center"/>
          </w:tcPr>
          <w:p w14:paraId="013DC10B">
            <w:pPr>
              <w:widowControl/>
              <w:spacing w:line="240" w:lineRule="auto"/>
              <w:ind w:firstLine="0" w:firstLineChars="0"/>
              <w:jc w:val="center"/>
              <w:rPr>
                <w:rFonts w:ascii="仿宋_GB2312" w:hAnsi="Arial" w:cs="Arial"/>
                <w:kern w:val="0"/>
                <w:sz w:val="21"/>
                <w:szCs w:val="21"/>
              </w:rPr>
            </w:pPr>
          </w:p>
        </w:tc>
        <w:tc>
          <w:tcPr>
            <w:tcW w:w="1125" w:type="pct"/>
            <w:noWrap/>
          </w:tcPr>
          <w:p w14:paraId="754BE4D5">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杨家沟</w:t>
            </w:r>
          </w:p>
        </w:tc>
        <w:tc>
          <w:tcPr>
            <w:tcW w:w="959" w:type="pct"/>
          </w:tcPr>
          <w:p w14:paraId="2D9B2DB6">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2BDEE701">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2F43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2E504736">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6</w:t>
            </w:r>
          </w:p>
        </w:tc>
        <w:tc>
          <w:tcPr>
            <w:tcW w:w="995" w:type="pct"/>
            <w:vMerge w:val="continue"/>
            <w:vAlign w:val="center"/>
          </w:tcPr>
          <w:p w14:paraId="736C7625">
            <w:pPr>
              <w:widowControl/>
              <w:spacing w:line="240" w:lineRule="auto"/>
              <w:ind w:firstLine="0" w:firstLineChars="0"/>
              <w:jc w:val="center"/>
              <w:rPr>
                <w:rFonts w:ascii="仿宋_GB2312" w:hAnsi="Arial" w:cs="Arial"/>
                <w:kern w:val="0"/>
                <w:sz w:val="21"/>
                <w:szCs w:val="21"/>
              </w:rPr>
            </w:pPr>
          </w:p>
        </w:tc>
        <w:tc>
          <w:tcPr>
            <w:tcW w:w="1125" w:type="pct"/>
            <w:noWrap/>
          </w:tcPr>
          <w:p w14:paraId="12EA35F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友谊一队</w:t>
            </w:r>
          </w:p>
        </w:tc>
        <w:tc>
          <w:tcPr>
            <w:tcW w:w="959" w:type="pct"/>
          </w:tcPr>
          <w:p w14:paraId="38062131">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noWrap/>
          </w:tcPr>
          <w:p w14:paraId="64164A01">
            <w:pPr>
              <w:widowControl/>
              <w:spacing w:line="240" w:lineRule="auto"/>
              <w:ind w:firstLine="0" w:firstLineChars="0"/>
              <w:jc w:val="center"/>
              <w:rPr>
                <w:rFonts w:ascii="仿宋_GB2312" w:hAnsi="Arial" w:cs="Arial"/>
                <w:kern w:val="0"/>
                <w:sz w:val="21"/>
                <w:szCs w:val="21"/>
              </w:rPr>
            </w:pPr>
          </w:p>
        </w:tc>
      </w:tr>
      <w:tr w14:paraId="7E54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3C8F979E">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7</w:t>
            </w:r>
          </w:p>
        </w:tc>
        <w:tc>
          <w:tcPr>
            <w:tcW w:w="995" w:type="pct"/>
            <w:vMerge w:val="continue"/>
            <w:vAlign w:val="center"/>
          </w:tcPr>
          <w:p w14:paraId="75B2F617">
            <w:pPr>
              <w:widowControl/>
              <w:spacing w:line="240" w:lineRule="auto"/>
              <w:ind w:firstLine="0" w:firstLineChars="0"/>
              <w:jc w:val="center"/>
              <w:rPr>
                <w:rFonts w:ascii="仿宋_GB2312" w:hAnsi="Arial" w:cs="Arial"/>
                <w:kern w:val="0"/>
                <w:sz w:val="21"/>
                <w:szCs w:val="21"/>
              </w:rPr>
            </w:pPr>
          </w:p>
        </w:tc>
        <w:tc>
          <w:tcPr>
            <w:tcW w:w="1125" w:type="pct"/>
            <w:noWrap/>
          </w:tcPr>
          <w:p w14:paraId="0CB78BF1">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友谊村</w:t>
            </w:r>
          </w:p>
        </w:tc>
        <w:tc>
          <w:tcPr>
            <w:tcW w:w="959" w:type="pct"/>
          </w:tcPr>
          <w:p w14:paraId="4396E861">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noWrap/>
          </w:tcPr>
          <w:p w14:paraId="3D1E8505">
            <w:pPr>
              <w:widowControl/>
              <w:spacing w:line="240" w:lineRule="auto"/>
              <w:ind w:firstLine="0" w:firstLineChars="0"/>
              <w:jc w:val="center"/>
              <w:rPr>
                <w:rFonts w:ascii="仿宋_GB2312" w:hAnsi="Arial" w:cs="Arial"/>
                <w:kern w:val="0"/>
                <w:sz w:val="21"/>
                <w:szCs w:val="21"/>
              </w:rPr>
            </w:pPr>
          </w:p>
        </w:tc>
      </w:tr>
      <w:tr w14:paraId="3458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4A7F7FF3">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8</w:t>
            </w:r>
          </w:p>
        </w:tc>
        <w:tc>
          <w:tcPr>
            <w:tcW w:w="995" w:type="pct"/>
            <w:vMerge w:val="continue"/>
            <w:vAlign w:val="center"/>
          </w:tcPr>
          <w:p w14:paraId="7CFFBAA3">
            <w:pPr>
              <w:widowControl/>
              <w:spacing w:line="240" w:lineRule="auto"/>
              <w:ind w:firstLine="0" w:firstLineChars="0"/>
              <w:jc w:val="center"/>
              <w:rPr>
                <w:rFonts w:ascii="仿宋_GB2312" w:hAnsi="Arial" w:cs="Arial"/>
                <w:kern w:val="0"/>
                <w:sz w:val="21"/>
                <w:szCs w:val="21"/>
              </w:rPr>
            </w:pPr>
          </w:p>
        </w:tc>
        <w:tc>
          <w:tcPr>
            <w:tcW w:w="1125" w:type="pct"/>
            <w:noWrap/>
          </w:tcPr>
          <w:p w14:paraId="35EC34A6">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小窑岭</w:t>
            </w:r>
          </w:p>
        </w:tc>
        <w:tc>
          <w:tcPr>
            <w:tcW w:w="959" w:type="pct"/>
          </w:tcPr>
          <w:p w14:paraId="0EF91BD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noWrap/>
          </w:tcPr>
          <w:p w14:paraId="53734752">
            <w:pPr>
              <w:widowControl/>
              <w:spacing w:line="240" w:lineRule="auto"/>
              <w:ind w:firstLine="0" w:firstLineChars="0"/>
              <w:jc w:val="center"/>
              <w:rPr>
                <w:rFonts w:ascii="仿宋_GB2312" w:hAnsi="Arial" w:cs="Arial"/>
                <w:kern w:val="0"/>
                <w:sz w:val="21"/>
                <w:szCs w:val="21"/>
              </w:rPr>
            </w:pPr>
          </w:p>
        </w:tc>
      </w:tr>
      <w:tr w14:paraId="2018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06BA171B">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9</w:t>
            </w:r>
          </w:p>
        </w:tc>
        <w:tc>
          <w:tcPr>
            <w:tcW w:w="995" w:type="pct"/>
            <w:vMerge w:val="restart"/>
            <w:noWrap/>
            <w:vAlign w:val="center"/>
          </w:tcPr>
          <w:p w14:paraId="10586C43">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英英沟村</w:t>
            </w:r>
          </w:p>
        </w:tc>
        <w:tc>
          <w:tcPr>
            <w:tcW w:w="1125" w:type="pct"/>
            <w:noWrap/>
          </w:tcPr>
          <w:p w14:paraId="68FA3026">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英英沟村</w:t>
            </w:r>
          </w:p>
        </w:tc>
        <w:tc>
          <w:tcPr>
            <w:tcW w:w="959" w:type="pct"/>
          </w:tcPr>
          <w:p w14:paraId="3A104F2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359F026E">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6CF8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76DFFF05">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10</w:t>
            </w:r>
          </w:p>
        </w:tc>
        <w:tc>
          <w:tcPr>
            <w:tcW w:w="995" w:type="pct"/>
            <w:vMerge w:val="continue"/>
            <w:vAlign w:val="center"/>
          </w:tcPr>
          <w:p w14:paraId="038EA0CA">
            <w:pPr>
              <w:widowControl/>
              <w:spacing w:line="240" w:lineRule="auto"/>
              <w:ind w:firstLine="0" w:firstLineChars="0"/>
              <w:jc w:val="center"/>
              <w:rPr>
                <w:rFonts w:ascii="仿宋_GB2312" w:hAnsi="Arial" w:cs="Arial"/>
                <w:kern w:val="0"/>
                <w:sz w:val="21"/>
                <w:szCs w:val="21"/>
              </w:rPr>
            </w:pPr>
          </w:p>
        </w:tc>
        <w:tc>
          <w:tcPr>
            <w:tcW w:w="1125" w:type="pct"/>
            <w:noWrap/>
          </w:tcPr>
          <w:p w14:paraId="056C977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王沟子</w:t>
            </w:r>
          </w:p>
        </w:tc>
        <w:tc>
          <w:tcPr>
            <w:tcW w:w="959" w:type="pct"/>
          </w:tcPr>
          <w:p w14:paraId="2174EDF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5135B4A2">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7E14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0C5F2E51">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11</w:t>
            </w:r>
          </w:p>
        </w:tc>
        <w:tc>
          <w:tcPr>
            <w:tcW w:w="995" w:type="pct"/>
            <w:vMerge w:val="continue"/>
            <w:vAlign w:val="center"/>
          </w:tcPr>
          <w:p w14:paraId="099972D1">
            <w:pPr>
              <w:widowControl/>
              <w:spacing w:line="240" w:lineRule="auto"/>
              <w:ind w:firstLine="0" w:firstLineChars="0"/>
              <w:jc w:val="center"/>
              <w:rPr>
                <w:rFonts w:ascii="仿宋_GB2312" w:hAnsi="Arial" w:cs="Arial"/>
                <w:kern w:val="0"/>
                <w:sz w:val="21"/>
                <w:szCs w:val="21"/>
              </w:rPr>
            </w:pPr>
          </w:p>
        </w:tc>
        <w:tc>
          <w:tcPr>
            <w:tcW w:w="1125" w:type="pct"/>
            <w:noWrap/>
          </w:tcPr>
          <w:p w14:paraId="3FCFF64A">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邢家街</w:t>
            </w:r>
          </w:p>
        </w:tc>
        <w:tc>
          <w:tcPr>
            <w:tcW w:w="959" w:type="pct"/>
          </w:tcPr>
          <w:p w14:paraId="6E639A4B">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noWrap/>
          </w:tcPr>
          <w:p w14:paraId="7BDFC1AC">
            <w:pPr>
              <w:widowControl/>
              <w:spacing w:line="240" w:lineRule="auto"/>
              <w:ind w:firstLine="0" w:firstLineChars="0"/>
              <w:jc w:val="center"/>
              <w:rPr>
                <w:rFonts w:ascii="仿宋_GB2312" w:hAnsi="Arial" w:cs="Arial"/>
                <w:kern w:val="0"/>
                <w:sz w:val="21"/>
                <w:szCs w:val="21"/>
              </w:rPr>
            </w:pPr>
          </w:p>
        </w:tc>
      </w:tr>
      <w:tr w14:paraId="3DF6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A30A44B">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12</w:t>
            </w:r>
          </w:p>
        </w:tc>
        <w:tc>
          <w:tcPr>
            <w:tcW w:w="995" w:type="pct"/>
            <w:vMerge w:val="continue"/>
            <w:vAlign w:val="center"/>
          </w:tcPr>
          <w:p w14:paraId="60851ADC">
            <w:pPr>
              <w:widowControl/>
              <w:spacing w:line="240" w:lineRule="auto"/>
              <w:ind w:firstLine="0" w:firstLineChars="0"/>
              <w:jc w:val="center"/>
              <w:rPr>
                <w:rFonts w:ascii="仿宋_GB2312" w:hAnsi="Arial" w:cs="Arial"/>
                <w:kern w:val="0"/>
                <w:sz w:val="21"/>
                <w:szCs w:val="21"/>
              </w:rPr>
            </w:pPr>
          </w:p>
        </w:tc>
        <w:tc>
          <w:tcPr>
            <w:tcW w:w="1125" w:type="pct"/>
            <w:noWrap/>
          </w:tcPr>
          <w:p w14:paraId="006E108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洋火沟</w:t>
            </w:r>
          </w:p>
        </w:tc>
        <w:tc>
          <w:tcPr>
            <w:tcW w:w="959" w:type="pct"/>
          </w:tcPr>
          <w:p w14:paraId="3A1BF5E2">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noWrap/>
          </w:tcPr>
          <w:p w14:paraId="1F1F1D61">
            <w:pPr>
              <w:widowControl/>
              <w:spacing w:line="240" w:lineRule="auto"/>
              <w:ind w:firstLine="0" w:firstLineChars="0"/>
              <w:jc w:val="center"/>
              <w:rPr>
                <w:rFonts w:ascii="仿宋_GB2312" w:hAnsi="Arial" w:cs="Arial"/>
                <w:kern w:val="0"/>
                <w:sz w:val="21"/>
                <w:szCs w:val="21"/>
              </w:rPr>
            </w:pPr>
          </w:p>
        </w:tc>
      </w:tr>
      <w:tr w14:paraId="1238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2B52B784">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13</w:t>
            </w:r>
          </w:p>
        </w:tc>
        <w:tc>
          <w:tcPr>
            <w:tcW w:w="995" w:type="pct"/>
            <w:vMerge w:val="continue"/>
            <w:vAlign w:val="center"/>
          </w:tcPr>
          <w:p w14:paraId="69A9F5DC">
            <w:pPr>
              <w:widowControl/>
              <w:spacing w:line="240" w:lineRule="auto"/>
              <w:ind w:firstLine="0" w:firstLineChars="0"/>
              <w:jc w:val="center"/>
              <w:rPr>
                <w:rFonts w:ascii="仿宋_GB2312" w:hAnsi="Arial" w:cs="Arial"/>
                <w:kern w:val="0"/>
                <w:sz w:val="21"/>
                <w:szCs w:val="21"/>
              </w:rPr>
            </w:pPr>
          </w:p>
        </w:tc>
        <w:tc>
          <w:tcPr>
            <w:tcW w:w="1125" w:type="pct"/>
            <w:noWrap/>
          </w:tcPr>
          <w:p w14:paraId="454D3AEA">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关家屯</w:t>
            </w:r>
          </w:p>
        </w:tc>
        <w:tc>
          <w:tcPr>
            <w:tcW w:w="959" w:type="pct"/>
          </w:tcPr>
          <w:p w14:paraId="1C53ED6A">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noWrap/>
          </w:tcPr>
          <w:p w14:paraId="54DF4D74">
            <w:pPr>
              <w:widowControl/>
              <w:spacing w:line="240" w:lineRule="auto"/>
              <w:ind w:firstLine="0" w:firstLineChars="0"/>
              <w:jc w:val="center"/>
              <w:rPr>
                <w:rFonts w:ascii="仿宋_GB2312" w:hAnsi="Arial" w:cs="Arial"/>
                <w:kern w:val="0"/>
                <w:sz w:val="21"/>
                <w:szCs w:val="21"/>
              </w:rPr>
            </w:pPr>
          </w:p>
        </w:tc>
      </w:tr>
      <w:tr w14:paraId="0984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7629F5F3">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14</w:t>
            </w:r>
          </w:p>
        </w:tc>
        <w:tc>
          <w:tcPr>
            <w:tcW w:w="995" w:type="pct"/>
            <w:vMerge w:val="restart"/>
            <w:noWrap/>
            <w:vAlign w:val="center"/>
          </w:tcPr>
          <w:p w14:paraId="52D40E5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长春沟村</w:t>
            </w:r>
          </w:p>
        </w:tc>
        <w:tc>
          <w:tcPr>
            <w:tcW w:w="1125" w:type="pct"/>
            <w:noWrap/>
          </w:tcPr>
          <w:p w14:paraId="4CE2FD37">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长春沟村</w:t>
            </w:r>
          </w:p>
        </w:tc>
        <w:tc>
          <w:tcPr>
            <w:tcW w:w="959" w:type="pct"/>
          </w:tcPr>
          <w:p w14:paraId="1EB3944E">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6451EDFC">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10C4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3FBA5C00">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15</w:t>
            </w:r>
          </w:p>
        </w:tc>
        <w:tc>
          <w:tcPr>
            <w:tcW w:w="995" w:type="pct"/>
            <w:vMerge w:val="continue"/>
            <w:vAlign w:val="center"/>
          </w:tcPr>
          <w:p w14:paraId="2715394B">
            <w:pPr>
              <w:widowControl/>
              <w:spacing w:line="240" w:lineRule="auto"/>
              <w:ind w:firstLine="0" w:firstLineChars="0"/>
              <w:jc w:val="center"/>
              <w:rPr>
                <w:rFonts w:ascii="仿宋_GB2312" w:hAnsi="Arial" w:cs="Arial"/>
                <w:kern w:val="0"/>
                <w:sz w:val="21"/>
                <w:szCs w:val="21"/>
              </w:rPr>
            </w:pPr>
          </w:p>
        </w:tc>
        <w:tc>
          <w:tcPr>
            <w:tcW w:w="1125" w:type="pct"/>
            <w:noWrap/>
          </w:tcPr>
          <w:p w14:paraId="7307829B">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赵家街</w:t>
            </w:r>
          </w:p>
        </w:tc>
        <w:tc>
          <w:tcPr>
            <w:tcW w:w="959" w:type="pct"/>
          </w:tcPr>
          <w:p w14:paraId="689C704F">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0035FA23">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0918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133BF7D1">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16</w:t>
            </w:r>
          </w:p>
        </w:tc>
        <w:tc>
          <w:tcPr>
            <w:tcW w:w="995" w:type="pct"/>
            <w:vMerge w:val="continue"/>
            <w:vAlign w:val="center"/>
          </w:tcPr>
          <w:p w14:paraId="26D7B6D6">
            <w:pPr>
              <w:widowControl/>
              <w:spacing w:line="240" w:lineRule="auto"/>
              <w:ind w:firstLine="0" w:firstLineChars="0"/>
              <w:jc w:val="center"/>
              <w:rPr>
                <w:rFonts w:ascii="仿宋_GB2312" w:hAnsi="Arial" w:cs="Arial"/>
                <w:kern w:val="0"/>
                <w:sz w:val="21"/>
                <w:szCs w:val="21"/>
              </w:rPr>
            </w:pPr>
          </w:p>
        </w:tc>
        <w:tc>
          <w:tcPr>
            <w:tcW w:w="1125" w:type="pct"/>
            <w:noWrap/>
          </w:tcPr>
          <w:p w14:paraId="0F3982A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周家街</w:t>
            </w:r>
          </w:p>
        </w:tc>
        <w:tc>
          <w:tcPr>
            <w:tcW w:w="959" w:type="pct"/>
          </w:tcPr>
          <w:p w14:paraId="2D9ACD3E">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1D76A381">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727A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1FD23619">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17</w:t>
            </w:r>
          </w:p>
        </w:tc>
        <w:tc>
          <w:tcPr>
            <w:tcW w:w="995" w:type="pct"/>
            <w:vMerge w:val="continue"/>
            <w:vAlign w:val="center"/>
          </w:tcPr>
          <w:p w14:paraId="337E7F2D">
            <w:pPr>
              <w:widowControl/>
              <w:spacing w:line="240" w:lineRule="auto"/>
              <w:ind w:firstLine="0" w:firstLineChars="0"/>
              <w:jc w:val="center"/>
              <w:rPr>
                <w:rFonts w:ascii="仿宋_GB2312" w:hAnsi="Arial" w:cs="Arial"/>
                <w:kern w:val="0"/>
                <w:sz w:val="21"/>
                <w:szCs w:val="21"/>
              </w:rPr>
            </w:pPr>
          </w:p>
        </w:tc>
        <w:tc>
          <w:tcPr>
            <w:tcW w:w="1125" w:type="pct"/>
            <w:noWrap/>
          </w:tcPr>
          <w:p w14:paraId="5610253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莺歌通</w:t>
            </w:r>
          </w:p>
        </w:tc>
        <w:tc>
          <w:tcPr>
            <w:tcW w:w="959" w:type="pct"/>
          </w:tcPr>
          <w:p w14:paraId="4931FA26">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4A07FFC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17C1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1C0B96D0">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18</w:t>
            </w:r>
          </w:p>
        </w:tc>
        <w:tc>
          <w:tcPr>
            <w:tcW w:w="995" w:type="pct"/>
            <w:vMerge w:val="restart"/>
            <w:noWrap/>
            <w:vAlign w:val="center"/>
          </w:tcPr>
          <w:p w14:paraId="03CF286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北甸村</w:t>
            </w:r>
          </w:p>
        </w:tc>
        <w:tc>
          <w:tcPr>
            <w:tcW w:w="1125" w:type="pct"/>
            <w:noWrap/>
          </w:tcPr>
          <w:p w14:paraId="4ECD265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高丽街</w:t>
            </w:r>
          </w:p>
        </w:tc>
        <w:tc>
          <w:tcPr>
            <w:tcW w:w="959" w:type="pct"/>
          </w:tcPr>
          <w:p w14:paraId="28D463E6">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470B7237">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1B96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2B905A3F">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19</w:t>
            </w:r>
          </w:p>
        </w:tc>
        <w:tc>
          <w:tcPr>
            <w:tcW w:w="995" w:type="pct"/>
            <w:vMerge w:val="continue"/>
            <w:vAlign w:val="center"/>
          </w:tcPr>
          <w:p w14:paraId="300BDBAE">
            <w:pPr>
              <w:widowControl/>
              <w:spacing w:line="240" w:lineRule="auto"/>
              <w:ind w:firstLine="0" w:firstLineChars="0"/>
              <w:jc w:val="center"/>
              <w:rPr>
                <w:rFonts w:ascii="仿宋_GB2312" w:hAnsi="Arial" w:cs="Arial"/>
                <w:kern w:val="0"/>
                <w:sz w:val="21"/>
                <w:szCs w:val="21"/>
              </w:rPr>
            </w:pPr>
          </w:p>
        </w:tc>
        <w:tc>
          <w:tcPr>
            <w:tcW w:w="1125" w:type="pct"/>
            <w:noWrap/>
          </w:tcPr>
          <w:p w14:paraId="4322169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北甸子村</w:t>
            </w:r>
          </w:p>
        </w:tc>
        <w:tc>
          <w:tcPr>
            <w:tcW w:w="959" w:type="pct"/>
          </w:tcPr>
          <w:p w14:paraId="09A06D6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7A2857B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1C9B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82F2E62">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20</w:t>
            </w:r>
          </w:p>
        </w:tc>
        <w:tc>
          <w:tcPr>
            <w:tcW w:w="995" w:type="pct"/>
            <w:vMerge w:val="continue"/>
            <w:vAlign w:val="center"/>
          </w:tcPr>
          <w:p w14:paraId="246C6447">
            <w:pPr>
              <w:widowControl/>
              <w:spacing w:line="240" w:lineRule="auto"/>
              <w:ind w:firstLine="0" w:firstLineChars="0"/>
              <w:jc w:val="center"/>
              <w:rPr>
                <w:rFonts w:ascii="仿宋_GB2312" w:hAnsi="Arial" w:cs="Arial"/>
                <w:kern w:val="0"/>
                <w:sz w:val="21"/>
                <w:szCs w:val="21"/>
              </w:rPr>
            </w:pPr>
          </w:p>
        </w:tc>
        <w:tc>
          <w:tcPr>
            <w:tcW w:w="1125" w:type="pct"/>
            <w:noWrap/>
          </w:tcPr>
          <w:p w14:paraId="1257388C">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黄老崴沟</w:t>
            </w:r>
          </w:p>
        </w:tc>
        <w:tc>
          <w:tcPr>
            <w:tcW w:w="959" w:type="pct"/>
          </w:tcPr>
          <w:p w14:paraId="302DCED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2DF7F74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05AA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E54EB38">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21</w:t>
            </w:r>
          </w:p>
        </w:tc>
        <w:tc>
          <w:tcPr>
            <w:tcW w:w="995" w:type="pct"/>
            <w:vMerge w:val="continue"/>
            <w:vAlign w:val="center"/>
          </w:tcPr>
          <w:p w14:paraId="1493DB8F">
            <w:pPr>
              <w:widowControl/>
              <w:spacing w:line="240" w:lineRule="auto"/>
              <w:ind w:firstLine="0" w:firstLineChars="0"/>
              <w:jc w:val="center"/>
              <w:rPr>
                <w:rFonts w:ascii="仿宋_GB2312" w:hAnsi="Arial" w:cs="Arial"/>
                <w:kern w:val="0"/>
                <w:sz w:val="21"/>
                <w:szCs w:val="21"/>
              </w:rPr>
            </w:pPr>
          </w:p>
        </w:tc>
        <w:tc>
          <w:tcPr>
            <w:tcW w:w="1125" w:type="pct"/>
            <w:noWrap/>
          </w:tcPr>
          <w:p w14:paraId="194E15C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北甸子</w:t>
            </w:r>
          </w:p>
        </w:tc>
        <w:tc>
          <w:tcPr>
            <w:tcW w:w="959" w:type="pct"/>
          </w:tcPr>
          <w:p w14:paraId="16AE3B7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7DD635BC">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5BB5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47C01B8">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22</w:t>
            </w:r>
          </w:p>
        </w:tc>
        <w:tc>
          <w:tcPr>
            <w:tcW w:w="995" w:type="pct"/>
            <w:vMerge w:val="continue"/>
            <w:vAlign w:val="center"/>
          </w:tcPr>
          <w:p w14:paraId="6B9611B7">
            <w:pPr>
              <w:widowControl/>
              <w:spacing w:line="240" w:lineRule="auto"/>
              <w:ind w:firstLine="0" w:firstLineChars="0"/>
              <w:jc w:val="center"/>
              <w:rPr>
                <w:rFonts w:ascii="仿宋_GB2312" w:hAnsi="Arial" w:cs="Arial"/>
                <w:kern w:val="0"/>
                <w:sz w:val="21"/>
                <w:szCs w:val="21"/>
              </w:rPr>
            </w:pPr>
          </w:p>
        </w:tc>
        <w:tc>
          <w:tcPr>
            <w:tcW w:w="1125" w:type="pct"/>
            <w:noWrap/>
          </w:tcPr>
          <w:p w14:paraId="1212B3B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大劈虎沟</w:t>
            </w:r>
          </w:p>
        </w:tc>
        <w:tc>
          <w:tcPr>
            <w:tcW w:w="959" w:type="pct"/>
          </w:tcPr>
          <w:p w14:paraId="55DE066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20CDC9C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3881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23415611">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23</w:t>
            </w:r>
          </w:p>
        </w:tc>
        <w:tc>
          <w:tcPr>
            <w:tcW w:w="995" w:type="pct"/>
            <w:vMerge w:val="continue"/>
            <w:vAlign w:val="center"/>
          </w:tcPr>
          <w:p w14:paraId="5A0EC7FC">
            <w:pPr>
              <w:widowControl/>
              <w:spacing w:line="240" w:lineRule="auto"/>
              <w:ind w:firstLine="0" w:firstLineChars="0"/>
              <w:jc w:val="center"/>
              <w:rPr>
                <w:rFonts w:ascii="仿宋_GB2312" w:hAnsi="Arial" w:cs="Arial"/>
                <w:kern w:val="0"/>
                <w:sz w:val="21"/>
                <w:szCs w:val="21"/>
              </w:rPr>
            </w:pPr>
          </w:p>
        </w:tc>
        <w:tc>
          <w:tcPr>
            <w:tcW w:w="1125" w:type="pct"/>
            <w:noWrap/>
          </w:tcPr>
          <w:p w14:paraId="7E48DD2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姜家街</w:t>
            </w:r>
          </w:p>
        </w:tc>
        <w:tc>
          <w:tcPr>
            <w:tcW w:w="959" w:type="pct"/>
          </w:tcPr>
          <w:p w14:paraId="0BD2C91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08B9826F">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54BB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36984BAC">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24</w:t>
            </w:r>
          </w:p>
        </w:tc>
        <w:tc>
          <w:tcPr>
            <w:tcW w:w="995" w:type="pct"/>
            <w:vMerge w:val="continue"/>
            <w:vAlign w:val="center"/>
          </w:tcPr>
          <w:p w14:paraId="0FC0A051">
            <w:pPr>
              <w:widowControl/>
              <w:spacing w:line="240" w:lineRule="auto"/>
              <w:ind w:firstLine="0" w:firstLineChars="0"/>
              <w:jc w:val="center"/>
              <w:rPr>
                <w:rFonts w:ascii="仿宋_GB2312" w:hAnsi="Arial" w:cs="Arial"/>
                <w:kern w:val="0"/>
                <w:sz w:val="21"/>
                <w:szCs w:val="21"/>
              </w:rPr>
            </w:pPr>
          </w:p>
        </w:tc>
        <w:tc>
          <w:tcPr>
            <w:tcW w:w="1125" w:type="pct"/>
            <w:noWrap/>
          </w:tcPr>
          <w:p w14:paraId="1B4260FC">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盛家大院</w:t>
            </w:r>
          </w:p>
        </w:tc>
        <w:tc>
          <w:tcPr>
            <w:tcW w:w="959" w:type="pct"/>
          </w:tcPr>
          <w:p w14:paraId="0AD97A0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noWrap/>
          </w:tcPr>
          <w:p w14:paraId="5F22B08B">
            <w:pPr>
              <w:widowControl/>
              <w:spacing w:line="240" w:lineRule="auto"/>
              <w:ind w:firstLine="0" w:firstLineChars="0"/>
              <w:jc w:val="center"/>
              <w:rPr>
                <w:rFonts w:ascii="仿宋_GB2312" w:hAnsi="Arial" w:cs="Arial"/>
                <w:kern w:val="0"/>
                <w:sz w:val="21"/>
                <w:szCs w:val="21"/>
              </w:rPr>
            </w:pPr>
          </w:p>
        </w:tc>
      </w:tr>
      <w:tr w14:paraId="544E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072312C5">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25</w:t>
            </w:r>
          </w:p>
        </w:tc>
        <w:tc>
          <w:tcPr>
            <w:tcW w:w="995" w:type="pct"/>
            <w:vMerge w:val="continue"/>
            <w:vAlign w:val="center"/>
          </w:tcPr>
          <w:p w14:paraId="6E6F112D">
            <w:pPr>
              <w:widowControl/>
              <w:spacing w:line="240" w:lineRule="auto"/>
              <w:ind w:firstLine="0" w:firstLineChars="0"/>
              <w:jc w:val="center"/>
              <w:rPr>
                <w:rFonts w:ascii="仿宋_GB2312" w:hAnsi="Arial" w:cs="Arial"/>
                <w:kern w:val="0"/>
                <w:sz w:val="21"/>
                <w:szCs w:val="21"/>
              </w:rPr>
            </w:pPr>
          </w:p>
        </w:tc>
        <w:tc>
          <w:tcPr>
            <w:tcW w:w="1125" w:type="pct"/>
            <w:noWrap/>
          </w:tcPr>
          <w:p w14:paraId="196C210B">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老黑背村</w:t>
            </w:r>
          </w:p>
        </w:tc>
        <w:tc>
          <w:tcPr>
            <w:tcW w:w="959" w:type="pct"/>
          </w:tcPr>
          <w:p w14:paraId="5F405801">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noWrap/>
          </w:tcPr>
          <w:p w14:paraId="7A202A5B">
            <w:pPr>
              <w:widowControl/>
              <w:spacing w:line="240" w:lineRule="auto"/>
              <w:ind w:firstLine="0" w:firstLineChars="0"/>
              <w:jc w:val="center"/>
              <w:rPr>
                <w:rFonts w:ascii="仿宋_GB2312" w:hAnsi="Arial" w:cs="Arial"/>
                <w:kern w:val="0"/>
                <w:sz w:val="21"/>
                <w:szCs w:val="21"/>
              </w:rPr>
            </w:pPr>
          </w:p>
        </w:tc>
      </w:tr>
      <w:tr w14:paraId="40D7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9B177E3">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26</w:t>
            </w:r>
          </w:p>
        </w:tc>
        <w:tc>
          <w:tcPr>
            <w:tcW w:w="995" w:type="pct"/>
            <w:vMerge w:val="restart"/>
            <w:noWrap/>
            <w:vAlign w:val="center"/>
          </w:tcPr>
          <w:p w14:paraId="04237761">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大牛沟村</w:t>
            </w:r>
          </w:p>
        </w:tc>
        <w:tc>
          <w:tcPr>
            <w:tcW w:w="1125" w:type="pct"/>
            <w:noWrap/>
          </w:tcPr>
          <w:p w14:paraId="1489786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大牛沟四队</w:t>
            </w:r>
          </w:p>
        </w:tc>
        <w:tc>
          <w:tcPr>
            <w:tcW w:w="959" w:type="pct"/>
          </w:tcPr>
          <w:p w14:paraId="4288A1FB">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007ED3C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7A46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4E514AA2">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27</w:t>
            </w:r>
          </w:p>
        </w:tc>
        <w:tc>
          <w:tcPr>
            <w:tcW w:w="995" w:type="pct"/>
            <w:vMerge w:val="continue"/>
            <w:vAlign w:val="center"/>
          </w:tcPr>
          <w:p w14:paraId="5C6FA36A">
            <w:pPr>
              <w:widowControl/>
              <w:spacing w:line="240" w:lineRule="auto"/>
              <w:ind w:firstLine="0" w:firstLineChars="0"/>
              <w:jc w:val="center"/>
              <w:rPr>
                <w:rFonts w:ascii="仿宋_GB2312" w:hAnsi="Arial" w:cs="Arial"/>
                <w:kern w:val="0"/>
                <w:sz w:val="21"/>
                <w:szCs w:val="21"/>
              </w:rPr>
            </w:pPr>
          </w:p>
        </w:tc>
        <w:tc>
          <w:tcPr>
            <w:tcW w:w="1125" w:type="pct"/>
            <w:noWrap/>
          </w:tcPr>
          <w:p w14:paraId="4626F895">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大牛沟村</w:t>
            </w:r>
          </w:p>
        </w:tc>
        <w:tc>
          <w:tcPr>
            <w:tcW w:w="959" w:type="pct"/>
          </w:tcPr>
          <w:p w14:paraId="4AF251BE">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2C86FD3C">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430F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1B473944">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28</w:t>
            </w:r>
          </w:p>
        </w:tc>
        <w:tc>
          <w:tcPr>
            <w:tcW w:w="995" w:type="pct"/>
            <w:vMerge w:val="continue"/>
            <w:vAlign w:val="center"/>
          </w:tcPr>
          <w:p w14:paraId="1BA9FC91">
            <w:pPr>
              <w:widowControl/>
              <w:spacing w:line="240" w:lineRule="auto"/>
              <w:ind w:firstLine="0" w:firstLineChars="0"/>
              <w:jc w:val="center"/>
              <w:rPr>
                <w:rFonts w:ascii="仿宋_GB2312" w:hAnsi="Arial" w:cs="Arial"/>
                <w:kern w:val="0"/>
                <w:sz w:val="21"/>
                <w:szCs w:val="21"/>
              </w:rPr>
            </w:pPr>
          </w:p>
        </w:tc>
        <w:tc>
          <w:tcPr>
            <w:tcW w:w="1125" w:type="pct"/>
            <w:noWrap/>
          </w:tcPr>
          <w:p w14:paraId="3C2896D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赵家街</w:t>
            </w:r>
          </w:p>
        </w:tc>
        <w:tc>
          <w:tcPr>
            <w:tcW w:w="959" w:type="pct"/>
          </w:tcPr>
          <w:p w14:paraId="0DDE910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3818EFC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6BBE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2B1ABFF3">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29</w:t>
            </w:r>
          </w:p>
        </w:tc>
        <w:tc>
          <w:tcPr>
            <w:tcW w:w="995" w:type="pct"/>
            <w:vMerge w:val="restart"/>
            <w:noWrap/>
            <w:vAlign w:val="center"/>
          </w:tcPr>
          <w:p w14:paraId="1BF09F1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湾龙背村</w:t>
            </w:r>
          </w:p>
        </w:tc>
        <w:tc>
          <w:tcPr>
            <w:tcW w:w="1125" w:type="pct"/>
            <w:noWrap/>
          </w:tcPr>
          <w:p w14:paraId="45DA2B7A">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湾龙背村</w:t>
            </w:r>
          </w:p>
        </w:tc>
        <w:tc>
          <w:tcPr>
            <w:tcW w:w="959" w:type="pct"/>
          </w:tcPr>
          <w:p w14:paraId="593B8EB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5E582BFE">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5BB0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7687307E">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30</w:t>
            </w:r>
          </w:p>
        </w:tc>
        <w:tc>
          <w:tcPr>
            <w:tcW w:w="995" w:type="pct"/>
            <w:vMerge w:val="continue"/>
          </w:tcPr>
          <w:p w14:paraId="6557CEB0">
            <w:pPr>
              <w:widowControl/>
              <w:spacing w:line="240" w:lineRule="auto"/>
              <w:ind w:firstLine="0" w:firstLineChars="0"/>
              <w:jc w:val="left"/>
              <w:rPr>
                <w:rFonts w:ascii="仿宋_GB2312" w:hAnsi="Arial" w:cs="Arial"/>
                <w:kern w:val="0"/>
                <w:sz w:val="21"/>
                <w:szCs w:val="21"/>
              </w:rPr>
            </w:pPr>
          </w:p>
        </w:tc>
        <w:tc>
          <w:tcPr>
            <w:tcW w:w="1125" w:type="pct"/>
            <w:noWrap/>
          </w:tcPr>
          <w:p w14:paraId="45783F4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东江脸</w:t>
            </w:r>
          </w:p>
        </w:tc>
        <w:tc>
          <w:tcPr>
            <w:tcW w:w="959" w:type="pct"/>
          </w:tcPr>
          <w:p w14:paraId="6E26B26F">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3A400BAF">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6A6F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278E52CD">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31</w:t>
            </w:r>
          </w:p>
        </w:tc>
        <w:tc>
          <w:tcPr>
            <w:tcW w:w="995" w:type="pct"/>
            <w:vMerge w:val="continue"/>
          </w:tcPr>
          <w:p w14:paraId="07E46582">
            <w:pPr>
              <w:widowControl/>
              <w:spacing w:line="240" w:lineRule="auto"/>
              <w:ind w:firstLine="0" w:firstLineChars="0"/>
              <w:jc w:val="left"/>
              <w:rPr>
                <w:rFonts w:ascii="仿宋_GB2312" w:hAnsi="Arial" w:cs="Arial"/>
                <w:kern w:val="0"/>
                <w:sz w:val="21"/>
                <w:szCs w:val="21"/>
              </w:rPr>
            </w:pPr>
          </w:p>
        </w:tc>
        <w:tc>
          <w:tcPr>
            <w:tcW w:w="1125" w:type="pct"/>
            <w:noWrap/>
          </w:tcPr>
          <w:p w14:paraId="1D4E2267">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湾龙背</w:t>
            </w:r>
          </w:p>
        </w:tc>
        <w:tc>
          <w:tcPr>
            <w:tcW w:w="959" w:type="pct"/>
          </w:tcPr>
          <w:p w14:paraId="61BE6F17">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1912A895">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3181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682EA42C">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32</w:t>
            </w:r>
          </w:p>
        </w:tc>
        <w:tc>
          <w:tcPr>
            <w:tcW w:w="995" w:type="pct"/>
            <w:vMerge w:val="continue"/>
          </w:tcPr>
          <w:p w14:paraId="2D4E37D5">
            <w:pPr>
              <w:widowControl/>
              <w:spacing w:line="240" w:lineRule="auto"/>
              <w:ind w:firstLine="0" w:firstLineChars="0"/>
              <w:jc w:val="left"/>
              <w:rPr>
                <w:rFonts w:ascii="仿宋_GB2312" w:hAnsi="Arial" w:cs="Arial"/>
                <w:kern w:val="0"/>
                <w:sz w:val="21"/>
                <w:szCs w:val="21"/>
              </w:rPr>
            </w:pPr>
          </w:p>
        </w:tc>
        <w:tc>
          <w:tcPr>
            <w:tcW w:w="1125" w:type="pct"/>
            <w:noWrap/>
          </w:tcPr>
          <w:p w14:paraId="4E2C863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河北</w:t>
            </w:r>
          </w:p>
        </w:tc>
        <w:tc>
          <w:tcPr>
            <w:tcW w:w="959" w:type="pct"/>
          </w:tcPr>
          <w:p w14:paraId="5442FE32">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7303F98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6B69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6D281AEA">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33</w:t>
            </w:r>
          </w:p>
        </w:tc>
        <w:tc>
          <w:tcPr>
            <w:tcW w:w="995" w:type="pct"/>
            <w:vMerge w:val="continue"/>
          </w:tcPr>
          <w:p w14:paraId="367B3E7D">
            <w:pPr>
              <w:widowControl/>
              <w:spacing w:line="240" w:lineRule="auto"/>
              <w:ind w:firstLine="0" w:firstLineChars="0"/>
              <w:jc w:val="left"/>
              <w:rPr>
                <w:rFonts w:ascii="仿宋_GB2312" w:hAnsi="Arial" w:cs="Arial"/>
                <w:kern w:val="0"/>
                <w:sz w:val="21"/>
                <w:szCs w:val="21"/>
              </w:rPr>
            </w:pPr>
          </w:p>
        </w:tc>
        <w:tc>
          <w:tcPr>
            <w:tcW w:w="1125" w:type="pct"/>
            <w:noWrap/>
          </w:tcPr>
          <w:p w14:paraId="362415E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冯家街</w:t>
            </w:r>
          </w:p>
        </w:tc>
        <w:tc>
          <w:tcPr>
            <w:tcW w:w="959" w:type="pct"/>
          </w:tcPr>
          <w:p w14:paraId="6C098BD2">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增量型</w:t>
            </w:r>
          </w:p>
        </w:tc>
        <w:tc>
          <w:tcPr>
            <w:tcW w:w="959" w:type="pct"/>
          </w:tcPr>
          <w:p w14:paraId="1F08288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4C955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A40E376">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34</w:t>
            </w:r>
          </w:p>
        </w:tc>
        <w:tc>
          <w:tcPr>
            <w:tcW w:w="995" w:type="pct"/>
            <w:vMerge w:val="continue"/>
          </w:tcPr>
          <w:p w14:paraId="5F42125E">
            <w:pPr>
              <w:widowControl/>
              <w:spacing w:line="240" w:lineRule="auto"/>
              <w:ind w:firstLine="0" w:firstLineChars="0"/>
              <w:jc w:val="left"/>
              <w:rPr>
                <w:rFonts w:ascii="仿宋_GB2312" w:hAnsi="Arial" w:cs="Arial"/>
                <w:kern w:val="0"/>
                <w:sz w:val="21"/>
                <w:szCs w:val="21"/>
              </w:rPr>
            </w:pPr>
          </w:p>
        </w:tc>
        <w:tc>
          <w:tcPr>
            <w:tcW w:w="1125" w:type="pct"/>
            <w:noWrap/>
          </w:tcPr>
          <w:p w14:paraId="4D3E41F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矽肺点</w:t>
            </w:r>
          </w:p>
        </w:tc>
        <w:tc>
          <w:tcPr>
            <w:tcW w:w="959" w:type="pct"/>
          </w:tcPr>
          <w:p w14:paraId="1ADA33F4">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268A71C0">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00E6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206FA098">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35</w:t>
            </w:r>
          </w:p>
        </w:tc>
        <w:tc>
          <w:tcPr>
            <w:tcW w:w="995" w:type="pct"/>
            <w:vMerge w:val="continue"/>
          </w:tcPr>
          <w:p w14:paraId="13883F0A">
            <w:pPr>
              <w:widowControl/>
              <w:spacing w:line="240" w:lineRule="auto"/>
              <w:ind w:firstLine="0" w:firstLineChars="0"/>
              <w:jc w:val="left"/>
              <w:rPr>
                <w:rFonts w:ascii="仿宋_GB2312" w:hAnsi="Arial" w:cs="Arial"/>
                <w:kern w:val="0"/>
                <w:sz w:val="21"/>
                <w:szCs w:val="21"/>
              </w:rPr>
            </w:pPr>
          </w:p>
        </w:tc>
        <w:tc>
          <w:tcPr>
            <w:tcW w:w="1125" w:type="pct"/>
            <w:noWrap/>
          </w:tcPr>
          <w:p w14:paraId="3A59E618">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田家沟</w:t>
            </w:r>
          </w:p>
        </w:tc>
        <w:tc>
          <w:tcPr>
            <w:tcW w:w="959" w:type="pct"/>
          </w:tcPr>
          <w:p w14:paraId="197C1605">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6E2CBB53">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16C5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5706F68B">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36</w:t>
            </w:r>
          </w:p>
        </w:tc>
        <w:tc>
          <w:tcPr>
            <w:tcW w:w="995" w:type="pct"/>
            <w:vMerge w:val="continue"/>
          </w:tcPr>
          <w:p w14:paraId="6BD3499F">
            <w:pPr>
              <w:widowControl/>
              <w:spacing w:line="240" w:lineRule="auto"/>
              <w:ind w:firstLine="0" w:firstLineChars="0"/>
              <w:jc w:val="left"/>
              <w:rPr>
                <w:rFonts w:ascii="仿宋_GB2312" w:hAnsi="Arial" w:cs="Arial"/>
                <w:kern w:val="0"/>
                <w:sz w:val="21"/>
                <w:szCs w:val="21"/>
              </w:rPr>
            </w:pPr>
          </w:p>
        </w:tc>
        <w:tc>
          <w:tcPr>
            <w:tcW w:w="1125" w:type="pct"/>
            <w:noWrap/>
          </w:tcPr>
          <w:p w14:paraId="4B855DBC">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半截沟</w:t>
            </w:r>
          </w:p>
        </w:tc>
        <w:tc>
          <w:tcPr>
            <w:tcW w:w="959" w:type="pct"/>
          </w:tcPr>
          <w:p w14:paraId="7929605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058A514D">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r w14:paraId="35B6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61" w:type="pct"/>
          </w:tcPr>
          <w:p w14:paraId="1BB0B52A">
            <w:pPr>
              <w:widowControl/>
              <w:spacing w:line="240" w:lineRule="auto"/>
              <w:ind w:firstLine="0" w:firstLineChars="0"/>
              <w:jc w:val="center"/>
              <w:rPr>
                <w:rFonts w:hint="eastAsia" w:ascii="等线" w:hAnsi="等线" w:eastAsia="等线" w:cs="Arial"/>
                <w:kern w:val="0"/>
                <w:sz w:val="21"/>
                <w:szCs w:val="21"/>
              </w:rPr>
            </w:pPr>
            <w:r>
              <w:rPr>
                <w:rFonts w:hint="eastAsia" w:ascii="等线" w:hAnsi="等线" w:eastAsia="等线" w:cs="Arial"/>
                <w:kern w:val="0"/>
                <w:sz w:val="21"/>
                <w:szCs w:val="21"/>
              </w:rPr>
              <w:t>37</w:t>
            </w:r>
          </w:p>
        </w:tc>
        <w:tc>
          <w:tcPr>
            <w:tcW w:w="995" w:type="pct"/>
            <w:vMerge w:val="continue"/>
          </w:tcPr>
          <w:p w14:paraId="1D5C555F">
            <w:pPr>
              <w:widowControl/>
              <w:spacing w:line="240" w:lineRule="auto"/>
              <w:ind w:firstLine="0" w:firstLineChars="0"/>
              <w:jc w:val="left"/>
              <w:rPr>
                <w:rFonts w:ascii="仿宋_GB2312" w:hAnsi="Arial" w:cs="Arial"/>
                <w:kern w:val="0"/>
                <w:sz w:val="21"/>
                <w:szCs w:val="21"/>
              </w:rPr>
            </w:pPr>
          </w:p>
        </w:tc>
        <w:tc>
          <w:tcPr>
            <w:tcW w:w="1125" w:type="pct"/>
            <w:noWrap/>
          </w:tcPr>
          <w:p w14:paraId="7606E0C3">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北沟</w:t>
            </w:r>
          </w:p>
        </w:tc>
        <w:tc>
          <w:tcPr>
            <w:tcW w:w="959" w:type="pct"/>
          </w:tcPr>
          <w:p w14:paraId="6D053682">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等量型</w:t>
            </w:r>
          </w:p>
        </w:tc>
        <w:tc>
          <w:tcPr>
            <w:tcW w:w="959" w:type="pct"/>
          </w:tcPr>
          <w:p w14:paraId="45770229">
            <w:pPr>
              <w:widowControl/>
              <w:spacing w:line="240" w:lineRule="auto"/>
              <w:ind w:firstLine="0" w:firstLineChars="0"/>
              <w:jc w:val="center"/>
              <w:rPr>
                <w:rFonts w:ascii="仿宋_GB2312" w:hAnsi="Arial" w:cs="Arial"/>
                <w:kern w:val="0"/>
                <w:sz w:val="21"/>
                <w:szCs w:val="21"/>
              </w:rPr>
            </w:pPr>
            <w:r>
              <w:rPr>
                <w:rFonts w:hint="eastAsia" w:ascii="仿宋_GB2312" w:hAnsi="Arial" w:cs="Arial"/>
                <w:kern w:val="0"/>
                <w:sz w:val="21"/>
                <w:szCs w:val="21"/>
              </w:rPr>
              <w:t>　</w:t>
            </w:r>
          </w:p>
        </w:tc>
      </w:tr>
    </w:tbl>
    <w:p w14:paraId="6E77259F">
      <w:pPr>
        <w:pStyle w:val="3"/>
        <w:rPr>
          <w:rFonts w:ascii="Times New Roman" w:hAnsi="Times New Roman" w:cs="Times New Roman"/>
        </w:rPr>
      </w:pPr>
      <w:bookmarkStart w:id="54" w:name="_Toc205557235"/>
      <w:bookmarkStart w:id="55" w:name="_Toc180592121"/>
      <w:bookmarkStart w:id="56" w:name="_Toc2621"/>
      <w:r>
        <w:rPr>
          <w:rFonts w:hint="eastAsia" w:ascii="Times New Roman" w:hAnsi="Times New Roman" w:cs="Times New Roman"/>
          <w:lang w:val="en-US" w:eastAsia="zh-CN"/>
        </w:rPr>
        <w:t>6.3</w:t>
      </w:r>
      <w:r>
        <w:rPr>
          <w:rFonts w:hint="eastAsia" w:ascii="Times New Roman" w:hAnsi="Times New Roman" w:cs="Times New Roman"/>
        </w:rPr>
        <w:t>“通则式”村庄规划管理规定</w:t>
      </w:r>
      <w:bookmarkEnd w:id="54"/>
      <w:bookmarkEnd w:id="55"/>
      <w:bookmarkEnd w:id="56"/>
    </w:p>
    <w:p w14:paraId="5F4C23DD">
      <w:pPr>
        <w:pStyle w:val="4"/>
        <w:numPr>
          <w:ilvl w:val="0"/>
          <w:numId w:val="0"/>
        </w:numPr>
        <w:ind w:left="640" w:leftChars="0"/>
        <w:rPr>
          <w:rFonts w:cs="Times New Roman"/>
        </w:rPr>
      </w:pPr>
      <w:r>
        <w:rPr>
          <w:rFonts w:hint="eastAsia" w:cs="Times New Roman"/>
          <w:lang w:val="en-US" w:eastAsia="zh-CN"/>
        </w:rPr>
        <w:t>6.3.1</w:t>
      </w:r>
      <w:r>
        <w:rPr>
          <w:rFonts w:hint="eastAsia" w:cs="Times New Roman"/>
        </w:rPr>
        <w:t>管理要求</w:t>
      </w:r>
    </w:p>
    <w:p w14:paraId="1E080A3F">
      <w:pPr>
        <w:ind w:firstLine="640"/>
        <w:rPr>
          <w:rFonts w:hint="eastAsia" w:cs="仿宋_GB2312"/>
          <w:szCs w:val="32"/>
          <w:lang w:bidi="ar"/>
        </w:rPr>
      </w:pPr>
      <w:r>
        <w:rPr>
          <w:rFonts w:hint="eastAsia" w:cs="仿宋_GB2312"/>
          <w:szCs w:val="32"/>
          <w:lang w:bidi="ar"/>
        </w:rPr>
        <w:t>依据镇域范围内乡村发展实际需求，五里甸子镇涉及“通则式”村庄规划村庄共</w:t>
      </w:r>
      <w:r>
        <w:rPr>
          <w:rFonts w:hint="eastAsia" w:cs="仿宋_GB2312"/>
          <w:szCs w:val="32"/>
          <w:lang w:val="en-US" w:eastAsia="zh-CN" w:bidi="ar"/>
        </w:rPr>
        <w:t>5</w:t>
      </w:r>
      <w:r>
        <w:rPr>
          <w:rFonts w:hint="eastAsia" w:cs="仿宋_GB2312"/>
          <w:szCs w:val="32"/>
          <w:lang w:bidi="ar"/>
        </w:rPr>
        <w:t>个，为</w:t>
      </w:r>
      <w:r>
        <w:rPr>
          <w:rFonts w:hint="eastAsia" w:cs="仿宋_GB2312"/>
          <w:szCs w:val="32"/>
          <w:lang w:val="en-US" w:eastAsia="zh-CN" w:bidi="ar"/>
        </w:rPr>
        <w:t>北甸子</w:t>
      </w:r>
      <w:r>
        <w:rPr>
          <w:rFonts w:hint="eastAsia" w:cs="仿宋_GB2312"/>
          <w:szCs w:val="32"/>
          <w:lang w:bidi="ar"/>
        </w:rPr>
        <w:t>村、</w:t>
      </w:r>
      <w:r>
        <w:rPr>
          <w:rFonts w:hint="eastAsia" w:cs="仿宋_GB2312"/>
          <w:szCs w:val="32"/>
          <w:lang w:val="en-US" w:eastAsia="zh-CN" w:bidi="ar"/>
        </w:rPr>
        <w:t>大牛沟</w:t>
      </w:r>
      <w:r>
        <w:rPr>
          <w:rFonts w:hint="eastAsia" w:cs="仿宋_GB2312"/>
          <w:szCs w:val="32"/>
          <w:lang w:bidi="ar"/>
        </w:rPr>
        <w:t>村、</w:t>
      </w:r>
      <w:r>
        <w:rPr>
          <w:rFonts w:hint="eastAsia" w:cs="仿宋_GB2312"/>
          <w:szCs w:val="32"/>
          <w:lang w:val="en-US" w:eastAsia="zh-CN" w:bidi="ar"/>
        </w:rPr>
        <w:t>湾龙背</w:t>
      </w:r>
      <w:r>
        <w:rPr>
          <w:rFonts w:hint="eastAsia" w:cs="仿宋_GB2312"/>
          <w:szCs w:val="32"/>
          <w:lang w:bidi="ar"/>
        </w:rPr>
        <w:t>村、</w:t>
      </w:r>
      <w:r>
        <w:rPr>
          <w:rFonts w:hint="eastAsia" w:cs="仿宋_GB2312"/>
          <w:szCs w:val="32"/>
          <w:lang w:val="en-US" w:eastAsia="zh-CN" w:bidi="ar"/>
        </w:rPr>
        <w:t>英英沟</w:t>
      </w:r>
      <w:r>
        <w:rPr>
          <w:rFonts w:hint="eastAsia" w:cs="仿宋_GB2312"/>
          <w:szCs w:val="32"/>
          <w:lang w:bidi="ar"/>
        </w:rPr>
        <w:t>村</w:t>
      </w:r>
      <w:r>
        <w:rPr>
          <w:rFonts w:hint="eastAsia" w:cs="仿宋_GB2312"/>
          <w:szCs w:val="32"/>
          <w:lang w:eastAsia="zh-CN" w:bidi="ar"/>
        </w:rPr>
        <w:t>、</w:t>
      </w:r>
      <w:r>
        <w:rPr>
          <w:rFonts w:hint="eastAsia" w:cs="仿宋_GB2312"/>
          <w:szCs w:val="32"/>
          <w:lang w:val="en-US" w:eastAsia="zh-CN" w:bidi="ar"/>
        </w:rPr>
        <w:t>长春沟村</w:t>
      </w:r>
      <w:r>
        <w:rPr>
          <w:rFonts w:hint="eastAsia" w:cs="仿宋_GB2312"/>
          <w:szCs w:val="32"/>
          <w:lang w:bidi="ar"/>
        </w:rPr>
        <w:t>。</w:t>
      </w:r>
    </w:p>
    <w:p w14:paraId="33B15C87">
      <w:pPr>
        <w:ind w:firstLine="640"/>
        <w:rPr>
          <w:rFonts w:cs="仿宋_GB2312"/>
          <w:szCs w:val="32"/>
          <w:lang w:bidi="ar"/>
        </w:rPr>
      </w:pPr>
      <w:r>
        <w:rPr>
          <w:rFonts w:hint="eastAsia" w:cs="仿宋_GB2312"/>
          <w:szCs w:val="32"/>
          <w:lang w:bidi="ar"/>
        </w:rPr>
        <w:t>按照管理需求和编制深度，将村庄规划分为实用性村庄规划、“通则式”村庄规划和“通则式”村庄管控指引三种类型。有乡村产业发展需求需要进行适度开发建设，以及推进农村人居环境整治力度大的集聚建设类和特殊保护类村庄，以及部分城郊融合类与整治提升类村庄，编制实用性村庄规划，通过规划引领村庄发展和建设。实用性村庄规划编制应按照《辽宁省村庄规划编制导则（试行）》。近期不进行开发建设或产业发展、建设需求较少的城郊融合类与整治提升类村庄，在乡镇级国土空间规划中编制“通则式”村庄规划。“通则式”村庄规划编制以行政村为单元，明确村庄耕地保护、生态保护、建设管控、历史文化保护等基本内容。满足村庄基本的建设管控需求和核发乡村建设规划许可的条件。</w:t>
      </w:r>
    </w:p>
    <w:p w14:paraId="5A1FC7BC">
      <w:pPr>
        <w:pStyle w:val="4"/>
        <w:numPr>
          <w:ilvl w:val="0"/>
          <w:numId w:val="0"/>
        </w:numPr>
        <w:ind w:left="640" w:leftChars="0"/>
        <w:rPr>
          <w:rFonts w:cs="Times New Roman"/>
        </w:rPr>
      </w:pPr>
      <w:r>
        <w:rPr>
          <w:rFonts w:hint="eastAsia" w:cs="Times New Roman"/>
          <w:lang w:val="en-US" w:eastAsia="zh-CN"/>
        </w:rPr>
        <w:t>6.3.2</w:t>
      </w:r>
      <w:r>
        <w:rPr>
          <w:rFonts w:hint="eastAsia" w:cs="Times New Roman"/>
        </w:rPr>
        <w:t>底线管控</w:t>
      </w:r>
    </w:p>
    <w:p w14:paraId="3CF46DC6">
      <w:pPr>
        <w:ind w:firstLine="640"/>
        <w:jc w:val="left"/>
        <w:rPr>
          <w:rFonts w:cs="仿宋_GB2312"/>
          <w:szCs w:val="32"/>
          <w:lang w:bidi="ar"/>
        </w:rPr>
      </w:pPr>
      <w:r>
        <w:rPr>
          <w:rFonts w:hint="eastAsia" w:cs="仿宋_GB2312"/>
          <w:szCs w:val="32"/>
          <w:lang w:bidi="ar"/>
        </w:rPr>
        <w:t>耕地保护管控。坚持最严格的耕地保护制度，严格落实永久基本农田管控。坚决防止永久基本农田“非农化”。国家和省级以上重大建设项目和保障人民群众生命安全的建设项目选址确实无法避开永久基本农田的，须经省级以上自然资源主管部门组织论证。</w:t>
      </w:r>
    </w:p>
    <w:p w14:paraId="3FAB93C9">
      <w:pPr>
        <w:ind w:firstLine="640"/>
        <w:jc w:val="left"/>
        <w:rPr>
          <w:rFonts w:cs="仿宋_GB2312"/>
          <w:szCs w:val="32"/>
          <w:lang w:bidi="ar"/>
        </w:rPr>
      </w:pPr>
      <w:r>
        <w:rPr>
          <w:rFonts w:hint="eastAsia" w:cs="仿宋_GB2312"/>
          <w:szCs w:val="32"/>
          <w:lang w:bidi="ar"/>
        </w:rPr>
        <w:t>生态保护管控。严格落实生态保护红线管控，确保生态保护红线落地准确、边界清晰。生态保护红线原则上按禁止开发区域的要求进行管理。严禁不符合主体功能定位的各类开发活动，严禁任意改变用途，确保生态功能不降低、面积不减少、性质不改变。</w:t>
      </w:r>
    </w:p>
    <w:p w14:paraId="0E2DAFFE">
      <w:pPr>
        <w:ind w:firstLine="640"/>
        <w:jc w:val="left"/>
        <w:rPr>
          <w:rFonts w:cs="仿宋_GB2312"/>
          <w:szCs w:val="32"/>
          <w:lang w:bidi="ar"/>
        </w:rPr>
      </w:pPr>
      <w:r>
        <w:rPr>
          <w:rFonts w:hint="eastAsia" w:cs="仿宋_GB2312"/>
          <w:szCs w:val="32"/>
          <w:lang w:bidi="ar"/>
        </w:rPr>
        <w:t>村庄建设边界。在村庄建设边界内实行“村庄规划+乡村建设规划许可”的管控方式。严格实行建设用地总量与强度双控，强化村庄建设边界对开发建设行为的刚性约束作用。各项目涉及在现状保留区范围内的，允许在原址用地范围内进行改扩建等建设行为，优先使用存量建设用地。涉及新增规划项目用地的，应在村庄建设边界内的规划新增区进行。</w:t>
      </w:r>
    </w:p>
    <w:p w14:paraId="6D113060">
      <w:pPr>
        <w:ind w:firstLine="640"/>
        <w:jc w:val="left"/>
        <w:rPr>
          <w:rFonts w:cs="仿宋_GB2312"/>
          <w:szCs w:val="32"/>
          <w:lang w:bidi="ar"/>
        </w:rPr>
      </w:pPr>
      <w:r>
        <w:rPr>
          <w:rFonts w:hint="eastAsia" w:cs="仿宋_GB2312"/>
          <w:szCs w:val="32"/>
          <w:lang w:bidi="ar"/>
        </w:rPr>
        <w:t>防灾减灾管控。农业生产和村庄建设应避让洪涝风险控制线和地质灾害高易发区，加强对风险极高区域的防灾减灾救灾设施建设，有效降低灾害影响，提高村庄安全防护能力和水平。加强崩塌和泥石流地质灾害隐患点分期防治，加强警示、监测和预报。实施工程治理，中远期防治工作以生物工程为主。</w:t>
      </w:r>
    </w:p>
    <w:p w14:paraId="11FE79BC">
      <w:pPr>
        <w:ind w:firstLine="640"/>
        <w:jc w:val="left"/>
        <w:rPr>
          <w:rFonts w:cs="仿宋_GB2312"/>
          <w:szCs w:val="32"/>
          <w:lang w:bidi="ar"/>
        </w:rPr>
      </w:pPr>
      <w:r>
        <w:rPr>
          <w:rFonts w:hint="eastAsia" w:cs="仿宋_GB2312"/>
          <w:szCs w:val="32"/>
          <w:lang w:bidi="ar"/>
        </w:rPr>
        <w:t>历史文化保护管控。按照真实性、完整性的保护要求，根据保护对象的级别和类型，分类保护历史文化遗产。对历史文化名村、传统村落，要重点保护其传统格局、历史风貌、人文环境及其所依存的地形地貌、河湖水系等自然景观环境；对文物保护单位，要不改变文物原状，重点保护其本体及其周边环境，大力实施原址保护，加强预防性保护、日常保养和保护修缮；对地下文物埋藏区和水下文物埋藏区，要“先考古、后出让”；对历史建筑要保持原有的外形和风貌。</w:t>
      </w:r>
    </w:p>
    <w:p w14:paraId="706FCA93">
      <w:pPr>
        <w:pStyle w:val="4"/>
        <w:numPr>
          <w:ilvl w:val="0"/>
          <w:numId w:val="0"/>
        </w:numPr>
        <w:ind w:left="640" w:leftChars="0"/>
        <w:rPr>
          <w:rFonts w:cs="Times New Roman"/>
        </w:rPr>
      </w:pPr>
      <w:r>
        <w:rPr>
          <w:rFonts w:hint="eastAsia" w:cs="Times New Roman"/>
          <w:lang w:val="en-US" w:eastAsia="zh-CN"/>
        </w:rPr>
        <w:t>6.3.3</w:t>
      </w:r>
      <w:r>
        <w:rPr>
          <w:rFonts w:hint="eastAsia" w:cs="Times New Roman"/>
        </w:rPr>
        <w:t>建设指引</w:t>
      </w:r>
    </w:p>
    <w:p w14:paraId="227175AB">
      <w:pPr>
        <w:ind w:firstLine="640"/>
        <w:rPr>
          <w:lang w:bidi="ar"/>
        </w:rPr>
      </w:pPr>
      <w:r>
        <w:rPr>
          <w:rFonts w:hint="eastAsia"/>
          <w:lang w:bidi="ar"/>
        </w:rPr>
        <w:t>农房建设管控指引。严格落实“一户一宅”政策，从严控制农村居民超用地标准建房，新申请的农村宅基地，每户不得超过辽宁省规定的宅基地面积。鼓励农村宅基地、经营性建设用地向村委会所在地的自然村适度集中。合理控制农房建筑层高和总高度，原则上层高不宜低于2.8米；单层平屋顶住房主体总高度不宜超过3.5米，多层住房主体总高度不宜超过12米；农村新型社区以联排式底层住宅为主，总层数控制在2—3层。</w:t>
      </w:r>
    </w:p>
    <w:p w14:paraId="5172A4B6">
      <w:pPr>
        <w:ind w:firstLine="640"/>
        <w:rPr>
          <w:rFonts w:hint="eastAsia" w:ascii="仿宋_GB2312" w:hAnsi="仿宋_GB2312"/>
          <w:szCs w:val="24"/>
        </w:rPr>
      </w:pPr>
      <w:r>
        <w:rPr>
          <w:rFonts w:hint="eastAsia" w:ascii="仿宋_GB2312" w:hAnsi="仿宋_GB2312"/>
          <w:szCs w:val="24"/>
        </w:rPr>
        <w:t>公共服务设施配置指引。根据乡村类型差异化制定公共服务要素配置标准。其中，集聚建设类村庄应配置功能综合、相对完善的乡村公共服务体系，结合乡村振兴建设，强化电商物流等生产性服务保障；整治提升类村庄应补足必要的公共服务设施，满足现代农村生产生活需求；特色保护类村庄除必要公共服务设施外，还应重点考虑配置文化旅游设施；已确定近期整体搬迁撤并的村庄，原则上不予增建，计划远期整体搬迁撤并以及渐进式搬迁撤并的村庄，酌情降低设施的配置标准。</w:t>
      </w:r>
    </w:p>
    <w:p w14:paraId="5DAB3D3D">
      <w:pPr>
        <w:ind w:firstLine="640"/>
        <w:rPr>
          <w:rFonts w:hint="eastAsia" w:ascii="仿宋_GB2312" w:hAnsi="仿宋_GB2312"/>
          <w:szCs w:val="24"/>
        </w:rPr>
      </w:pPr>
      <w:r>
        <w:rPr>
          <w:rFonts w:hint="eastAsia" w:ascii="仿宋_GB2312" w:hAnsi="仿宋_GB2312"/>
          <w:szCs w:val="24"/>
        </w:rPr>
        <w:t>农村基础设施配套指引。加强农村公路养护和安全管理，推动与沿线物流节点、乡村旅游景区等一体化建设；健全县、乡、村三级农村物流服务体系，建设村级寄递物流综合服务站。公用设施配置根据乡村类型差异化制定配置标准。其中，集聚建设类村庄的公用设施可结合乡村振兴发展需求适度超前配置，鼓励有条件地区多村共建共享公用设施；整治提升类和搬迁撤并类村庄的公用设施设置应以保障基本生活需求为重点；城郊融合类村庄公用设施的建设应充分考虑与城镇公用设施互联互通。对于因旅游、产业发展等吸引外来人口规模较大的村庄，应适度提高公用设施配建标乡村产业用地规划布局指引。</w:t>
      </w:r>
    </w:p>
    <w:p w14:paraId="219CCAEC">
      <w:pPr>
        <w:ind w:firstLine="640"/>
        <w:rPr>
          <w:rFonts w:hint="eastAsia" w:ascii="仿宋_GB2312" w:hAnsi="仿宋_GB2312"/>
          <w:szCs w:val="24"/>
        </w:rPr>
      </w:pPr>
      <w:r>
        <w:rPr>
          <w:rFonts w:hint="eastAsia" w:ascii="仿宋_GB2312" w:hAnsi="仿宋_GB2312"/>
          <w:szCs w:val="24"/>
        </w:rPr>
        <w:t>乡村产业用地规划布局指引。统筹一二三产业空间布局，以农业为依托延伸产业链条，优化配置农村二三产业发展空间。引导农产品初加工、产地直销等产业在村庄区位优势区域合理布局、适度集中。合理保障农产品加工流通、电子商务、冷链物流、乡村旅游、休闲农业、民宿经济等新产业新业态用地需求。农村一二三产业融合发展涉及的工业、商业等经营性项目应优先利用空闲地、村庄内部其他用地等闲置低效建设用地，鼓励对依法登记的村庄建设用地进行混合利用。</w:t>
      </w:r>
    </w:p>
    <w:p w14:paraId="3B3FE800">
      <w:pPr>
        <w:ind w:firstLine="640"/>
        <w:rPr>
          <w:szCs w:val="32"/>
          <w:highlight w:val="yellow"/>
        </w:rPr>
      </w:pPr>
      <w:r>
        <w:rPr>
          <w:rFonts w:hint="eastAsia" w:ascii="仿宋_GB2312" w:hAnsi="仿宋_GB2312"/>
          <w:szCs w:val="24"/>
        </w:rPr>
        <w:t>村庄建筑风貌与农村人居环境整治指引。充分尊重自然本底、原有肌理，按照适度集中原则，统筹安排居住、产业、公共服务、景观绿化等空间布局，满足新时代农民生产生活需要。新建农房按照适用、经济、绿色、美观的原则，注重使用乡土材料，突出地域特征，建筑结构以砖混结构为主，屋顶多采用平屋顶式样，合理搭配墙面、台阶、门窗等部位材料和色彩、注重墙体环保节能。公共建筑风貌注重与村域环境和农房建筑风貌相协调，打造简洁、美观、大气、实用的公共建筑风貌。以建设宜居宜业和美乡村为目标，全面提升农村人居环境质量。积极推进农村生活垃圾治理，强化垃圾就地分类和资源化利用。梯次推进农村生活污水</w:t>
      </w:r>
      <w:r>
        <w:rPr>
          <w:rFonts w:hint="eastAsia" w:ascii="仿宋_GB2312" w:hAnsi="仿宋_GB2312"/>
          <w:szCs w:val="24"/>
          <w:lang w:val="en-US" w:eastAsia="zh-CN"/>
        </w:rPr>
        <w:t>治理</w:t>
      </w:r>
      <w:r>
        <w:rPr>
          <w:rFonts w:hint="eastAsia" w:ascii="仿宋_GB2312" w:hAnsi="仿宋_GB2312"/>
          <w:szCs w:val="24"/>
        </w:rPr>
        <w:t>，逐步消除农村黑臭水体，加强农村饮用水水源地保护。综合提升田水路林村风貌，促进村庄形态与自然环境相得益彰</w:t>
      </w:r>
      <w:r>
        <w:rPr>
          <w:rFonts w:hint="eastAsia"/>
          <w:szCs w:val="32"/>
        </w:rPr>
        <w:t>。</w:t>
      </w:r>
    </w:p>
    <w:p w14:paraId="024C9C34">
      <w:pPr>
        <w:pStyle w:val="3"/>
        <w:rPr>
          <w:rFonts w:ascii="Times New Roman" w:hAnsi="Times New Roman" w:cs="Times New Roman"/>
        </w:rPr>
      </w:pPr>
      <w:bookmarkStart w:id="57" w:name="_Toc205557236"/>
      <w:bookmarkStart w:id="58" w:name="_Toc26098"/>
      <w:r>
        <w:rPr>
          <w:rFonts w:hint="eastAsia" w:ascii="Times New Roman" w:hAnsi="Times New Roman" w:cs="Times New Roman"/>
          <w:lang w:val="en-US" w:eastAsia="zh-CN"/>
        </w:rPr>
        <w:t>6.4</w:t>
      </w:r>
      <w:r>
        <w:rPr>
          <w:rFonts w:ascii="Times New Roman" w:hAnsi="Times New Roman" w:cs="Times New Roman"/>
        </w:rPr>
        <w:t xml:space="preserve"> 产业布局</w:t>
      </w:r>
      <w:bookmarkEnd w:id="57"/>
      <w:bookmarkEnd w:id="58"/>
    </w:p>
    <w:p w14:paraId="6C3CDB6A">
      <w:pPr>
        <w:pStyle w:val="4"/>
        <w:numPr>
          <w:ilvl w:val="0"/>
          <w:numId w:val="0"/>
        </w:numPr>
        <w:ind w:left="640" w:leftChars="0"/>
        <w:rPr>
          <w:rFonts w:cs="Times New Roman"/>
        </w:rPr>
      </w:pPr>
      <w:r>
        <w:rPr>
          <w:rFonts w:hint="eastAsia" w:cs="Times New Roman"/>
          <w:lang w:val="en-US" w:eastAsia="zh-CN"/>
        </w:rPr>
        <w:t>6.4.1</w:t>
      </w:r>
      <w:r>
        <w:rPr>
          <w:rFonts w:cs="Times New Roman"/>
        </w:rPr>
        <w:t>产业发展策略</w:t>
      </w:r>
    </w:p>
    <w:p w14:paraId="67E526F1">
      <w:pPr>
        <w:ind w:firstLine="640"/>
        <w:rPr>
          <w:rFonts w:cs="Times New Roman"/>
        </w:rPr>
      </w:pPr>
      <w:r>
        <w:rPr>
          <w:rFonts w:hint="eastAsia" w:cs="Times New Roman"/>
        </w:rPr>
        <w:t>结合北甸子乡实际，依托冰酒产业种植、生产、销售的基础优势和品牌优势，以延伸和扩展冰酒研发、标准化基地、冷链物流、酒庄建设等为主线，以创新体制机制为重点，整合财力、人力、物力资源，扩大产业规模，延伸产业链，塑造全国知名“黄金冰谷小镇”品牌形象，成为中国冰酒第一镇。</w:t>
      </w:r>
    </w:p>
    <w:p w14:paraId="273D1374">
      <w:pPr>
        <w:pStyle w:val="4"/>
        <w:numPr>
          <w:ilvl w:val="0"/>
          <w:numId w:val="0"/>
        </w:numPr>
        <w:ind w:left="640" w:leftChars="0"/>
        <w:rPr>
          <w:rFonts w:cs="Times New Roman"/>
        </w:rPr>
      </w:pPr>
      <w:r>
        <w:rPr>
          <w:rFonts w:hint="eastAsia" w:cs="Times New Roman"/>
          <w:lang w:val="en-US" w:eastAsia="zh-CN"/>
        </w:rPr>
        <w:t>6.4.2</w:t>
      </w:r>
      <w:r>
        <w:rPr>
          <w:rFonts w:cs="Times New Roman"/>
        </w:rPr>
        <w:t>推动特色</w:t>
      </w:r>
      <w:r>
        <w:rPr>
          <w:rFonts w:hint="eastAsia" w:cs="Times New Roman"/>
        </w:rPr>
        <w:t>冰酒产业</w:t>
      </w:r>
      <w:r>
        <w:rPr>
          <w:rFonts w:cs="Times New Roman"/>
        </w:rPr>
        <w:t>高质量发展</w:t>
      </w:r>
    </w:p>
    <w:p w14:paraId="7708F22D">
      <w:pPr>
        <w:ind w:firstLine="640"/>
        <w:rPr>
          <w:rFonts w:cs="Times New Roman"/>
        </w:rPr>
      </w:pPr>
      <w:r>
        <w:rPr>
          <w:rFonts w:cs="Times New Roman"/>
        </w:rPr>
        <w:t>发挥</w:t>
      </w:r>
      <w:r>
        <w:rPr>
          <w:rFonts w:hint="eastAsia" w:cs="Times New Roman"/>
        </w:rPr>
        <w:t>北甸子乡冰葡萄</w:t>
      </w:r>
      <w:r>
        <w:rPr>
          <w:rFonts w:cs="Times New Roman"/>
        </w:rPr>
        <w:t>资源丰富的优势，推进农业绿色化、优质化、特色化、品牌化建设。以各村的特色农业产业为基础，以“</w:t>
      </w:r>
      <w:r>
        <w:rPr>
          <w:rFonts w:hint="eastAsia" w:cs="Times New Roman"/>
        </w:rPr>
        <w:t>张裕冰酒</w:t>
      </w:r>
      <w:r>
        <w:rPr>
          <w:rFonts w:cs="Times New Roman"/>
        </w:rPr>
        <w:t>”</w:t>
      </w:r>
      <w:r>
        <w:rPr>
          <w:rFonts w:hint="eastAsia" w:cs="Times New Roman"/>
        </w:rPr>
        <w:t>等</w:t>
      </w:r>
      <w:r>
        <w:rPr>
          <w:rFonts w:cs="Times New Roman"/>
        </w:rPr>
        <w:t>品牌</w:t>
      </w:r>
      <w:r>
        <w:rPr>
          <w:rFonts w:hint="eastAsia" w:cs="Times New Roman"/>
        </w:rPr>
        <w:t>建设为指引</w:t>
      </w:r>
      <w:r>
        <w:rPr>
          <w:rFonts w:cs="Times New Roman"/>
        </w:rPr>
        <w:t>，积极壮大各村种植基地，引资建设农产品精深加工企业，全力打造</w:t>
      </w:r>
      <w:r>
        <w:rPr>
          <w:rFonts w:hint="eastAsia" w:cs="Times New Roman"/>
        </w:rPr>
        <w:t>冰酒</w:t>
      </w:r>
      <w:r>
        <w:rPr>
          <w:rFonts w:cs="Times New Roman"/>
        </w:rPr>
        <w:t>特色产业。</w:t>
      </w:r>
    </w:p>
    <w:p w14:paraId="2E78F614">
      <w:pPr>
        <w:ind w:firstLine="640"/>
        <w:rPr>
          <w:rFonts w:cs="Times New Roman"/>
        </w:rPr>
      </w:pPr>
      <w:r>
        <w:rPr>
          <w:rFonts w:hint="eastAsia" w:cs="Times New Roman"/>
        </w:rPr>
        <w:t>持续推进农村一二三产业融合发展，以农业为依托延伸产业链。引导农产品初加工、产地直销等产业在村庄区位优势区域合理布局、适度集中。汲取国际葡萄酒企业先进的发展经营理念，建设集各种葡萄酒、冰系列果酒、果蔬饮品及保健品于一体的产业集群。使该产业园区成为葡萄酒加工酿造、文化传播、餐饮娱乐功能俱全的特色园区。同时带动下游物流、广告、包装加工等企业的发展，与北甸子乡内的乡村旅游业融合发展，共筑冰酒产业链。合理保障农产品加工流通、电子商务、冷链物流、乡村旅游、休闲农业、民宿经济等新产业、新业态用地需求。</w:t>
      </w:r>
    </w:p>
    <w:p w14:paraId="32136416">
      <w:pPr>
        <w:ind w:firstLine="640"/>
        <w:rPr>
          <w:rFonts w:cs="Times New Roman"/>
        </w:rPr>
      </w:pPr>
      <w:r>
        <w:rPr>
          <w:rFonts w:hint="eastAsia" w:cs="Times New Roman"/>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w:t>
      </w:r>
      <w:r>
        <w:rPr>
          <w:rFonts w:cs="Times New Roman"/>
        </w:rPr>
        <w:t>。</w:t>
      </w:r>
    </w:p>
    <w:p w14:paraId="5188BE9C">
      <w:pPr>
        <w:pStyle w:val="4"/>
        <w:numPr>
          <w:ilvl w:val="0"/>
          <w:numId w:val="0"/>
        </w:numPr>
        <w:ind w:left="640" w:leftChars="0"/>
        <w:rPr>
          <w:rFonts w:cs="Times New Roman"/>
        </w:rPr>
      </w:pPr>
      <w:r>
        <w:rPr>
          <w:rFonts w:hint="eastAsia" w:cs="Times New Roman"/>
          <w:lang w:val="en-US" w:eastAsia="zh-CN"/>
        </w:rPr>
        <w:t>6.4.3</w:t>
      </w:r>
      <w:r>
        <w:rPr>
          <w:rFonts w:cs="Times New Roman"/>
        </w:rPr>
        <w:t>大力发展乡村旅游业</w:t>
      </w:r>
    </w:p>
    <w:p w14:paraId="40E778C6">
      <w:pPr>
        <w:ind w:firstLine="640"/>
        <w:rPr>
          <w:rFonts w:cs="Times New Roman"/>
        </w:rPr>
      </w:pPr>
      <w:r>
        <w:rPr>
          <w:rFonts w:cs="Times New Roman"/>
        </w:rPr>
        <w:t>科学整合优势资源，深度谋划生态旅游与休闲农业、健康养生、生态文化等产业融合发展，将</w:t>
      </w:r>
      <w:r>
        <w:rPr>
          <w:rFonts w:hint="eastAsia" w:cs="Times New Roman"/>
        </w:rPr>
        <w:t>北甸子</w:t>
      </w:r>
      <w:r>
        <w:rPr>
          <w:rFonts w:cs="Times New Roman"/>
        </w:rPr>
        <w:t>乡历史文化、民俗文化、特色</w:t>
      </w:r>
      <w:r>
        <w:rPr>
          <w:rFonts w:hint="eastAsia" w:cs="Times New Roman"/>
        </w:rPr>
        <w:t>冰酒产业</w:t>
      </w:r>
      <w:r>
        <w:rPr>
          <w:rFonts w:cs="Times New Roman"/>
        </w:rPr>
        <w:t>有机结合，发挥休闲观光、养生度假、文化体验等功能优势，空间上形成“一核、一心、两带、五区、多点”的全域旅游发展格局，着力建设结构合理、功能完备、要素配套的生态旅游产业集聚区。</w:t>
      </w:r>
      <w:r>
        <w:rPr>
          <w:rFonts w:hint="eastAsia" w:cs="Times New Roman"/>
        </w:rPr>
        <w:t>启动酒乡旅游，加快建设黄金</w:t>
      </w:r>
      <w:r>
        <w:rPr>
          <w:rFonts w:hint="eastAsia" w:cs="Times New Roman"/>
          <w:lang w:val="en-US" w:eastAsia="zh-CN"/>
        </w:rPr>
        <w:t>冰谷</w:t>
      </w:r>
      <w:r>
        <w:rPr>
          <w:rFonts w:hint="eastAsia" w:cs="Times New Roman"/>
        </w:rPr>
        <w:t>小镇，吸引国内外游客来北甸子乡，开展葡萄酒采摘、参观葡萄酒酿造、品鉴葡萄酒等系列活动</w:t>
      </w:r>
      <w:r>
        <w:rPr>
          <w:rFonts w:cs="Times New Roman"/>
        </w:rPr>
        <w:t>。</w:t>
      </w:r>
    </w:p>
    <w:p w14:paraId="6ABE6107">
      <w:pPr>
        <w:pStyle w:val="4"/>
        <w:numPr>
          <w:ilvl w:val="0"/>
          <w:numId w:val="0"/>
        </w:numPr>
        <w:ind w:left="640" w:leftChars="0"/>
        <w:rPr>
          <w:rFonts w:cs="Times New Roman"/>
        </w:rPr>
      </w:pPr>
      <w:bookmarkStart w:id="59" w:name="_Hlk131008380"/>
      <w:r>
        <w:rPr>
          <w:rFonts w:hint="eastAsia" w:cs="Times New Roman"/>
          <w:lang w:val="en-US" w:eastAsia="zh-CN"/>
        </w:rPr>
        <w:t>6.4.4</w:t>
      </w:r>
      <w:r>
        <w:rPr>
          <w:rFonts w:cs="Times New Roman"/>
        </w:rPr>
        <w:t>产业用地保障</w:t>
      </w:r>
    </w:p>
    <w:p w14:paraId="0D93D402">
      <w:pPr>
        <w:widowControl/>
        <w:adjustRightInd w:val="0"/>
        <w:snapToGrid w:val="0"/>
        <w:ind w:firstLine="640"/>
        <w:rPr>
          <w:rFonts w:cs="Times New Roman"/>
        </w:rPr>
      </w:pPr>
      <w:r>
        <w:rPr>
          <w:rFonts w:cs="Times New Roman"/>
        </w:rPr>
        <w:t>持续推进农村一二三产业融合发展，以农业为依托延伸产业链。引导农产品初加工、产地直销等产业在村庄区位优势区域合理布局、适度集中。品牌化发展</w:t>
      </w:r>
      <w:r>
        <w:rPr>
          <w:rFonts w:hint="eastAsia" w:cs="Times New Roman"/>
        </w:rPr>
        <w:t>冰酒、林下经济</w:t>
      </w:r>
      <w:r>
        <w:rPr>
          <w:rFonts w:cs="Times New Roman"/>
        </w:rPr>
        <w:t>等特色农产品及农产品深加工产业。合理保障农产品加工流通、电子商务、冷链物流、乡村旅游、休闲农业、民宿经济等新产业、新业态用地需求。根据年度新增用地指标计划情况，在县本级和镇级国土空间总体规划中安排至少10%的建设用地指标，用于支持乡村振兴发展。</w:t>
      </w:r>
    </w:p>
    <w:p w14:paraId="34E51160">
      <w:pPr>
        <w:widowControl/>
        <w:adjustRightInd w:val="0"/>
        <w:snapToGrid w:val="0"/>
        <w:ind w:firstLine="640"/>
        <w:rPr>
          <w:rFonts w:cs="Times New Roman"/>
        </w:rPr>
      </w:pPr>
      <w:r>
        <w:rPr>
          <w:rFonts w:cs="Times New Roman"/>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w:t>
      </w:r>
    </w:p>
    <w:bookmarkEnd w:id="59"/>
    <w:p w14:paraId="61688F6D">
      <w:pPr>
        <w:pStyle w:val="3"/>
        <w:rPr>
          <w:rFonts w:ascii="Times New Roman" w:hAnsi="Times New Roman" w:cs="Times New Roman"/>
        </w:rPr>
      </w:pPr>
      <w:bookmarkStart w:id="60" w:name="_Toc205557237"/>
      <w:bookmarkStart w:id="61" w:name="_Toc8407"/>
      <w:r>
        <w:rPr>
          <w:rFonts w:hint="eastAsia" w:ascii="Times New Roman" w:hAnsi="Times New Roman" w:cs="Times New Roman"/>
          <w:lang w:val="en-US" w:eastAsia="zh-CN"/>
        </w:rPr>
        <w:t>6.5</w:t>
      </w:r>
      <w:r>
        <w:rPr>
          <w:rFonts w:ascii="Times New Roman" w:hAnsi="Times New Roman" w:cs="Times New Roman"/>
        </w:rPr>
        <w:t xml:space="preserve"> 景观风貌</w:t>
      </w:r>
      <w:bookmarkEnd w:id="60"/>
      <w:bookmarkEnd w:id="61"/>
    </w:p>
    <w:p w14:paraId="01683872">
      <w:pPr>
        <w:pStyle w:val="4"/>
        <w:numPr>
          <w:ilvl w:val="0"/>
          <w:numId w:val="0"/>
        </w:numPr>
        <w:ind w:left="640" w:leftChars="0"/>
        <w:rPr>
          <w:rFonts w:cs="Times New Roman"/>
        </w:rPr>
      </w:pPr>
      <w:r>
        <w:rPr>
          <w:rFonts w:hint="eastAsia" w:cs="Times New Roman"/>
          <w:lang w:val="en-US" w:eastAsia="zh-CN"/>
        </w:rPr>
        <w:t>6.5.1</w:t>
      </w:r>
      <w:r>
        <w:rPr>
          <w:rFonts w:cs="Times New Roman"/>
        </w:rPr>
        <w:t>凸显</w:t>
      </w:r>
      <w:r>
        <w:rPr>
          <w:rFonts w:hint="eastAsia" w:cs="Times New Roman"/>
        </w:rPr>
        <w:t>北甸</w:t>
      </w:r>
      <w:r>
        <w:rPr>
          <w:rFonts w:cs="Times New Roman"/>
        </w:rPr>
        <w:t>生态山水人文景观风貌</w:t>
      </w:r>
    </w:p>
    <w:p w14:paraId="1A07DE8E">
      <w:pPr>
        <w:widowControl/>
        <w:adjustRightInd w:val="0"/>
        <w:snapToGrid w:val="0"/>
        <w:ind w:firstLine="640"/>
        <w:rPr>
          <w:rFonts w:cs="Times New Roman"/>
        </w:rPr>
      </w:pPr>
      <w:r>
        <w:rPr>
          <w:rFonts w:cs="Times New Roman"/>
        </w:rPr>
        <w:t>凸显</w:t>
      </w:r>
      <w:r>
        <w:rPr>
          <w:rFonts w:hint="eastAsia" w:cs="Times New Roman"/>
        </w:rPr>
        <w:t>北甸子</w:t>
      </w:r>
      <w:r>
        <w:rPr>
          <w:rFonts w:cs="Times New Roman"/>
        </w:rPr>
        <w:t>乡的山、水、林、田等资源特色和生态资源优势，体现“自然为基、文化为魂、山水为魄、休闲为肌、度假为体”，打造具有地方特色的“</w:t>
      </w:r>
      <w:r>
        <w:rPr>
          <w:rFonts w:hint="eastAsia" w:cs="Times New Roman"/>
        </w:rPr>
        <w:t>黄金冰谷小镇</w:t>
      </w:r>
      <w:r>
        <w:rPr>
          <w:rFonts w:cs="Times New Roman"/>
        </w:rPr>
        <w:t>，</w:t>
      </w:r>
      <w:r>
        <w:rPr>
          <w:rFonts w:hint="eastAsia" w:cs="Times New Roman"/>
        </w:rPr>
        <w:t>农旅</w:t>
      </w:r>
      <w:r>
        <w:rPr>
          <w:rFonts w:cs="Times New Roman"/>
        </w:rPr>
        <w:t>体验胜地”，为居民和游客提供一个美丽、宜居、舒适的生活环境。强化自然景观和人文景观的保护与修复，提升观赏性与体验性，为游客提供优质的旅游环境。开展水生态修复工程，打造生态宜居的滨水环境。合理规划绿地系统，推广绿色建筑，加强环境保护。</w:t>
      </w:r>
      <w:r>
        <w:rPr>
          <w:rFonts w:hint="eastAsia" w:cs="Times New Roman"/>
        </w:rPr>
        <w:t>北甸子</w:t>
      </w:r>
      <w:r>
        <w:rPr>
          <w:rFonts w:cs="Times New Roman"/>
        </w:rPr>
        <w:t>乡中心区作为风貌格局塑造和管控的重点地区，遵循“聚团化、多元化”的原则，推动组团式、链条式发展，各组团应注重保护空间特色，维护组团聚集性，融入民俗文化、红色文化，形成多元化的人文空间，严格控制新建超高层建筑。</w:t>
      </w:r>
    </w:p>
    <w:p w14:paraId="0479D5A7">
      <w:pPr>
        <w:pStyle w:val="4"/>
        <w:numPr>
          <w:ilvl w:val="0"/>
          <w:numId w:val="0"/>
        </w:numPr>
        <w:ind w:left="640" w:leftChars="0"/>
        <w:rPr>
          <w:rFonts w:cs="Times New Roman"/>
        </w:rPr>
      </w:pPr>
      <w:r>
        <w:rPr>
          <w:rFonts w:hint="eastAsia" w:cs="Times New Roman"/>
          <w:lang w:val="en-US" w:eastAsia="zh-CN"/>
        </w:rPr>
        <w:t>6.5.2</w:t>
      </w:r>
      <w:r>
        <w:rPr>
          <w:rFonts w:cs="Times New Roman"/>
        </w:rPr>
        <w:t>塑造辽东山区民居特色风貌</w:t>
      </w:r>
    </w:p>
    <w:p w14:paraId="7BB3D971">
      <w:pPr>
        <w:widowControl/>
        <w:adjustRightInd w:val="0"/>
        <w:snapToGrid w:val="0"/>
        <w:ind w:firstLine="640"/>
        <w:rPr>
          <w:rFonts w:cs="Times New Roman"/>
        </w:rPr>
      </w:pPr>
      <w:r>
        <w:rPr>
          <w:rFonts w:cs="Times New Roman"/>
        </w:rPr>
        <w:t>建筑风格、色彩设计总体上应体现新乡镇的现代性和勃勃生机，应通过总体的设计加以适度的引导和规定，使乡镇整体建筑空间健康有序。建筑风格、色彩的选择和运用应注重人工色与自然色的协调，兼顾乡镇的整体功能和分区功能，围绕街道、节点等公共空间，构成生动、活泼的乡镇景观。建筑风貌整体协调，新建商业、工业企业、游客接待建筑主要为现代建筑风格，部分已有建筑改造宜采用朝鲜族传统民居和现代手法相结合的建筑形式。</w:t>
      </w:r>
    </w:p>
    <w:p w14:paraId="3A84A1F3">
      <w:pPr>
        <w:widowControl/>
        <w:adjustRightInd w:val="0"/>
        <w:snapToGrid w:val="0"/>
        <w:ind w:firstLine="640"/>
        <w:rPr>
          <w:rFonts w:cs="Times New Roman"/>
        </w:rPr>
      </w:pPr>
      <w:r>
        <w:rPr>
          <w:rFonts w:cs="Times New Roman"/>
        </w:rPr>
        <w:t>村庄色彩规划控制主要在现状基础上提取色彩元素，确定村庄建筑主体色彩，包括墙面色彩、屋顶色彩以及辅助色彩。村庄整体色彩控制按照单体建筑色彩以暖色调、低亮度色彩为主，并与周围的山水环境和建筑相协调。商业建筑选用较为明亮的色彩，公共建筑以淡黄色墙体红瓦为主，突出其功能性。墙体材料以石料、面砖或涂料为主，限制具有反光效果的材料的运用。注重运用自由灵活的布局、本土的建筑材料、具有乡村特色和地域风格的建筑形式和图案、绿树掩映的方式做出和谐统一、美丽而有特色的建筑风貌。加强农村建筑风貌、色彩和层高的管控，对建筑屋顶、墙面以及门窗等附属设施制定统一的改造方案。积极清除影响村容村貌的临时搭建的简易构筑物。</w:t>
      </w:r>
    </w:p>
    <w:p w14:paraId="3BB90374">
      <w:pPr>
        <w:pStyle w:val="4"/>
        <w:numPr>
          <w:ilvl w:val="0"/>
          <w:numId w:val="0"/>
        </w:numPr>
        <w:ind w:left="640" w:leftChars="0"/>
        <w:rPr>
          <w:rFonts w:cs="Times New Roman"/>
        </w:rPr>
      </w:pPr>
      <w:r>
        <w:rPr>
          <w:rFonts w:hint="eastAsia" w:cs="Times New Roman"/>
          <w:lang w:val="en-US" w:eastAsia="zh-CN"/>
        </w:rPr>
        <w:t>6.5.3</w:t>
      </w:r>
      <w:r>
        <w:rPr>
          <w:rFonts w:cs="Times New Roman"/>
        </w:rPr>
        <w:t>人居环境引导</w:t>
      </w:r>
    </w:p>
    <w:p w14:paraId="0117B6AD">
      <w:pPr>
        <w:widowControl/>
        <w:adjustRightInd w:val="0"/>
        <w:snapToGrid w:val="0"/>
        <w:ind w:firstLine="640"/>
        <w:rPr>
          <w:rFonts w:cs="Times New Roman"/>
        </w:rPr>
      </w:pPr>
      <w:r>
        <w:rPr>
          <w:rFonts w:cs="Times New Roman"/>
        </w:rPr>
        <w:t>落实辽宁省推动美丽乡村建设相关要求，推动宜居宜业和美乡村建设。促进城乡基础设施互联互通，推动农村基础设施提档升级。加快补齐农村基础设施短板，深入推进农村人居环境整治，重点对村内道路、农房改造、环境卫生、村容村貌等要素开展整治提升。完善农村公共服务配套，促进公共教育、医疗卫生、社会保障等资源向农村倾斜，逐步建立健全全民覆盖、普惠共享、城乡一体的基本公共服务体系，推进城乡基本公共服务均等化。</w:t>
      </w:r>
    </w:p>
    <w:p w14:paraId="491A50F4">
      <w:pPr>
        <w:pStyle w:val="2"/>
        <w:spacing w:before="312" w:after="312"/>
        <w:rPr>
          <w:rFonts w:ascii="Times New Roman" w:hAnsi="Times New Roman" w:cs="Times New Roman"/>
        </w:rPr>
      </w:pPr>
      <w:bookmarkStart w:id="62" w:name="_Toc205557238"/>
      <w:bookmarkStart w:id="63" w:name="_Toc27082"/>
      <w:r>
        <w:rPr>
          <w:rFonts w:ascii="Times New Roman" w:hAnsi="Times New Roman" w:cs="Times New Roman"/>
        </w:rPr>
        <w:t>第</w:t>
      </w:r>
      <w:r>
        <w:rPr>
          <w:rFonts w:hint="eastAsia" w:ascii="Times New Roman" w:hAnsi="Times New Roman" w:cs="Times New Roman"/>
          <w:lang w:val="en-US" w:eastAsia="zh-CN"/>
        </w:rPr>
        <w:t>7</w:t>
      </w:r>
      <w:r>
        <w:rPr>
          <w:rFonts w:ascii="Times New Roman" w:hAnsi="Times New Roman" w:cs="Times New Roman"/>
        </w:rPr>
        <w:t>章 生态修复和国土综合整治</w:t>
      </w:r>
      <w:bookmarkEnd w:id="62"/>
      <w:bookmarkEnd w:id="63"/>
    </w:p>
    <w:p w14:paraId="3D05716A">
      <w:pPr>
        <w:pStyle w:val="3"/>
        <w:rPr>
          <w:rFonts w:ascii="Times New Roman" w:hAnsi="Times New Roman" w:cs="Times New Roman"/>
        </w:rPr>
      </w:pPr>
      <w:bookmarkStart w:id="64" w:name="_Toc205557239"/>
      <w:bookmarkStart w:id="65" w:name="_Toc14080"/>
      <w:r>
        <w:rPr>
          <w:rFonts w:hint="eastAsia" w:ascii="Times New Roman" w:hAnsi="Times New Roman" w:cs="Times New Roman"/>
          <w:lang w:val="en-US" w:eastAsia="zh-CN"/>
        </w:rPr>
        <w:t>7.1</w:t>
      </w:r>
      <w:r>
        <w:rPr>
          <w:rFonts w:ascii="Times New Roman" w:hAnsi="Times New Roman" w:cs="Times New Roman"/>
        </w:rPr>
        <w:t xml:space="preserve"> 生态修复</w:t>
      </w:r>
      <w:bookmarkEnd w:id="64"/>
      <w:bookmarkEnd w:id="65"/>
    </w:p>
    <w:p w14:paraId="6F5954A2">
      <w:pPr>
        <w:pStyle w:val="4"/>
        <w:numPr>
          <w:ilvl w:val="0"/>
          <w:numId w:val="0"/>
        </w:numPr>
        <w:ind w:left="640" w:leftChars="0"/>
        <w:rPr>
          <w:rFonts w:cs="Times New Roman"/>
        </w:rPr>
      </w:pPr>
      <w:r>
        <w:rPr>
          <w:rFonts w:hint="eastAsia" w:cs="Times New Roman"/>
          <w:lang w:val="en-US" w:eastAsia="zh-CN"/>
        </w:rPr>
        <w:t>7.1.1</w:t>
      </w:r>
      <w:r>
        <w:rPr>
          <w:rFonts w:cs="Times New Roman"/>
        </w:rPr>
        <w:t>山水林田湖草一体化生态修复</w:t>
      </w:r>
    </w:p>
    <w:p w14:paraId="18C0B07C">
      <w:pPr>
        <w:widowControl/>
        <w:adjustRightInd w:val="0"/>
        <w:snapToGrid w:val="0"/>
        <w:ind w:firstLine="640"/>
        <w:rPr>
          <w:rFonts w:cs="Times New Roman"/>
        </w:rPr>
      </w:pPr>
      <w:r>
        <w:rPr>
          <w:rFonts w:cs="Times New Roman"/>
        </w:rPr>
        <w:t>为解决山水林田湖草各自然要素存在的问题，使生态环境质量得到有效改善，生态功能支撑和生态涵养明显增强，生态系统服务与保障功能、生态廊道系统功能得到提升，设置山水林田湖草一体化生态修复重点工程。</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4ADF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 w:hRule="atLeast"/>
        </w:trPr>
        <w:tc>
          <w:tcPr>
            <w:tcW w:w="5000" w:type="pct"/>
          </w:tcPr>
          <w:p w14:paraId="2B93A5B3">
            <w:pPr>
              <w:pStyle w:val="7"/>
              <w:numPr>
                <w:ilvl w:val="0"/>
                <w:numId w:val="0"/>
              </w:numPr>
              <w:rPr>
                <w:rFonts w:ascii="Times New Roman" w:hAnsi="Times New Roman" w:cs="Times New Roman"/>
                <w:kern w:val="0"/>
              </w:rPr>
            </w:pPr>
            <w:r>
              <w:rPr>
                <w:rFonts w:ascii="Times New Roman" w:hAnsi="Times New Roman" w:cs="Times New Roman"/>
                <w:kern w:val="0"/>
              </w:rPr>
              <w:t>专栏2 山水林田湖草沙一体化生态修复工程</w:t>
            </w:r>
          </w:p>
        </w:tc>
      </w:tr>
      <w:tr w14:paraId="6970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00" w:type="pct"/>
          </w:tcPr>
          <w:p w14:paraId="733E8DD5">
            <w:pPr>
              <w:pStyle w:val="33"/>
              <w:spacing w:line="500" w:lineRule="exact"/>
              <w:ind w:firstLine="560"/>
              <w:jc w:val="both"/>
              <w:rPr>
                <w:rFonts w:cs="Times New Roman"/>
                <w:kern w:val="0"/>
                <w:sz w:val="28"/>
                <w:szCs w:val="21"/>
              </w:rPr>
            </w:pPr>
            <w:r>
              <w:rPr>
                <w:rFonts w:cs="Times New Roman"/>
                <w:kern w:val="0"/>
                <w:sz w:val="28"/>
                <w:szCs w:val="21"/>
              </w:rPr>
              <w:t>1.森林生态修复工程</w:t>
            </w:r>
          </w:p>
          <w:p w14:paraId="209BFB19">
            <w:pPr>
              <w:pStyle w:val="33"/>
              <w:spacing w:line="500" w:lineRule="exact"/>
              <w:ind w:firstLine="560"/>
              <w:jc w:val="both"/>
              <w:rPr>
                <w:rFonts w:cs="Times New Roman"/>
                <w:kern w:val="0"/>
                <w:sz w:val="28"/>
                <w:szCs w:val="21"/>
              </w:rPr>
            </w:pPr>
            <w:r>
              <w:rPr>
                <w:rFonts w:cs="Times New Roman"/>
                <w:kern w:val="0"/>
                <w:sz w:val="28"/>
                <w:szCs w:val="21"/>
              </w:rPr>
              <w:t>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2480BF9B">
            <w:pPr>
              <w:pStyle w:val="33"/>
              <w:spacing w:line="500" w:lineRule="exact"/>
              <w:ind w:firstLine="560"/>
              <w:jc w:val="both"/>
              <w:rPr>
                <w:rFonts w:cs="Times New Roman"/>
                <w:kern w:val="0"/>
                <w:sz w:val="28"/>
                <w:szCs w:val="21"/>
              </w:rPr>
            </w:pPr>
            <w:r>
              <w:rPr>
                <w:rFonts w:cs="Times New Roman"/>
                <w:kern w:val="0"/>
                <w:sz w:val="28"/>
                <w:szCs w:val="21"/>
              </w:rPr>
              <w:t>2.水土流失生态修复工程</w:t>
            </w:r>
          </w:p>
          <w:p w14:paraId="5CE8DD6E">
            <w:pPr>
              <w:pStyle w:val="33"/>
              <w:spacing w:line="500" w:lineRule="exact"/>
              <w:ind w:firstLine="560"/>
              <w:jc w:val="both"/>
              <w:rPr>
                <w:rFonts w:cs="Times New Roman"/>
                <w:kern w:val="0"/>
                <w:sz w:val="28"/>
                <w:szCs w:val="21"/>
              </w:rPr>
            </w:pPr>
            <w:r>
              <w:rPr>
                <w:rFonts w:cs="Times New Roman"/>
                <w:kern w:val="0"/>
                <w:sz w:val="28"/>
                <w:szCs w:val="21"/>
              </w:rPr>
              <w:t>根据水土流失情况和特点，贯彻绿色发展理念，将工程措施、生物措施和农业措施相结合，实施水土保持重点工程，加强重点区域及山洪</w:t>
            </w:r>
            <w:r>
              <w:fldChar w:fldCharType="begin"/>
            </w:r>
            <w:r>
              <w:instrText xml:space="preserve"> HYPERLINK "https://baike.baidu.com/item/%E5%9C%B0%E8%B4%A8%E7%81%BE%E5%AE%B3%E6%98%93%E5%8F%91%E5%8C%BA" \t "https://baike.baidu.com/item/%E4%B8%AD%E5%85%B1%E4%B8%AD%E5%A4%AE%E3%80%81%E5%9B%BD%E5%8A%A1%E9%99%A2%E5%85%B3%E4%BA%8E%E5%8A%A0%E5%BF%AB%E6%B0%B4%E5%88%A9%E6%94%B9%E9%9D%A9%E5%8F%91%E5%B1%95%E7%9A%84%E5%86%B3%E5%AE%9A/_blank" </w:instrText>
            </w:r>
            <w:r>
              <w:fldChar w:fldCharType="separate"/>
            </w:r>
            <w:r>
              <w:rPr>
                <w:rFonts w:cs="Times New Roman"/>
                <w:kern w:val="0"/>
                <w:sz w:val="28"/>
                <w:szCs w:val="21"/>
              </w:rPr>
              <w:t>地质灾害易发区</w:t>
            </w:r>
            <w:r>
              <w:rPr>
                <w:rFonts w:cs="Times New Roman"/>
                <w:kern w:val="0"/>
                <w:sz w:val="28"/>
                <w:szCs w:val="21"/>
              </w:rPr>
              <w:fldChar w:fldCharType="end"/>
            </w:r>
            <w:r>
              <w:rPr>
                <w:rFonts w:cs="Times New Roman"/>
                <w:kern w:val="0"/>
                <w:sz w:val="28"/>
                <w:szCs w:val="21"/>
              </w:rPr>
              <w:t>的水土流失防治。</w:t>
            </w:r>
          </w:p>
          <w:p w14:paraId="25A9C61D">
            <w:pPr>
              <w:pStyle w:val="33"/>
              <w:spacing w:line="500" w:lineRule="exact"/>
              <w:ind w:firstLine="560"/>
              <w:jc w:val="both"/>
              <w:rPr>
                <w:rFonts w:cs="Times New Roman"/>
                <w:kern w:val="0"/>
                <w:sz w:val="28"/>
                <w:szCs w:val="21"/>
              </w:rPr>
            </w:pPr>
            <w:r>
              <w:rPr>
                <w:rFonts w:cs="Times New Roman"/>
                <w:kern w:val="0"/>
                <w:sz w:val="28"/>
                <w:szCs w:val="21"/>
              </w:rPr>
              <w:t>3.水环境和水生态修复工程</w:t>
            </w:r>
          </w:p>
          <w:p w14:paraId="2244DCBD">
            <w:pPr>
              <w:pStyle w:val="33"/>
              <w:spacing w:line="500" w:lineRule="exact"/>
              <w:ind w:firstLine="560"/>
              <w:jc w:val="both"/>
              <w:rPr>
                <w:rFonts w:cs="Times New Roman"/>
                <w:kern w:val="0"/>
                <w:sz w:val="28"/>
                <w:szCs w:val="21"/>
              </w:rPr>
            </w:pPr>
            <w:r>
              <w:rPr>
                <w:rFonts w:cs="Times New Roman"/>
                <w:kern w:val="0"/>
                <w:sz w:val="28"/>
                <w:szCs w:val="21"/>
              </w:rPr>
              <w:t>积极推进水环境和水生态修复，严格控制污染源，加强河道治理工程。做好防洪堤修建工作，建立河长制，负责组织领导相应河流的管理和保护工作。</w:t>
            </w:r>
          </w:p>
          <w:p w14:paraId="6D39D807">
            <w:pPr>
              <w:pStyle w:val="33"/>
              <w:spacing w:line="500" w:lineRule="exact"/>
              <w:ind w:firstLine="560"/>
              <w:jc w:val="both"/>
              <w:rPr>
                <w:rFonts w:cs="Times New Roman"/>
                <w:kern w:val="0"/>
                <w:sz w:val="28"/>
                <w:szCs w:val="21"/>
              </w:rPr>
            </w:pPr>
            <w:r>
              <w:rPr>
                <w:rFonts w:cs="Times New Roman"/>
                <w:kern w:val="0"/>
                <w:sz w:val="28"/>
                <w:szCs w:val="21"/>
              </w:rPr>
              <w:t>4.湿地生态修复工程</w:t>
            </w:r>
          </w:p>
          <w:p w14:paraId="29CBA212">
            <w:pPr>
              <w:pStyle w:val="33"/>
              <w:spacing w:line="500" w:lineRule="exact"/>
              <w:ind w:firstLine="560"/>
              <w:jc w:val="both"/>
              <w:rPr>
                <w:rFonts w:cs="Times New Roman"/>
                <w:kern w:val="0"/>
                <w:szCs w:val="28"/>
              </w:rPr>
            </w:pPr>
            <w:r>
              <w:rPr>
                <w:rFonts w:cs="Times New Roman"/>
                <w:kern w:val="0"/>
                <w:sz w:val="28"/>
                <w:szCs w:val="21"/>
              </w:rPr>
              <w:t>加强对湿地生态系统保护修复，通过实施湿地恢复与综合治理工程，改善湿地生态质量，提高湿地生态系统完整性和稳定性。推进小微湿地建设，开展湿地公园建设，打造生态景观水系，改善河流水质。</w:t>
            </w:r>
          </w:p>
        </w:tc>
      </w:tr>
    </w:tbl>
    <w:p w14:paraId="44ECCD07">
      <w:pPr>
        <w:pStyle w:val="4"/>
        <w:numPr>
          <w:ilvl w:val="0"/>
          <w:numId w:val="0"/>
        </w:numPr>
        <w:ind w:left="640" w:leftChars="0"/>
        <w:rPr>
          <w:rFonts w:cs="Times New Roman"/>
        </w:rPr>
      </w:pPr>
      <w:r>
        <w:rPr>
          <w:rFonts w:hint="eastAsia" w:cs="Times New Roman"/>
          <w:lang w:val="en-US" w:eastAsia="zh-CN"/>
        </w:rPr>
        <w:t>7.1.2</w:t>
      </w:r>
      <w:r>
        <w:rPr>
          <w:rFonts w:cs="Times New Roman"/>
        </w:rPr>
        <w:t>土壤污染生态修复</w:t>
      </w:r>
    </w:p>
    <w:p w14:paraId="65A326DD">
      <w:pPr>
        <w:widowControl/>
        <w:adjustRightInd w:val="0"/>
        <w:snapToGrid w:val="0"/>
        <w:ind w:firstLine="640"/>
        <w:rPr>
          <w:rFonts w:cs="Times New Roman"/>
          <w:color w:val="000000"/>
        </w:rPr>
      </w:pPr>
      <w:r>
        <w:rPr>
          <w:rFonts w:cs="Times New Roman"/>
          <w:color w:val="000000"/>
        </w:rPr>
        <w:t>加强土壤污染防治，积极推进污染土壤阻控修复，在土壤污染地区内实施土壤污染生态修复工程，建设农田生态沟渠、污水净化池等设施，净化地表径流及农田灌排水，优化种植结构，改善土壤环境，提升土壤质量。</w:t>
      </w:r>
    </w:p>
    <w:p w14:paraId="6C099DCB">
      <w:pPr>
        <w:pStyle w:val="4"/>
        <w:numPr>
          <w:ilvl w:val="0"/>
          <w:numId w:val="0"/>
        </w:numPr>
        <w:ind w:left="640" w:leftChars="0"/>
        <w:rPr>
          <w:rFonts w:cs="Times New Roman"/>
        </w:rPr>
      </w:pPr>
      <w:r>
        <w:rPr>
          <w:rFonts w:hint="eastAsia" w:cs="Times New Roman"/>
          <w:lang w:val="en-US" w:eastAsia="zh-CN"/>
        </w:rPr>
        <w:t>7.1.3</w:t>
      </w:r>
      <w:r>
        <w:rPr>
          <w:rFonts w:cs="Times New Roman"/>
        </w:rPr>
        <w:t>重大自然灾害生态修复</w:t>
      </w:r>
    </w:p>
    <w:p w14:paraId="470154BA">
      <w:pPr>
        <w:widowControl/>
        <w:adjustRightInd w:val="0"/>
        <w:snapToGrid w:val="0"/>
        <w:ind w:firstLine="640"/>
        <w:rPr>
          <w:rFonts w:cs="Times New Roman"/>
        </w:rPr>
      </w:pPr>
      <w:r>
        <w:rPr>
          <w:rFonts w:cs="Times New Roman"/>
        </w:rPr>
        <w:t>对重大自然灾害损毁土地进行评价并分类，对可复垦利用的土地，实施复垦工程。加强耕地抗灾能力建设，减少耕地灾毁数量。采取工程措施对损毁土地内的田、水、路、林及受损的生态环境等进行整治和恢复，使损毁土地恢复生态功能。</w:t>
      </w:r>
    </w:p>
    <w:p w14:paraId="55D6A713">
      <w:pPr>
        <w:pStyle w:val="3"/>
        <w:rPr>
          <w:rFonts w:ascii="Times New Roman" w:hAnsi="Times New Roman" w:cs="Times New Roman"/>
        </w:rPr>
      </w:pPr>
      <w:bookmarkStart w:id="66" w:name="_Toc205557240"/>
      <w:bookmarkStart w:id="67" w:name="_Toc22625"/>
      <w:r>
        <w:rPr>
          <w:rFonts w:hint="eastAsia" w:ascii="Times New Roman" w:hAnsi="Times New Roman" w:cs="Times New Roman"/>
          <w:lang w:val="en-US" w:eastAsia="zh-CN"/>
        </w:rPr>
        <w:t>7.2</w:t>
      </w:r>
      <w:r>
        <w:rPr>
          <w:rFonts w:ascii="Times New Roman" w:hAnsi="Times New Roman" w:cs="Times New Roman"/>
        </w:rPr>
        <w:t xml:space="preserve"> 国土综合整治</w:t>
      </w:r>
      <w:bookmarkEnd w:id="66"/>
      <w:bookmarkEnd w:id="67"/>
    </w:p>
    <w:p w14:paraId="68E415AE">
      <w:pPr>
        <w:pStyle w:val="4"/>
        <w:numPr>
          <w:ilvl w:val="0"/>
          <w:numId w:val="0"/>
        </w:numPr>
        <w:ind w:left="640" w:leftChars="0"/>
        <w:rPr>
          <w:rFonts w:eastAsia="楷体" w:cs="Times New Roman"/>
        </w:rPr>
      </w:pPr>
      <w:r>
        <w:rPr>
          <w:rFonts w:hint="eastAsia" w:cs="Times New Roman"/>
          <w:lang w:val="en-US" w:eastAsia="zh-CN"/>
        </w:rPr>
        <w:t>7.2.1</w:t>
      </w:r>
      <w:r>
        <w:rPr>
          <w:rFonts w:cs="Times New Roman"/>
        </w:rPr>
        <w:t>建设用地综合整治</w:t>
      </w:r>
    </w:p>
    <w:p w14:paraId="3F4F6A86">
      <w:pPr>
        <w:widowControl/>
        <w:adjustRightInd w:val="0"/>
        <w:snapToGrid w:val="0"/>
        <w:ind w:firstLine="640"/>
        <w:rPr>
          <w:rFonts w:cs="Times New Roman"/>
        </w:rPr>
      </w:pPr>
      <w:r>
        <w:rPr>
          <w:rFonts w:cs="Times New Roman"/>
        </w:rPr>
        <w:t>实施</w:t>
      </w:r>
      <w:r>
        <w:rPr>
          <w:rFonts w:hint="eastAsia" w:cs="Times New Roman"/>
        </w:rPr>
        <w:t>“</w:t>
      </w:r>
      <w:r>
        <w:rPr>
          <w:rFonts w:cs="Times New Roman"/>
        </w:rPr>
        <w:t>严控总量、盘活存量、精准调控、提质增效</w:t>
      </w:r>
      <w:r>
        <w:rPr>
          <w:rFonts w:hint="eastAsia" w:cs="Times New Roman"/>
        </w:rPr>
        <w:t>”</w:t>
      </w:r>
      <w:r>
        <w:rPr>
          <w:rFonts w:cs="Times New Roman"/>
        </w:rPr>
        <w:t>的建设用地优化策略，推进城镇更新治理进程，促进低效建设用地开发再利用，以旧居住用地、旧产业用地、旧村用地、其他用地等为重点对象，促进低效建设用地重新利用，推动城镇分类整治、盘活低效、存量建设用地、违法建设综合治理机制，增加流量建设用地面积，提升土地节约集约利用率，提高建设用地地均产值。</w:t>
      </w:r>
    </w:p>
    <w:p w14:paraId="560F36BC">
      <w:pPr>
        <w:widowControl/>
        <w:adjustRightInd w:val="0"/>
        <w:snapToGrid w:val="0"/>
        <w:ind w:firstLine="640"/>
        <w:rPr>
          <w:rFonts w:cs="Times New Roman"/>
        </w:rPr>
      </w:pPr>
      <w:r>
        <w:rPr>
          <w:rFonts w:cs="Times New Roman"/>
        </w:rPr>
        <w:t>优化城乡建设用地空间格局，引导建设用地由</w:t>
      </w:r>
      <w:r>
        <w:rPr>
          <w:rFonts w:hint="eastAsia" w:cs="Times New Roman"/>
        </w:rPr>
        <w:t>“</w:t>
      </w:r>
      <w:r>
        <w:rPr>
          <w:rFonts w:cs="Times New Roman"/>
        </w:rPr>
        <w:t>增量扩张</w:t>
      </w:r>
      <w:r>
        <w:rPr>
          <w:rFonts w:hint="eastAsia" w:cs="Times New Roman"/>
        </w:rPr>
        <w:t>”</w:t>
      </w:r>
      <w:r>
        <w:rPr>
          <w:rFonts w:cs="Times New Roman"/>
        </w:rPr>
        <w:t>向</w:t>
      </w:r>
      <w:r>
        <w:rPr>
          <w:rFonts w:hint="eastAsia" w:cs="Times New Roman"/>
        </w:rPr>
        <w:t>“</w:t>
      </w:r>
      <w:r>
        <w:rPr>
          <w:rFonts w:cs="Times New Roman"/>
        </w:rPr>
        <w:t>增存并举</w:t>
      </w:r>
      <w:r>
        <w:rPr>
          <w:rFonts w:hint="eastAsia" w:cs="Times New Roman"/>
        </w:rPr>
        <w:t>”</w:t>
      </w:r>
      <w:r>
        <w:rPr>
          <w:rFonts w:cs="Times New Roman"/>
        </w:rPr>
        <w:t>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w:t>
      </w:r>
    </w:p>
    <w:p w14:paraId="364E7E51">
      <w:pPr>
        <w:pStyle w:val="4"/>
        <w:numPr>
          <w:ilvl w:val="0"/>
          <w:numId w:val="0"/>
        </w:numPr>
        <w:ind w:left="640" w:leftChars="0"/>
        <w:rPr>
          <w:rFonts w:cs="Times New Roman"/>
        </w:rPr>
      </w:pPr>
      <w:r>
        <w:rPr>
          <w:rFonts w:hint="eastAsia" w:cs="Times New Roman"/>
          <w:lang w:val="en-US" w:eastAsia="zh-CN"/>
        </w:rPr>
        <w:t>7.2.2</w:t>
      </w:r>
      <w:r>
        <w:rPr>
          <w:rFonts w:cs="Times New Roman"/>
        </w:rPr>
        <w:t>农村土地综合整治</w:t>
      </w:r>
    </w:p>
    <w:p w14:paraId="468D1B88">
      <w:pPr>
        <w:widowControl/>
        <w:adjustRightInd w:val="0"/>
        <w:snapToGrid w:val="0"/>
        <w:ind w:firstLine="640"/>
        <w:rPr>
          <w:rFonts w:cs="Times New Roman"/>
          <w:szCs w:val="28"/>
        </w:rPr>
      </w:pPr>
      <w:bookmarkStart w:id="68" w:name="_Hlk151908821"/>
      <w:r>
        <w:rPr>
          <w:rFonts w:cs="Times New Roman"/>
        </w:rPr>
        <w:t>统筹推进</w:t>
      </w:r>
      <w:r>
        <w:rPr>
          <w:rFonts w:hint="eastAsia" w:cs="Times New Roman"/>
        </w:rPr>
        <w:t>北甸子</w:t>
      </w:r>
      <w:r>
        <w:rPr>
          <w:rFonts w:cs="Times New Roman"/>
        </w:rPr>
        <w:t>乡全域全要素的国土综合整治及生态系统保护和修复</w:t>
      </w:r>
      <w:bookmarkEnd w:id="68"/>
      <w:r>
        <w:rPr>
          <w:rFonts w:cs="Times New Roman"/>
        </w:rPr>
        <w:t>工作，布置农用地整理、乡村建设用地整理、乡村生态保护修复的重点建设工程</w:t>
      </w:r>
      <w:r>
        <w:rPr>
          <w:rFonts w:cs="Times New Roman"/>
          <w:szCs w:val="28"/>
        </w:rPr>
        <w:t>，整体推进乡村地区耕地质量提升、建设用地集约利用、山水林田湖草系统保护修复工作实施。</w:t>
      </w:r>
    </w:p>
    <w:p w14:paraId="6B05DA12">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——农用地整理</w:t>
      </w:r>
    </w:p>
    <w:p w14:paraId="57FC3770">
      <w:pPr>
        <w:widowControl/>
        <w:adjustRightInd w:val="0"/>
        <w:snapToGrid w:val="0"/>
        <w:ind w:firstLine="640"/>
        <w:rPr>
          <w:rFonts w:cs="Times New Roman"/>
          <w:szCs w:val="28"/>
        </w:rPr>
      </w:pPr>
      <w:r>
        <w:rPr>
          <w:rFonts w:cs="Times New Roman"/>
          <w:szCs w:val="28"/>
        </w:rPr>
        <w:t>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w:t>
      </w:r>
    </w:p>
    <w:p w14:paraId="0E99C3F0">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——农村建设用地整理</w:t>
      </w:r>
    </w:p>
    <w:p w14:paraId="65FD807A">
      <w:pPr>
        <w:widowControl/>
        <w:adjustRightInd w:val="0"/>
        <w:snapToGrid w:val="0"/>
        <w:ind w:firstLine="640"/>
        <w:rPr>
          <w:rFonts w:cs="Times New Roman"/>
        </w:rPr>
      </w:pPr>
      <w:r>
        <w:rPr>
          <w:rFonts w:cs="Times New Roman"/>
        </w:rPr>
        <w:t>充分尊重农民意愿，开展农村建设用地整理，推进城乡建设用地增减挂钩，优先配套和完善村庄的道路交通、给水排水、电力电讯、污水及垃圾处理等基础设施和教育、医疗卫生、文化等公共服务设施，保障人居环境建设。腾出的建设用地指标优先用于支持农村一二三产业融合发展，并因地制宜，适度增加耕地面积。规划期内在全域范围内重点挖潜村庄内部低效、闲置建设用地，提高建设用地节约集约利用程度，提升农村建设用地质量。</w:t>
      </w:r>
    </w:p>
    <w:p w14:paraId="5DF96922">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——宜耕后备土地资源开发</w:t>
      </w:r>
    </w:p>
    <w:p w14:paraId="6769E9B9">
      <w:pPr>
        <w:widowControl/>
        <w:adjustRightInd w:val="0"/>
        <w:snapToGrid w:val="0"/>
        <w:ind w:firstLine="640"/>
        <w:rPr>
          <w:rFonts w:cs="Times New Roman"/>
        </w:rPr>
      </w:pPr>
      <w:r>
        <w:rPr>
          <w:rFonts w:cs="Times New Roman"/>
        </w:rPr>
        <w:t>在保护和改善生态环境的前提下，依据土地适宜性条件，有序推进宜耕后备资源开发，通过工程措施，将项目区开垦成为高产田、稳产田，以增加有效耕地面积，适当增加园地、林地等农用地面积，提升粮食产量，保障粮食安全，控制土壤退化现象，涵养水源、防止水土流失，促进生态环境的可持续发展。</w:t>
      </w:r>
    </w:p>
    <w:p w14:paraId="2A165AA8">
      <w:pPr>
        <w:pStyle w:val="6"/>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——农村生态环境修复</w:t>
      </w:r>
    </w:p>
    <w:p w14:paraId="45624F44">
      <w:pPr>
        <w:widowControl/>
        <w:adjustRightInd w:val="0"/>
        <w:snapToGrid w:val="0"/>
        <w:ind w:firstLine="640"/>
        <w:jc w:val="left"/>
        <w:rPr>
          <w:rFonts w:cs="Times New Roman"/>
        </w:rPr>
      </w:pPr>
      <w:r>
        <w:rPr>
          <w:rFonts w:cs="Times New Roman"/>
        </w:rPr>
        <w:t>尊重和保护村域内原有的地形地貌，全面推进农村环境整治，加强农村面源污染整治力度。完善交通两侧生态廊道体系，实施道路绿化工程，实施中小河流治理工程，推进安全饮水工程，优化农村水系、林网、绿道等生态空间，促进人与自然和谐共生。</w:t>
      </w:r>
    </w:p>
    <w:p w14:paraId="61D470D6">
      <w:pPr>
        <w:widowControl/>
        <w:adjustRightInd w:val="0"/>
        <w:snapToGrid w:val="0"/>
        <w:ind w:firstLine="640"/>
        <w:rPr>
          <w:rFonts w:cs="Times New Roman"/>
        </w:rPr>
      </w:pPr>
    </w:p>
    <w:p w14:paraId="1299CE2A">
      <w:pPr>
        <w:widowControl/>
        <w:adjustRightInd w:val="0"/>
        <w:snapToGrid w:val="0"/>
        <w:ind w:firstLine="640"/>
        <w:rPr>
          <w:rFonts w:cs="Times New Roman"/>
        </w:rPr>
      </w:pPr>
    </w:p>
    <w:p w14:paraId="4A7719AC">
      <w:pPr>
        <w:pStyle w:val="2"/>
        <w:spacing w:before="312" w:after="312"/>
        <w:rPr>
          <w:rFonts w:ascii="Times New Roman" w:hAnsi="Times New Roman" w:cs="Times New Roman"/>
        </w:rPr>
      </w:pPr>
      <w:bookmarkStart w:id="69" w:name="_Toc205557241"/>
      <w:bookmarkStart w:id="70" w:name="_Toc5536"/>
      <w:r>
        <w:rPr>
          <w:rFonts w:ascii="Times New Roman" w:hAnsi="Times New Roman" w:cs="Times New Roman"/>
        </w:rPr>
        <w:t>第</w:t>
      </w:r>
      <w:r>
        <w:rPr>
          <w:rFonts w:hint="eastAsia" w:ascii="Times New Roman" w:hAnsi="Times New Roman" w:cs="Times New Roman"/>
          <w:lang w:val="en-US" w:eastAsia="zh-CN"/>
        </w:rPr>
        <w:t>8</w:t>
      </w:r>
      <w:r>
        <w:rPr>
          <w:rFonts w:ascii="Times New Roman" w:hAnsi="Times New Roman" w:cs="Times New Roman"/>
        </w:rPr>
        <w:t>章 乡中心区功能布局与规划管控</w:t>
      </w:r>
      <w:bookmarkEnd w:id="69"/>
      <w:bookmarkEnd w:id="70"/>
      <w:r>
        <w:rPr>
          <w:rFonts w:ascii="Times New Roman" w:hAnsi="Times New Roman" w:cs="Times New Roman"/>
        </w:rPr>
        <w:t xml:space="preserve"> </w:t>
      </w:r>
    </w:p>
    <w:p w14:paraId="528F7AB9">
      <w:pPr>
        <w:pStyle w:val="3"/>
        <w:rPr>
          <w:rFonts w:ascii="Times New Roman" w:hAnsi="Times New Roman" w:cs="Times New Roman"/>
        </w:rPr>
      </w:pPr>
      <w:bookmarkStart w:id="71" w:name="_Toc1130"/>
      <w:bookmarkStart w:id="72" w:name="_Toc205557242"/>
      <w:r>
        <w:rPr>
          <w:rFonts w:hint="eastAsia" w:ascii="Times New Roman" w:hAnsi="Times New Roman" w:cs="Times New Roman"/>
          <w:lang w:val="en-US" w:eastAsia="zh-CN"/>
        </w:rPr>
        <w:t>8.1</w:t>
      </w:r>
      <w:r>
        <w:rPr>
          <w:rFonts w:ascii="Times New Roman" w:hAnsi="Times New Roman" w:cs="Times New Roman"/>
        </w:rPr>
        <w:t xml:space="preserve"> 规划分区与用途管制</w:t>
      </w:r>
      <w:bookmarkEnd w:id="71"/>
      <w:bookmarkEnd w:id="72"/>
    </w:p>
    <w:p w14:paraId="01AFCDC3">
      <w:pPr>
        <w:pStyle w:val="4"/>
        <w:numPr>
          <w:ilvl w:val="0"/>
          <w:numId w:val="0"/>
        </w:numPr>
        <w:ind w:left="640" w:leftChars="0"/>
        <w:rPr>
          <w:rFonts w:cs="Times New Roman"/>
        </w:rPr>
      </w:pPr>
      <w:r>
        <w:rPr>
          <w:rFonts w:hint="eastAsia" w:cs="Times New Roman"/>
          <w:lang w:val="en-US" w:eastAsia="zh-CN"/>
        </w:rPr>
        <w:t>8.1.1</w:t>
      </w:r>
      <w:r>
        <w:rPr>
          <w:rFonts w:cs="Times New Roman"/>
        </w:rPr>
        <w:t>规划分区</w:t>
      </w:r>
    </w:p>
    <w:p w14:paraId="46484C2B">
      <w:pPr>
        <w:ind w:firstLine="640"/>
        <w:rPr>
          <w:rFonts w:hint="default" w:eastAsia="仿宋_GB2312" w:cs="Times New Roman"/>
          <w:lang w:val="en-US" w:eastAsia="zh-CN"/>
        </w:rPr>
      </w:pPr>
      <w:r>
        <w:rPr>
          <w:rFonts w:cs="Times New Roman"/>
        </w:rPr>
        <w:t>结合乡中心区空间结构，优化功能布局，将乡中心区细化为居住生活区、综合服务区、商业商务区、绿地休闲区、工业发展区</w:t>
      </w:r>
      <w:r>
        <w:rPr>
          <w:rFonts w:hint="eastAsia" w:cs="Times New Roman"/>
          <w:lang w:eastAsia="zh-CN"/>
        </w:rPr>
        <w:t>、</w:t>
      </w:r>
      <w:r>
        <w:rPr>
          <w:rFonts w:hint="eastAsia" w:cs="Times New Roman"/>
          <w:lang w:val="en-US" w:eastAsia="zh-CN"/>
        </w:rPr>
        <w:t>交通枢纽区、物流仓储区</w:t>
      </w:r>
      <w:r>
        <w:rPr>
          <w:rFonts w:cs="Times New Roman"/>
        </w:rPr>
        <w:t>等</w:t>
      </w:r>
      <w:r>
        <w:rPr>
          <w:rFonts w:hint="eastAsia" w:cs="Times New Roman"/>
          <w:lang w:val="en-US" w:eastAsia="zh-CN"/>
        </w:rPr>
        <w:t>7</w:t>
      </w:r>
      <w:r>
        <w:rPr>
          <w:rFonts w:cs="Times New Roman"/>
        </w:rPr>
        <w:t>类分区。其中居住生活区</w:t>
      </w:r>
      <w:r>
        <w:rPr>
          <w:rFonts w:hint="eastAsia" w:cs="Times New Roman"/>
        </w:rPr>
        <w:t>8.75</w:t>
      </w:r>
      <w:r>
        <w:rPr>
          <w:rFonts w:cs="Times New Roman"/>
        </w:rPr>
        <w:t>公顷，重点提升和完善配套设施，增加公共空间，提升居住环境质量；综合服务区</w:t>
      </w:r>
      <w:r>
        <w:rPr>
          <w:rFonts w:hint="eastAsia" w:cs="Times New Roman"/>
        </w:rPr>
        <w:t>10.84</w:t>
      </w:r>
      <w:r>
        <w:rPr>
          <w:rFonts w:cs="Times New Roman"/>
        </w:rPr>
        <w:t>公顷，应完善公共服务设施体系，充分考虑服务半径，打造中心区特色和标志性空间；商业商务区</w:t>
      </w:r>
      <w:r>
        <w:rPr>
          <w:rFonts w:hint="eastAsia" w:cs="Times New Roman"/>
        </w:rPr>
        <w:t>4.17</w:t>
      </w:r>
      <w:r>
        <w:rPr>
          <w:rFonts w:cs="Times New Roman"/>
        </w:rPr>
        <w:t>公顷，以提供商业休闲、商务办公为主要功能导向；绿地休闲区</w:t>
      </w:r>
      <w:r>
        <w:rPr>
          <w:rFonts w:hint="eastAsia" w:cs="Times New Roman"/>
        </w:rPr>
        <w:t>0.69</w:t>
      </w:r>
      <w:r>
        <w:rPr>
          <w:rFonts w:cs="Times New Roman"/>
        </w:rPr>
        <w:t>公顷，应加强品质建设，打造舒适宜人的城镇公共空间；工业发展区</w:t>
      </w:r>
      <w:r>
        <w:rPr>
          <w:rFonts w:hint="eastAsia" w:cs="Times New Roman"/>
          <w:lang w:val="en-US" w:eastAsia="zh-CN"/>
        </w:rPr>
        <w:t>10.11</w:t>
      </w:r>
      <w:r>
        <w:rPr>
          <w:rFonts w:cs="Times New Roman"/>
        </w:rPr>
        <w:t>公顷，应引导新增工矿用地向产业</w:t>
      </w:r>
      <w:r>
        <w:rPr>
          <w:rFonts w:hint="eastAsia" w:cs="Times New Roman"/>
          <w:lang w:val="en-US" w:eastAsia="zh-CN"/>
        </w:rPr>
        <w:t>园</w:t>
      </w:r>
      <w:r>
        <w:rPr>
          <w:rFonts w:cs="Times New Roman"/>
        </w:rPr>
        <w:t>区集中布局，加强产城融合与产业区服务配套建设。</w:t>
      </w:r>
      <w:r>
        <w:rPr>
          <w:rFonts w:hint="eastAsia" w:cs="Times New Roman"/>
          <w:lang w:val="en-US" w:eastAsia="zh-CN"/>
        </w:rPr>
        <w:t>交通枢纽</w:t>
      </w:r>
      <w:r>
        <w:rPr>
          <w:rFonts w:cs="Times New Roman"/>
        </w:rPr>
        <w:t>区</w:t>
      </w:r>
      <w:r>
        <w:rPr>
          <w:rFonts w:hint="eastAsia" w:cs="Times New Roman"/>
        </w:rPr>
        <w:t>5.48</w:t>
      </w:r>
      <w:r>
        <w:rPr>
          <w:rFonts w:cs="Times New Roman"/>
        </w:rPr>
        <w:t>公顷，</w:t>
      </w:r>
      <w:r>
        <w:rPr>
          <w:rFonts w:hint="eastAsia" w:cs="Times New Roman"/>
          <w:lang w:val="en-US" w:eastAsia="zh-CN"/>
        </w:rPr>
        <w:t>物流仓储区1.35公顷。</w:t>
      </w:r>
    </w:p>
    <w:p w14:paraId="5CFAE8D0">
      <w:pPr>
        <w:pStyle w:val="4"/>
        <w:numPr>
          <w:ilvl w:val="0"/>
          <w:numId w:val="0"/>
        </w:numPr>
        <w:ind w:left="640" w:leftChars="0"/>
        <w:rPr>
          <w:rFonts w:cs="Times New Roman"/>
        </w:rPr>
      </w:pPr>
      <w:r>
        <w:rPr>
          <w:rFonts w:hint="eastAsia" w:cs="Times New Roman"/>
          <w:lang w:val="en-US" w:eastAsia="zh-CN"/>
        </w:rPr>
        <w:t>8.1.2</w:t>
      </w:r>
      <w:r>
        <w:rPr>
          <w:rFonts w:cs="Times New Roman"/>
        </w:rPr>
        <w:t>用途管制</w:t>
      </w:r>
    </w:p>
    <w:p w14:paraId="3701EEFE">
      <w:pPr>
        <w:ind w:firstLine="640"/>
        <w:rPr>
          <w:rFonts w:cs="Times New Roman"/>
        </w:rPr>
      </w:pPr>
      <w:r>
        <w:rPr>
          <w:rFonts w:cs="Times New Roman"/>
        </w:rPr>
        <w:t>根据规划分区确定差异化的城镇布局形态。规划分区内实行土地用途管制，需要在“详细规划”中明确国土用途规划方案和具体控制指标和要求。鼓励在分区范围内探索用地集约复合开发模式。居住区应在区内保障一定比例配套社区服务设施用地，并注重构建15分钟生活圈，注重临街商业活力塑造以及社区服务中心、社区公园的建设。商业商务区功能应集约紧凑，满足服务等级、规模及类型要求，注重连续步行空间的营造和小型公共空间的设置，通过建筑高度的变化打造高低错落、疏密有致的天际线。工业发展区应严格遵守环保要求，降低工业及物流仓储功能对城市居住、公共环境、交通等的干扰，同时注重完善公共服务设施配套，推进产业社区服务中心建设。</w:t>
      </w:r>
    </w:p>
    <w:p w14:paraId="30CCBD37">
      <w:pPr>
        <w:pStyle w:val="3"/>
        <w:rPr>
          <w:rFonts w:ascii="Times New Roman" w:hAnsi="Times New Roman" w:cs="Times New Roman"/>
        </w:rPr>
      </w:pPr>
      <w:bookmarkStart w:id="73" w:name="_Toc175064683"/>
      <w:bookmarkStart w:id="74" w:name="_Toc25703"/>
      <w:bookmarkStart w:id="75" w:name="_Toc205557243"/>
      <w:r>
        <w:rPr>
          <w:rFonts w:hint="eastAsia" w:ascii="Times New Roman" w:hAnsi="Times New Roman" w:cs="Times New Roman"/>
          <w:lang w:val="en-US" w:eastAsia="zh-CN"/>
        </w:rPr>
        <w:t>8.2</w:t>
      </w:r>
      <w:r>
        <w:rPr>
          <w:rFonts w:ascii="Times New Roman" w:hAnsi="Times New Roman" w:cs="Times New Roman"/>
        </w:rPr>
        <w:t xml:space="preserve"> 用地结构和布局</w:t>
      </w:r>
      <w:bookmarkEnd w:id="73"/>
      <w:bookmarkEnd w:id="74"/>
      <w:bookmarkEnd w:id="75"/>
    </w:p>
    <w:p w14:paraId="32271432">
      <w:pPr>
        <w:pStyle w:val="4"/>
        <w:numPr>
          <w:ilvl w:val="0"/>
          <w:numId w:val="0"/>
        </w:numPr>
        <w:ind w:left="640" w:leftChars="0"/>
        <w:rPr>
          <w:rFonts w:cs="Times New Roman"/>
        </w:rPr>
      </w:pPr>
      <w:r>
        <w:rPr>
          <w:rFonts w:hint="eastAsia" w:cs="Times New Roman"/>
          <w:lang w:val="en-US" w:eastAsia="zh-CN"/>
        </w:rPr>
        <w:t>8.2.1</w:t>
      </w:r>
      <w:r>
        <w:rPr>
          <w:rFonts w:cs="Times New Roman"/>
        </w:rPr>
        <w:t>用地结构</w:t>
      </w:r>
    </w:p>
    <w:p w14:paraId="04918885">
      <w:pPr>
        <w:ind w:firstLine="640"/>
        <w:rPr>
          <w:rFonts w:cs="Times New Roman"/>
        </w:rPr>
      </w:pPr>
      <w:bookmarkStart w:id="76" w:name="OLE_LINK29"/>
      <w:r>
        <w:rPr>
          <w:rFonts w:cs="Times New Roman"/>
        </w:rPr>
        <w:t>规划构建</w:t>
      </w:r>
      <w:r>
        <w:rPr>
          <w:rFonts w:hint="eastAsia" w:cs="Times New Roman"/>
        </w:rPr>
        <w:t>“</w:t>
      </w:r>
      <w:r>
        <w:rPr>
          <w:rFonts w:cs="Times New Roman"/>
        </w:rPr>
        <w:t>一核、一轴、</w:t>
      </w:r>
      <w:r>
        <w:rPr>
          <w:rFonts w:hint="eastAsia" w:cs="Times New Roman"/>
        </w:rPr>
        <w:t>一廊、三</w:t>
      </w:r>
      <w:r>
        <w:rPr>
          <w:rFonts w:cs="Times New Roman"/>
        </w:rPr>
        <w:t>区</w:t>
      </w:r>
      <w:r>
        <w:rPr>
          <w:rFonts w:hint="eastAsia" w:cs="Times New Roman"/>
        </w:rPr>
        <w:t>”</w:t>
      </w:r>
      <w:r>
        <w:rPr>
          <w:rFonts w:cs="Times New Roman"/>
        </w:rPr>
        <w:t>的空间布局结构。</w:t>
      </w:r>
    </w:p>
    <w:p w14:paraId="6D92C866">
      <w:pPr>
        <w:ind w:firstLine="640"/>
        <w:rPr>
          <w:rFonts w:cs="Times New Roman"/>
        </w:rPr>
      </w:pPr>
      <w:r>
        <w:rPr>
          <w:rFonts w:hint="eastAsia" w:cs="Times New Roman"/>
        </w:rPr>
        <w:t>“</w:t>
      </w:r>
      <w:r>
        <w:rPr>
          <w:rFonts w:cs="Times New Roman"/>
        </w:rPr>
        <w:t>一核</w:t>
      </w:r>
      <w:r>
        <w:rPr>
          <w:rFonts w:hint="eastAsia" w:cs="Times New Roman"/>
        </w:rPr>
        <w:t>”</w:t>
      </w:r>
      <w:r>
        <w:rPr>
          <w:rFonts w:cs="Times New Roman"/>
        </w:rPr>
        <w:t>——以乡中心区为核心形成的集行政、文化、商贸等为一体的综合服务中心。</w:t>
      </w:r>
    </w:p>
    <w:p w14:paraId="11155DB4">
      <w:pPr>
        <w:ind w:firstLine="640"/>
        <w:rPr>
          <w:rFonts w:cs="Times New Roman"/>
        </w:rPr>
      </w:pPr>
      <w:r>
        <w:rPr>
          <w:rFonts w:hint="eastAsia" w:cs="Times New Roman"/>
        </w:rPr>
        <w:t>“</w:t>
      </w:r>
      <w:r>
        <w:rPr>
          <w:rFonts w:cs="Times New Roman"/>
        </w:rPr>
        <w:t>一轴</w:t>
      </w:r>
      <w:r>
        <w:rPr>
          <w:rFonts w:hint="eastAsia" w:cs="Times New Roman"/>
        </w:rPr>
        <w:t>”</w:t>
      </w:r>
      <w:r>
        <w:rPr>
          <w:rFonts w:cs="Times New Roman"/>
        </w:rPr>
        <w:t>——以</w:t>
      </w:r>
      <w:r>
        <w:rPr>
          <w:rFonts w:hint="eastAsia" w:cs="Times New Roman"/>
          <w:color w:val="000000"/>
        </w:rPr>
        <w:t>友谊大街</w:t>
      </w:r>
      <w:r>
        <w:rPr>
          <w:rFonts w:cs="Times New Roman"/>
        </w:rPr>
        <w:t>形成的主要对外交通发展轴线。</w:t>
      </w:r>
    </w:p>
    <w:p w14:paraId="6670CFF3">
      <w:pPr>
        <w:ind w:firstLine="640"/>
        <w:rPr>
          <w:rFonts w:cs="Times New Roman"/>
        </w:rPr>
      </w:pPr>
      <w:r>
        <w:rPr>
          <w:rFonts w:hint="eastAsia" w:cs="Times New Roman"/>
        </w:rPr>
        <w:t>“</w:t>
      </w:r>
      <w:r>
        <w:rPr>
          <w:rFonts w:cs="Times New Roman"/>
        </w:rPr>
        <w:t>一</w:t>
      </w:r>
      <w:r>
        <w:rPr>
          <w:rFonts w:hint="eastAsia" w:cs="Times New Roman"/>
        </w:rPr>
        <w:t>廊”</w:t>
      </w:r>
      <w:r>
        <w:rPr>
          <w:rFonts w:cs="Times New Roman"/>
        </w:rPr>
        <w:t>——以</w:t>
      </w:r>
      <w:r>
        <w:rPr>
          <w:rFonts w:hint="eastAsia" w:cs="Times New Roman"/>
          <w:color w:val="000000"/>
        </w:rPr>
        <w:t>河流水面</w:t>
      </w:r>
      <w:r>
        <w:rPr>
          <w:rFonts w:cs="Times New Roman"/>
        </w:rPr>
        <w:t>形成的主要</w:t>
      </w:r>
      <w:r>
        <w:rPr>
          <w:rFonts w:hint="eastAsia" w:cs="Times New Roman"/>
        </w:rPr>
        <w:t>生态发展廊道</w:t>
      </w:r>
      <w:r>
        <w:rPr>
          <w:rFonts w:cs="Times New Roman"/>
        </w:rPr>
        <w:t>。</w:t>
      </w:r>
    </w:p>
    <w:p w14:paraId="5768EB27">
      <w:pPr>
        <w:ind w:firstLine="640"/>
        <w:rPr>
          <w:rFonts w:cs="Times New Roman"/>
        </w:rPr>
      </w:pPr>
      <w:r>
        <w:rPr>
          <w:rFonts w:hint="eastAsia" w:cs="Times New Roman"/>
        </w:rPr>
        <w:t>“</w:t>
      </w:r>
      <w:r>
        <w:rPr>
          <w:rFonts w:cs="Times New Roman"/>
        </w:rPr>
        <w:t>三区</w:t>
      </w:r>
      <w:r>
        <w:rPr>
          <w:rFonts w:hint="eastAsia" w:cs="Times New Roman"/>
        </w:rPr>
        <w:t>”</w:t>
      </w:r>
      <w:r>
        <w:rPr>
          <w:rFonts w:cs="Times New Roman"/>
        </w:rPr>
        <w:t>—— 居住生活区、综合服务区、产业发展区。</w:t>
      </w:r>
    </w:p>
    <w:bookmarkEnd w:id="76"/>
    <w:p w14:paraId="46F68BEA">
      <w:pPr>
        <w:pStyle w:val="4"/>
        <w:numPr>
          <w:ilvl w:val="0"/>
          <w:numId w:val="0"/>
        </w:numPr>
        <w:ind w:left="640" w:leftChars="0"/>
        <w:rPr>
          <w:rFonts w:cs="Times New Roman"/>
        </w:rPr>
      </w:pPr>
      <w:r>
        <w:rPr>
          <w:rFonts w:hint="eastAsia" w:cs="Times New Roman"/>
          <w:lang w:val="en-US" w:eastAsia="zh-CN"/>
        </w:rPr>
        <w:t>8.2.2</w:t>
      </w:r>
      <w:r>
        <w:rPr>
          <w:rFonts w:cs="Times New Roman"/>
        </w:rPr>
        <w:t>用地布局</w:t>
      </w:r>
    </w:p>
    <w:p w14:paraId="5268AC7D">
      <w:pPr>
        <w:ind w:firstLine="640"/>
        <w:rPr>
          <w:rFonts w:cs="Times New Roman"/>
        </w:rPr>
      </w:pPr>
      <w:bookmarkStart w:id="77" w:name="_Hlk131089488"/>
      <w:r>
        <w:rPr>
          <w:rFonts w:cs="Times New Roman"/>
        </w:rPr>
        <w:t>规划至2035年，乡中心区建设用地总计</w:t>
      </w:r>
      <w:r>
        <w:rPr>
          <w:rFonts w:hint="eastAsia" w:cs="Times New Roman"/>
        </w:rPr>
        <w:t>38.96</w:t>
      </w:r>
      <w:r>
        <w:rPr>
          <w:rFonts w:cs="Times New Roman"/>
        </w:rPr>
        <w:t>公顷，其中：</w:t>
      </w:r>
    </w:p>
    <w:p w14:paraId="0082C446">
      <w:pPr>
        <w:ind w:firstLine="640"/>
        <w:rPr>
          <w:rFonts w:cs="Times New Roman"/>
        </w:rPr>
      </w:pPr>
      <w:bookmarkStart w:id="78" w:name="_Hlk184372822"/>
      <w:r>
        <w:rPr>
          <w:rFonts w:cs="Times New Roman"/>
        </w:rPr>
        <w:t>1.居住用地。</w:t>
      </w:r>
      <w:bookmarkStart w:id="79" w:name="_Hlk131087510"/>
      <w:r>
        <w:rPr>
          <w:rFonts w:cs="Times New Roman"/>
        </w:rPr>
        <w:t>新增城镇居住用地规模，保障性住房用地供给，新增住房用地重点向中部居住生活组团倾斜。规划至2035年，居住用地规模控制在</w:t>
      </w:r>
      <w:r>
        <w:rPr>
          <w:rFonts w:hint="eastAsia" w:cs="Times New Roman"/>
        </w:rPr>
        <w:t>9.02</w:t>
      </w:r>
      <w:r>
        <w:rPr>
          <w:rFonts w:cs="Times New Roman"/>
        </w:rPr>
        <w:t>公顷，占建设用地的</w:t>
      </w:r>
      <w:r>
        <w:rPr>
          <w:rFonts w:hint="eastAsia" w:cs="Times New Roman"/>
        </w:rPr>
        <w:t>23.15</w:t>
      </w:r>
      <w:r>
        <w:rPr>
          <w:rFonts w:cs="Times New Roman"/>
        </w:rPr>
        <w:t>%。</w:t>
      </w:r>
      <w:bookmarkEnd w:id="79"/>
    </w:p>
    <w:p w14:paraId="0F5A69AE">
      <w:pPr>
        <w:ind w:firstLine="640"/>
        <w:rPr>
          <w:rFonts w:cs="Times New Roman"/>
        </w:rPr>
      </w:pPr>
      <w:r>
        <w:rPr>
          <w:rFonts w:cs="Times New Roman"/>
        </w:rPr>
        <w:t>2.公共管理与公共服务用地。</w:t>
      </w:r>
      <w:bookmarkStart w:id="80" w:name="_Hlk131087620"/>
      <w:r>
        <w:rPr>
          <w:rFonts w:cs="Times New Roman"/>
        </w:rPr>
        <w:t>存量与增量供给相结合，增加公共管理与公共服务用地，提升城区公共服务品质。规划至2035年，公共管理与公共服务用地</w:t>
      </w:r>
      <w:r>
        <w:rPr>
          <w:rFonts w:hint="eastAsia" w:cs="Times New Roman"/>
        </w:rPr>
        <w:t>10.37</w:t>
      </w:r>
      <w:r>
        <w:rPr>
          <w:rFonts w:cs="Times New Roman"/>
        </w:rPr>
        <w:t>公顷，占建设用地的</w:t>
      </w:r>
      <w:r>
        <w:rPr>
          <w:rFonts w:hint="eastAsia" w:cs="Times New Roman"/>
        </w:rPr>
        <w:t>26.62</w:t>
      </w:r>
      <w:r>
        <w:rPr>
          <w:rFonts w:cs="Times New Roman"/>
        </w:rPr>
        <w:t>%。</w:t>
      </w:r>
      <w:bookmarkEnd w:id="80"/>
    </w:p>
    <w:p w14:paraId="1BF356DE">
      <w:pPr>
        <w:ind w:firstLine="640"/>
        <w:rPr>
          <w:rFonts w:cs="Times New Roman"/>
        </w:rPr>
      </w:pPr>
      <w:r>
        <w:rPr>
          <w:rFonts w:cs="Times New Roman"/>
        </w:rPr>
        <w:t>3.商业服务业用地。增加商业服务业设施用地，吸引人口集聚。规划至2035年，商业服务业用地规模</w:t>
      </w:r>
      <w:r>
        <w:rPr>
          <w:rFonts w:hint="eastAsia" w:cs="Times New Roman"/>
        </w:rPr>
        <w:t>2.35</w:t>
      </w:r>
      <w:r>
        <w:rPr>
          <w:rFonts w:cs="Times New Roman"/>
        </w:rPr>
        <w:t>公顷，占建设用地的</w:t>
      </w:r>
      <w:r>
        <w:rPr>
          <w:rFonts w:hint="eastAsia" w:cs="Times New Roman"/>
        </w:rPr>
        <w:t>6.03</w:t>
      </w:r>
      <w:r>
        <w:rPr>
          <w:rFonts w:cs="Times New Roman"/>
        </w:rPr>
        <w:t>%。</w:t>
      </w:r>
    </w:p>
    <w:p w14:paraId="33A189CA">
      <w:pPr>
        <w:ind w:firstLine="640"/>
        <w:rPr>
          <w:rFonts w:cs="Times New Roman"/>
        </w:rPr>
      </w:pPr>
      <w:r>
        <w:rPr>
          <w:rFonts w:cs="Times New Roman"/>
        </w:rPr>
        <w:t>4.工矿用地。</w:t>
      </w:r>
      <w:bookmarkStart w:id="81" w:name="_Hlk131087713"/>
      <w:r>
        <w:rPr>
          <w:rFonts w:cs="Times New Roman"/>
        </w:rPr>
        <w:t>引导新增工</w:t>
      </w:r>
      <w:r>
        <w:rPr>
          <w:rFonts w:hint="eastAsia" w:cs="Times New Roman"/>
        </w:rPr>
        <w:t>业</w:t>
      </w:r>
      <w:r>
        <w:rPr>
          <w:rFonts w:cs="Times New Roman"/>
        </w:rPr>
        <w:t>用地向产业园区集中布局，促进工</w:t>
      </w:r>
      <w:r>
        <w:rPr>
          <w:rFonts w:hint="eastAsia" w:cs="Times New Roman"/>
        </w:rPr>
        <w:t>业</w:t>
      </w:r>
      <w:r>
        <w:rPr>
          <w:rFonts w:cs="Times New Roman"/>
        </w:rPr>
        <w:t>用地集约高效发展，提高工</w:t>
      </w:r>
      <w:r>
        <w:rPr>
          <w:rFonts w:hint="eastAsia" w:cs="Times New Roman"/>
        </w:rPr>
        <w:t>业</w:t>
      </w:r>
      <w:r>
        <w:rPr>
          <w:rFonts w:cs="Times New Roman"/>
        </w:rPr>
        <w:t>用地效率。大力推进园区建设，逐步腾退和改造与功能不符的工矿用地，特别是零星、低效的工矿用地。规划至2035年，工矿用地</w:t>
      </w:r>
      <w:r>
        <w:rPr>
          <w:rFonts w:hint="eastAsia" w:cs="Times New Roman"/>
        </w:rPr>
        <w:t>8.7</w:t>
      </w:r>
      <w:r>
        <w:rPr>
          <w:rFonts w:cs="Times New Roman"/>
        </w:rPr>
        <w:t>公顷，占建设用地的</w:t>
      </w:r>
      <w:r>
        <w:rPr>
          <w:rFonts w:hint="eastAsia" w:cs="Times New Roman"/>
        </w:rPr>
        <w:t>22.33</w:t>
      </w:r>
      <w:r>
        <w:rPr>
          <w:rFonts w:cs="Times New Roman"/>
        </w:rPr>
        <w:t>%。</w:t>
      </w:r>
      <w:bookmarkEnd w:id="81"/>
    </w:p>
    <w:p w14:paraId="08C85BF6">
      <w:pPr>
        <w:ind w:firstLine="640"/>
        <w:rPr>
          <w:rFonts w:cs="Times New Roman"/>
        </w:rPr>
      </w:pPr>
      <w:r>
        <w:rPr>
          <w:rFonts w:cs="Times New Roman"/>
        </w:rPr>
        <w:t>5.交通运输用地。规划至2035年，交通运输用地</w:t>
      </w:r>
      <w:r>
        <w:rPr>
          <w:rFonts w:hint="eastAsia" w:cs="Times New Roman"/>
        </w:rPr>
        <w:t>5.94</w:t>
      </w:r>
      <w:r>
        <w:rPr>
          <w:rFonts w:cs="Times New Roman"/>
        </w:rPr>
        <w:t>公顷，占建设用地的</w:t>
      </w:r>
      <w:r>
        <w:rPr>
          <w:rFonts w:hint="eastAsia" w:cs="Times New Roman"/>
        </w:rPr>
        <w:t>15.25</w:t>
      </w:r>
      <w:r>
        <w:rPr>
          <w:rFonts w:cs="Times New Roman"/>
        </w:rPr>
        <w:t>%。</w:t>
      </w:r>
    </w:p>
    <w:p w14:paraId="45F3762D">
      <w:pPr>
        <w:ind w:firstLine="640"/>
        <w:rPr>
          <w:rFonts w:cs="Times New Roman"/>
        </w:rPr>
      </w:pPr>
      <w:r>
        <w:rPr>
          <w:rFonts w:cs="Times New Roman"/>
        </w:rPr>
        <w:t>7.公用设施用地。规划至2035年，公用设施用地</w:t>
      </w:r>
      <w:r>
        <w:rPr>
          <w:rFonts w:hint="eastAsia" w:cs="Times New Roman"/>
        </w:rPr>
        <w:t>0.54</w:t>
      </w:r>
      <w:r>
        <w:rPr>
          <w:rFonts w:cs="Times New Roman"/>
        </w:rPr>
        <w:t>公顷，占建设用地的</w:t>
      </w:r>
      <w:r>
        <w:rPr>
          <w:rFonts w:hint="eastAsia" w:cs="Times New Roman"/>
        </w:rPr>
        <w:t>1.39</w:t>
      </w:r>
      <w:r>
        <w:rPr>
          <w:rFonts w:cs="Times New Roman"/>
        </w:rPr>
        <w:t>%。</w:t>
      </w:r>
    </w:p>
    <w:p w14:paraId="1B4A534E">
      <w:pPr>
        <w:ind w:firstLine="640"/>
        <w:rPr>
          <w:rFonts w:cs="Times New Roman"/>
        </w:rPr>
      </w:pPr>
      <w:r>
        <w:rPr>
          <w:rFonts w:cs="Times New Roman"/>
        </w:rPr>
        <w:t>8.绿地与开敞空间用地。增加绿地和开敞空间用地，增补社区级公园，建设绿地和公园体系。规划至2035年，绿地与开敞空间用地</w:t>
      </w:r>
      <w:r>
        <w:rPr>
          <w:rFonts w:hint="eastAsia" w:cs="Times New Roman"/>
        </w:rPr>
        <w:t>0.6</w:t>
      </w:r>
      <w:r>
        <w:rPr>
          <w:rFonts w:cs="Times New Roman"/>
        </w:rPr>
        <w:t>公顷，占建设用地的</w:t>
      </w:r>
      <w:r>
        <w:rPr>
          <w:rFonts w:hint="eastAsia" w:cs="Times New Roman"/>
        </w:rPr>
        <w:t>1.54</w:t>
      </w:r>
      <w:r>
        <w:rPr>
          <w:rFonts w:cs="Times New Roman"/>
        </w:rPr>
        <w:t>%。</w:t>
      </w:r>
    </w:p>
    <w:bookmarkEnd w:id="77"/>
    <w:bookmarkEnd w:id="78"/>
    <w:p w14:paraId="6464D196">
      <w:pPr>
        <w:pStyle w:val="4"/>
        <w:numPr>
          <w:ilvl w:val="0"/>
          <w:numId w:val="0"/>
        </w:numPr>
        <w:ind w:left="640" w:leftChars="0"/>
        <w:rPr>
          <w:rFonts w:cs="Times New Roman"/>
        </w:rPr>
      </w:pPr>
      <w:r>
        <w:rPr>
          <w:rFonts w:hint="eastAsia" w:eastAsia="楷体" w:cs="Times New Roman"/>
          <w:lang w:val="en-US" w:eastAsia="zh-CN"/>
        </w:rPr>
        <w:t>8.2.3</w:t>
      </w:r>
      <w:r>
        <w:rPr>
          <w:rFonts w:eastAsia="楷体" w:cs="Times New Roman"/>
        </w:rPr>
        <w:t>用地兼容性控制</w:t>
      </w:r>
    </w:p>
    <w:p w14:paraId="3E1C81DB">
      <w:pPr>
        <w:widowControl/>
        <w:adjustRightInd w:val="0"/>
        <w:snapToGrid w:val="0"/>
        <w:ind w:firstLine="640"/>
        <w:rPr>
          <w:rFonts w:cs="Times New Roman"/>
        </w:rPr>
      </w:pPr>
      <w:bookmarkStart w:id="82" w:name="_Hlk131090097"/>
      <w:r>
        <w:rPr>
          <w:rFonts w:cs="Times New Roman"/>
        </w:rPr>
        <w:t>为提升乡中心区活力、增加用地性质的弹性，适应市场建设的需求，同时保障公益性设施的建设，对具有较好建设相容性的用地性质提供混合的可能。鼓励功能不冲突、环境要求相似且彼此间没有互相不利影响的用地混合设置。</w:t>
      </w:r>
    </w:p>
    <w:p w14:paraId="535105D3">
      <w:pPr>
        <w:widowControl/>
        <w:adjustRightInd w:val="0"/>
        <w:snapToGrid w:val="0"/>
        <w:ind w:firstLine="640"/>
        <w:rPr>
          <w:rFonts w:cs="Times New Roman"/>
        </w:rPr>
      </w:pPr>
      <w:r>
        <w:rPr>
          <w:rFonts w:cs="Times New Roman"/>
        </w:rPr>
        <w:t>为规范</w:t>
      </w:r>
      <w:r>
        <w:rPr>
          <w:rFonts w:hint="eastAsia" w:cs="Times New Roman"/>
        </w:rPr>
        <w:t>北甸子</w:t>
      </w:r>
      <w:r>
        <w:rPr>
          <w:rFonts w:cs="Times New Roman"/>
        </w:rPr>
        <w:t>乡规划用地兼容性管理，确定北甸子乡土地使用主要兼容内容包括以下情形。</w:t>
      </w:r>
    </w:p>
    <w:p w14:paraId="33020F1B">
      <w:pPr>
        <w:widowControl/>
        <w:adjustRightInd w:val="0"/>
        <w:snapToGrid w:val="0"/>
        <w:ind w:firstLine="640"/>
        <w:rPr>
          <w:rFonts w:cs="Times New Roman"/>
        </w:rPr>
      </w:pPr>
      <w:r>
        <w:rPr>
          <w:rFonts w:cs="Times New Roman"/>
        </w:rPr>
        <w:t>部分兼容：</w:t>
      </w:r>
      <w:r>
        <w:rPr>
          <w:rFonts w:hint="eastAsia" w:cs="Times New Roman"/>
        </w:rPr>
        <w:t>“</w:t>
      </w:r>
      <w:r>
        <w:rPr>
          <w:rFonts w:cs="Times New Roman"/>
        </w:rPr>
        <w:t>部分兼容</w:t>
      </w:r>
      <w:r>
        <w:rPr>
          <w:rFonts w:hint="eastAsia" w:cs="Times New Roman"/>
        </w:rPr>
        <w:t>”</w:t>
      </w:r>
      <w:r>
        <w:rPr>
          <w:rFonts w:cs="Times New Roman"/>
        </w:rPr>
        <w:t>指在地块原规划性质上，混合其他单种性质用地的用地规模比例不超过30%，或混合其他两种及两种以上性质用地的用地规模比例之和不超过40%。相邻连接的同性质用地，可合并考虑兼容比例。被兼容的功能无法进行用地功能分区的，以上兼容比例按建筑规模计算。</w:t>
      </w:r>
    </w:p>
    <w:p w14:paraId="33835023">
      <w:pPr>
        <w:widowControl/>
        <w:adjustRightInd w:val="0"/>
        <w:snapToGrid w:val="0"/>
        <w:ind w:firstLine="640"/>
        <w:rPr>
          <w:rFonts w:cs="Times New Roman"/>
        </w:rPr>
      </w:pPr>
      <w:r>
        <w:rPr>
          <w:rFonts w:cs="Times New Roman"/>
        </w:rPr>
        <w:t>完全兼容：</w:t>
      </w:r>
      <w:r>
        <w:rPr>
          <w:rFonts w:hint="eastAsia" w:cs="Times New Roman"/>
        </w:rPr>
        <w:t>“</w:t>
      </w:r>
      <w:r>
        <w:rPr>
          <w:rFonts w:cs="Times New Roman"/>
        </w:rPr>
        <w:t>完全兼容</w:t>
      </w:r>
      <w:r>
        <w:rPr>
          <w:rFonts w:hint="eastAsia" w:cs="Times New Roman"/>
        </w:rPr>
        <w:t>”</w:t>
      </w:r>
      <w:r>
        <w:rPr>
          <w:rFonts w:cs="Times New Roman"/>
        </w:rPr>
        <w:t>指在地块原规划用地性质上，混合其他一种或几种性质用地的用地规模比例可达100%。</w:t>
      </w:r>
    </w:p>
    <w:p w14:paraId="49A6D799">
      <w:pPr>
        <w:widowControl/>
        <w:adjustRightInd w:val="0"/>
        <w:snapToGrid w:val="0"/>
        <w:ind w:firstLine="640"/>
        <w:rPr>
          <w:rFonts w:cs="Times New Roman"/>
        </w:rPr>
      </w:pPr>
      <w:r>
        <w:rPr>
          <w:rFonts w:cs="Times New Roman"/>
        </w:rPr>
        <w:t>禁止兼容：</w:t>
      </w:r>
      <w:r>
        <w:rPr>
          <w:rFonts w:hint="eastAsia" w:cs="Times New Roman"/>
        </w:rPr>
        <w:t>“</w:t>
      </w:r>
      <w:r>
        <w:rPr>
          <w:rFonts w:cs="Times New Roman"/>
        </w:rPr>
        <w:t>禁止兼容</w:t>
      </w:r>
      <w:r>
        <w:rPr>
          <w:rFonts w:hint="eastAsia" w:cs="Times New Roman"/>
        </w:rPr>
        <w:t>”</w:t>
      </w:r>
      <w:r>
        <w:rPr>
          <w:rFonts w:cs="Times New Roman"/>
        </w:rPr>
        <w:t>指在地块原规划用地性质上不允许混合或转变为其他用地性质</w:t>
      </w:r>
      <w:bookmarkEnd w:id="82"/>
      <w:r>
        <w:rPr>
          <w:rFonts w:cs="Times New Roman"/>
        </w:rPr>
        <w:t>。</w:t>
      </w:r>
    </w:p>
    <w:p w14:paraId="2755C351">
      <w:pPr>
        <w:pStyle w:val="3"/>
        <w:rPr>
          <w:rFonts w:ascii="Times New Roman" w:hAnsi="Times New Roman" w:cs="Times New Roman"/>
        </w:rPr>
      </w:pPr>
      <w:bookmarkStart w:id="83" w:name="_Toc205557244"/>
      <w:bookmarkStart w:id="84" w:name="_Toc8082"/>
      <w:r>
        <w:rPr>
          <w:rFonts w:hint="eastAsia" w:ascii="Times New Roman" w:hAnsi="Times New Roman" w:cs="Times New Roman"/>
          <w:lang w:val="en-US" w:eastAsia="zh-CN"/>
        </w:rPr>
        <w:t>8.3</w:t>
      </w:r>
      <w:r>
        <w:rPr>
          <w:rFonts w:ascii="Times New Roman" w:hAnsi="Times New Roman" w:cs="Times New Roman"/>
        </w:rPr>
        <w:t xml:space="preserve"> 绿地系统和开敞空间</w:t>
      </w:r>
      <w:bookmarkEnd w:id="83"/>
      <w:bookmarkEnd w:id="84"/>
    </w:p>
    <w:p w14:paraId="21E3C071">
      <w:pPr>
        <w:pStyle w:val="4"/>
        <w:numPr>
          <w:ilvl w:val="0"/>
          <w:numId w:val="0"/>
        </w:numPr>
        <w:ind w:left="640" w:leftChars="0"/>
        <w:rPr>
          <w:rFonts w:cs="Times New Roman"/>
        </w:rPr>
      </w:pPr>
      <w:r>
        <w:rPr>
          <w:rFonts w:hint="eastAsia" w:cs="Times New Roman"/>
          <w:lang w:val="en-US" w:eastAsia="zh-CN"/>
        </w:rPr>
        <w:t>8.3.1</w:t>
      </w:r>
      <w:r>
        <w:rPr>
          <w:rFonts w:cs="Times New Roman"/>
        </w:rPr>
        <w:t>绿地系统规划</w:t>
      </w:r>
    </w:p>
    <w:p w14:paraId="1A701E15">
      <w:pPr>
        <w:ind w:firstLine="640"/>
        <w:rPr>
          <w:rFonts w:cs="Times New Roman"/>
        </w:rPr>
      </w:pPr>
      <w:r>
        <w:rPr>
          <w:rFonts w:hint="eastAsia" w:cs="Times New Roman"/>
        </w:rPr>
        <w:t>结合防洪体系建设和沿岸生态保护绿地的建设，修建坝河合一的沿河景观带，构成乡镇带状绿地的系统，推动乡中心区生态环境改善。规划在友谊大街北侧及二北线北侧建设2处公园，打造乡中心区的居民休憩、游乐场所，宜为休闲娱乐与观赏相结合的公共空间。推动乡中心区生态环境改善，打造居民休憩、娱乐与观赏相结合的公园。</w:t>
      </w:r>
    </w:p>
    <w:p w14:paraId="7524315E">
      <w:pPr>
        <w:pStyle w:val="4"/>
        <w:numPr>
          <w:ilvl w:val="0"/>
          <w:numId w:val="0"/>
        </w:numPr>
        <w:ind w:left="640" w:leftChars="0"/>
        <w:rPr>
          <w:rFonts w:cs="Times New Roman"/>
        </w:rPr>
      </w:pPr>
      <w:r>
        <w:rPr>
          <w:rFonts w:hint="eastAsia" w:cs="Times New Roman"/>
          <w:lang w:val="en-US" w:eastAsia="zh-CN"/>
        </w:rPr>
        <w:t>8.3.2</w:t>
      </w:r>
      <w:r>
        <w:rPr>
          <w:rFonts w:cs="Times New Roman"/>
        </w:rPr>
        <w:t>公园绿地</w:t>
      </w:r>
    </w:p>
    <w:p w14:paraId="759BBF54">
      <w:pPr>
        <w:ind w:firstLine="640"/>
        <w:rPr>
          <w:rFonts w:cs="Times New Roman"/>
        </w:rPr>
      </w:pPr>
      <w:r>
        <w:rPr>
          <w:rFonts w:cs="Times New Roman"/>
        </w:rPr>
        <w:t>乡中心区公园以结构性绿地为骨架，塑造滨水公园带与城镇魅力公园带，形成绿水交融、特色鲜明的公共空间。建设公园绿地，位于乡中心区，作为居民休憩、游乐场所，同时设立一些地标性的雕塑等，展现</w:t>
      </w:r>
      <w:r>
        <w:rPr>
          <w:rFonts w:hint="eastAsia" w:cs="Times New Roman"/>
        </w:rPr>
        <w:t>北甸</w:t>
      </w:r>
      <w:r>
        <w:rPr>
          <w:rFonts w:hint="eastAsia" w:cs="Times New Roman"/>
          <w:lang w:val="en-US" w:eastAsia="zh-CN"/>
        </w:rPr>
        <w:t>子</w:t>
      </w:r>
      <w:r>
        <w:rPr>
          <w:rFonts w:cs="Times New Roman"/>
        </w:rPr>
        <w:t>的形象，促使北甸子形成生态发展的空间格局，并形成北甸子乡内特有的山水景观特征。在各居住片区或与工业用地之间，均衡分布片区级公园。沿河两岸布置生态景观带，建设滨水公园。</w:t>
      </w:r>
    </w:p>
    <w:p w14:paraId="0C74799A">
      <w:pPr>
        <w:pStyle w:val="4"/>
        <w:numPr>
          <w:ilvl w:val="0"/>
          <w:numId w:val="0"/>
        </w:numPr>
        <w:ind w:left="640" w:leftChars="0"/>
        <w:rPr>
          <w:rFonts w:cs="Times New Roman"/>
        </w:rPr>
      </w:pPr>
      <w:r>
        <w:rPr>
          <w:rFonts w:hint="eastAsia" w:cs="Times New Roman"/>
          <w:lang w:val="en-US" w:eastAsia="zh-CN"/>
        </w:rPr>
        <w:t>8.3.3</w:t>
      </w:r>
      <w:r>
        <w:rPr>
          <w:rFonts w:cs="Times New Roman"/>
        </w:rPr>
        <w:t>防护绿地</w:t>
      </w:r>
    </w:p>
    <w:p w14:paraId="60678C99">
      <w:pPr>
        <w:ind w:firstLine="640"/>
        <w:rPr>
          <w:rFonts w:cs="Times New Roman"/>
        </w:rPr>
      </w:pPr>
      <w:r>
        <w:rPr>
          <w:rFonts w:cs="Times New Roman"/>
        </w:rPr>
        <w:t>加强道路、高压走廊、工业区卫生隔离带等防护绿带的控制和建设，构建安全、连续的防护绿地空间骨架。架空电力线路规划走廊宽度应按照《城市电力规划规范（GB/T50293）》《电力设施保护条例》及本溪地区有关标准规范执行。公路防护绿地设置应按照国家、辽宁省相关法律、法规及保护条例执行。</w:t>
      </w:r>
    </w:p>
    <w:p w14:paraId="11358780">
      <w:pPr>
        <w:pStyle w:val="4"/>
        <w:numPr>
          <w:ilvl w:val="0"/>
          <w:numId w:val="0"/>
        </w:numPr>
        <w:ind w:left="640" w:leftChars="0"/>
        <w:rPr>
          <w:rFonts w:cs="Times New Roman"/>
        </w:rPr>
      </w:pPr>
      <w:r>
        <w:rPr>
          <w:rFonts w:hint="eastAsia" w:cs="Times New Roman"/>
          <w:lang w:val="en-US" w:eastAsia="zh-CN"/>
        </w:rPr>
        <w:t>8.3.4</w:t>
      </w:r>
      <w:r>
        <w:rPr>
          <w:rFonts w:cs="Times New Roman"/>
        </w:rPr>
        <w:t>公共开敞空间</w:t>
      </w:r>
    </w:p>
    <w:p w14:paraId="00187427">
      <w:pPr>
        <w:ind w:firstLine="640"/>
        <w:rPr>
          <w:rFonts w:cs="Times New Roman"/>
        </w:rPr>
      </w:pPr>
      <w:r>
        <w:rPr>
          <w:rFonts w:cs="Times New Roman"/>
        </w:rPr>
        <w:t>塑造开放空间提升城镇品质。建立以沿河休闲景观绿带为重点，绿化景观长廊为廊道，微绿地为补充的城镇慢行休闲体系，打造多层级、多类型的开放空间及其联系脉络，强化公共空间的贯通性，将公共空间编织成网。提高公共空间舒适度，加强无障碍设施、休息座椅、智慧信息服务配套设施配置，提升公共空间环境品质。部分公共绿地可以根据需要设计建设为开放性的广场型绿地，同时满足城镇景观和居民游憩、集会需要。</w:t>
      </w:r>
    </w:p>
    <w:p w14:paraId="79772AAF">
      <w:pPr>
        <w:pStyle w:val="3"/>
        <w:rPr>
          <w:rFonts w:ascii="Times New Roman" w:hAnsi="Times New Roman" w:cs="Times New Roman"/>
        </w:rPr>
      </w:pPr>
      <w:bookmarkStart w:id="85" w:name="_Toc31774"/>
      <w:bookmarkStart w:id="86" w:name="_Toc205557245"/>
      <w:r>
        <w:rPr>
          <w:rFonts w:hint="eastAsia" w:ascii="Times New Roman" w:hAnsi="Times New Roman" w:cs="Times New Roman"/>
          <w:lang w:val="en-US" w:eastAsia="zh-CN"/>
        </w:rPr>
        <w:t>8.4</w:t>
      </w:r>
      <w:r>
        <w:rPr>
          <w:rFonts w:ascii="Times New Roman" w:hAnsi="Times New Roman" w:cs="Times New Roman"/>
        </w:rPr>
        <w:t xml:space="preserve"> 景观风貌</w:t>
      </w:r>
      <w:bookmarkEnd w:id="85"/>
      <w:bookmarkEnd w:id="86"/>
    </w:p>
    <w:p w14:paraId="125AD23B">
      <w:pPr>
        <w:pStyle w:val="4"/>
        <w:numPr>
          <w:ilvl w:val="0"/>
          <w:numId w:val="0"/>
        </w:numPr>
        <w:ind w:left="640" w:leftChars="0"/>
        <w:rPr>
          <w:rFonts w:cs="Times New Roman"/>
        </w:rPr>
      </w:pPr>
      <w:r>
        <w:rPr>
          <w:rFonts w:hint="eastAsia" w:cs="Times New Roman"/>
          <w:lang w:val="en-US" w:eastAsia="zh-CN"/>
        </w:rPr>
        <w:t>8.4.1</w:t>
      </w:r>
      <w:r>
        <w:rPr>
          <w:rFonts w:cs="Times New Roman"/>
        </w:rPr>
        <w:t>景观风貌引导</w:t>
      </w:r>
    </w:p>
    <w:p w14:paraId="597DF095">
      <w:pPr>
        <w:ind w:firstLine="640"/>
        <w:rPr>
          <w:rFonts w:cs="Times New Roman"/>
        </w:rPr>
      </w:pPr>
      <w:r>
        <w:rPr>
          <w:rFonts w:cs="Times New Roman"/>
        </w:rPr>
        <w:t>按照</w:t>
      </w:r>
      <w:r>
        <w:rPr>
          <w:rFonts w:hint="eastAsia" w:cs="Times New Roman"/>
        </w:rPr>
        <w:t>“</w:t>
      </w:r>
      <w:r>
        <w:rPr>
          <w:rFonts w:cs="Times New Roman"/>
        </w:rPr>
        <w:t>显山露水、错落有致</w:t>
      </w:r>
      <w:r>
        <w:rPr>
          <w:rFonts w:hint="eastAsia" w:cs="Times New Roman"/>
        </w:rPr>
        <w:t>”</w:t>
      </w:r>
      <w:r>
        <w:rPr>
          <w:rFonts w:cs="Times New Roman"/>
        </w:rPr>
        <w:t>的原则，构建</w:t>
      </w:r>
      <w:r>
        <w:rPr>
          <w:rFonts w:hint="eastAsia" w:cs="Times New Roman"/>
        </w:rPr>
        <w:t>“</w:t>
      </w:r>
      <w:r>
        <w:rPr>
          <w:rFonts w:cs="Times New Roman"/>
        </w:rPr>
        <w:t>依山傍水、群山环绕</w:t>
      </w:r>
      <w:r>
        <w:rPr>
          <w:rFonts w:hint="eastAsia" w:cs="Times New Roman"/>
        </w:rPr>
        <w:t>”</w:t>
      </w:r>
      <w:r>
        <w:rPr>
          <w:rFonts w:cs="Times New Roman"/>
        </w:rPr>
        <w:t>的城镇山水格局。体现北甸子乡独特的山水风貌，形成环境和谐、视觉优美、功能完备、风格独特的风貌景观，展示城镇魅力。按照规划确定的建筑高度、风貌和天际线等空间形态进行建设控制，对开发强度分区和容积率、密度等控制指标提出控制指引。加强对制高点、山水轴线和视线通廊等重点地段、重要类型建筑风貌管控，强化国土空间规划对建筑风貌的指导约束。</w:t>
      </w:r>
    </w:p>
    <w:p w14:paraId="24C120CE">
      <w:pPr>
        <w:pStyle w:val="4"/>
        <w:numPr>
          <w:ilvl w:val="0"/>
          <w:numId w:val="0"/>
        </w:numPr>
        <w:ind w:left="640" w:leftChars="0"/>
        <w:rPr>
          <w:rFonts w:cs="Times New Roman"/>
        </w:rPr>
      </w:pPr>
      <w:r>
        <w:rPr>
          <w:rFonts w:hint="eastAsia" w:cs="Times New Roman"/>
          <w:lang w:val="en-US" w:eastAsia="zh-CN"/>
        </w:rPr>
        <w:t>8.4.2</w:t>
      </w:r>
      <w:r>
        <w:rPr>
          <w:rFonts w:cs="Times New Roman"/>
        </w:rPr>
        <w:t>景观风貌分区</w:t>
      </w:r>
    </w:p>
    <w:p w14:paraId="4E3FCC15">
      <w:pPr>
        <w:ind w:firstLine="640"/>
        <w:rPr>
          <w:rFonts w:cs="Times New Roman"/>
        </w:rPr>
      </w:pPr>
      <w:r>
        <w:rPr>
          <w:rFonts w:cs="Times New Roman"/>
        </w:rPr>
        <w:t>根据不同片区的功能和场地特征差异，规划形成三片建筑风貌分区，分别为传统居住风貌区、现代工业风貌区、商业休闲风貌区。</w:t>
      </w:r>
    </w:p>
    <w:p w14:paraId="39E88342">
      <w:pPr>
        <w:ind w:firstLine="640"/>
        <w:rPr>
          <w:rFonts w:cs="Times New Roman"/>
        </w:rPr>
      </w:pPr>
      <w:r>
        <w:rPr>
          <w:rFonts w:cs="Times New Roman"/>
        </w:rPr>
        <w:t>传统居住风貌区：保留现状传统居住形态，整体风貌以展现乡村旅游、乡村居住为主要风格，增加旅游服务设施，形成自然与人工环境相结合的乡村景观形象，引入周边自然山体、水体，构建视线开阔、环境优美的传统居住风貌区。</w:t>
      </w:r>
    </w:p>
    <w:p w14:paraId="5C15BFE4">
      <w:pPr>
        <w:ind w:firstLine="640"/>
        <w:rPr>
          <w:rFonts w:cs="Times New Roman"/>
        </w:rPr>
      </w:pPr>
      <w:r>
        <w:rPr>
          <w:rFonts w:cs="Times New Roman"/>
        </w:rPr>
        <w:t>现代工业风貌区：在风貌特色上体现</w:t>
      </w:r>
      <w:r>
        <w:rPr>
          <w:rFonts w:hint="eastAsia" w:cs="Times New Roman"/>
        </w:rPr>
        <w:t>冰酒产业</w:t>
      </w:r>
      <w:r>
        <w:rPr>
          <w:rFonts w:cs="Times New Roman"/>
        </w:rPr>
        <w:t>特征，以简洁高效、环境优美为特征的现代工业区形象为主，形成清新明快的建筑风格，并与乡中心区整体建筑风格相协调。工业建筑应以低层为主，建筑形式宜采用坡屋顶，建筑空间布局应能营造良好的产业园区环境。</w:t>
      </w:r>
    </w:p>
    <w:p w14:paraId="35E04C8D">
      <w:pPr>
        <w:ind w:firstLine="640"/>
        <w:rPr>
          <w:rFonts w:cs="Times New Roman"/>
        </w:rPr>
      </w:pPr>
      <w:r>
        <w:rPr>
          <w:rFonts w:cs="Times New Roman"/>
        </w:rPr>
        <w:t>商贸休闲风貌区：商业区建筑应体现现代气息及</w:t>
      </w:r>
      <w:r>
        <w:rPr>
          <w:rFonts w:hint="eastAsia" w:cs="Times New Roman"/>
        </w:rPr>
        <w:t>北甸子</w:t>
      </w:r>
      <w:r>
        <w:rPr>
          <w:rFonts w:cs="Times New Roman"/>
        </w:rPr>
        <w:t>乡</w:t>
      </w:r>
      <w:r>
        <w:rPr>
          <w:rFonts w:hint="eastAsia" w:cs="Times New Roman"/>
        </w:rPr>
        <w:t>冰酒</w:t>
      </w:r>
      <w:r>
        <w:rPr>
          <w:rFonts w:cs="Times New Roman"/>
        </w:rPr>
        <w:t>产业特色。打造集旅游产品开发与销售、餐饮、购物等为一体的特色商贸街，乡镇两侧商网店面进行立面装修，形成设计规范、标准统一的商贸区，建筑层数以低层为主，建筑风格采用新中式建筑。</w:t>
      </w:r>
    </w:p>
    <w:p w14:paraId="518AB072">
      <w:pPr>
        <w:pStyle w:val="4"/>
        <w:numPr>
          <w:ilvl w:val="0"/>
          <w:numId w:val="0"/>
        </w:numPr>
        <w:ind w:left="640" w:leftChars="0"/>
        <w:rPr>
          <w:rFonts w:cs="Times New Roman"/>
        </w:rPr>
      </w:pPr>
      <w:r>
        <w:rPr>
          <w:rFonts w:hint="eastAsia" w:cs="Times New Roman"/>
          <w:lang w:val="en-US" w:eastAsia="zh-CN"/>
        </w:rPr>
        <w:t>8.4.3</w:t>
      </w:r>
      <w:r>
        <w:rPr>
          <w:rFonts w:cs="Times New Roman"/>
        </w:rPr>
        <w:t>开发强度分区指引</w:t>
      </w:r>
    </w:p>
    <w:p w14:paraId="3FE23433">
      <w:pPr>
        <w:widowControl/>
        <w:adjustRightInd w:val="0"/>
        <w:snapToGrid w:val="0"/>
        <w:ind w:firstLine="640"/>
        <w:rPr>
          <w:rFonts w:cs="Times New Roman"/>
        </w:rPr>
      </w:pPr>
      <w:r>
        <w:rPr>
          <w:rFonts w:cs="Times New Roman"/>
        </w:rPr>
        <w:t>城镇建设用地开发强度按</w:t>
      </w:r>
      <w:r>
        <w:rPr>
          <w:rFonts w:hint="eastAsia" w:cs="Times New Roman"/>
        </w:rPr>
        <w:t>二</w:t>
      </w:r>
      <w:r>
        <w:rPr>
          <w:rFonts w:cs="Times New Roman"/>
        </w:rPr>
        <w:t>级控制，实行差异化的土地开发强度管制。</w:t>
      </w:r>
    </w:p>
    <w:p w14:paraId="43D2B113">
      <w:pPr>
        <w:ind w:firstLine="640"/>
        <w:rPr>
          <w:rFonts w:cs="Times New Roman"/>
        </w:rPr>
      </w:pPr>
      <w:r>
        <w:rPr>
          <w:rFonts w:cs="Times New Roman"/>
        </w:rPr>
        <w:t>1.开发强度I区：低强度开发地区。主要分布于已建片区为低强度开发</w:t>
      </w:r>
      <w:r>
        <w:rPr>
          <w:rFonts w:hint="eastAsia" w:cs="Times New Roman"/>
        </w:rPr>
        <w:t>的绿地周边</w:t>
      </w:r>
      <w:r>
        <w:rPr>
          <w:rFonts w:cs="Times New Roman"/>
        </w:rPr>
        <w:t>，控制容积率0.8-1.0，建筑高度宜小于15米。乡中心区内部水体、山体周边或城镇开敞空间周边的建筑高度控制区域，以及视线通廊控制范围内，打造宜人的城镇风貌，视觉走廊下建筑高度不宜大于15米。工业用地容积率应高于0.8。</w:t>
      </w:r>
    </w:p>
    <w:p w14:paraId="2A046D4C">
      <w:pPr>
        <w:ind w:firstLine="640"/>
        <w:rPr>
          <w:rFonts w:cs="Times New Roman"/>
        </w:rPr>
      </w:pPr>
      <w:r>
        <w:rPr>
          <w:rFonts w:cs="Times New Roman"/>
        </w:rPr>
        <w:t>2.开发强度II区：包括为公共设施用地</w:t>
      </w:r>
      <w:r>
        <w:rPr>
          <w:rFonts w:hint="eastAsia" w:cs="Times New Roman"/>
        </w:rPr>
        <w:t>及</w:t>
      </w:r>
      <w:r>
        <w:rPr>
          <w:rFonts w:cs="Times New Roman"/>
        </w:rPr>
        <w:t>中强度开发区外的居住用地和公共设施用地、商业商务用地。奠定基准建筑高度，打造整体舒缓的城镇基底风貌。区内独立地块容积率不宜高于1.5，平均容积率为1.0-1.2，建筑密度不宜大于30%，建筑高度不宜高于15米。</w:t>
      </w:r>
    </w:p>
    <w:p w14:paraId="0D0D9FBE">
      <w:pPr>
        <w:pStyle w:val="4"/>
        <w:numPr>
          <w:ilvl w:val="0"/>
          <w:numId w:val="0"/>
        </w:numPr>
        <w:ind w:left="640" w:leftChars="0"/>
        <w:rPr>
          <w:rFonts w:cs="Times New Roman"/>
        </w:rPr>
      </w:pPr>
      <w:r>
        <w:rPr>
          <w:rFonts w:hint="eastAsia" w:cs="Times New Roman"/>
          <w:lang w:val="en-US" w:eastAsia="zh-CN"/>
        </w:rPr>
        <w:t>8.4.4</w:t>
      </w:r>
      <w:r>
        <w:rPr>
          <w:rFonts w:cs="Times New Roman"/>
        </w:rPr>
        <w:t>建筑风格色彩管控</w:t>
      </w:r>
    </w:p>
    <w:p w14:paraId="162F330C">
      <w:pPr>
        <w:ind w:firstLine="640"/>
        <w:rPr>
          <w:rFonts w:cs="Times New Roman"/>
        </w:rPr>
      </w:pPr>
      <w:r>
        <w:rPr>
          <w:rFonts w:cs="Times New Roman"/>
        </w:rPr>
        <w:t>规划</w:t>
      </w:r>
      <w:r>
        <w:rPr>
          <w:rFonts w:hint="eastAsia" w:cs="Times New Roman"/>
        </w:rPr>
        <w:t>北甸子</w:t>
      </w:r>
      <w:r>
        <w:rPr>
          <w:rFonts w:cs="Times New Roman"/>
        </w:rPr>
        <w:t>乡建筑风格应整体协调，建筑个体富于变化，增强可识别性，避免雷同。延续城镇文脉，体现城镇精神，展现时代风貌。加强建筑风貌色彩管控，建筑色彩应适合城镇地域、气候、人文和历史特点。</w:t>
      </w:r>
    </w:p>
    <w:p w14:paraId="1F5A0AC1">
      <w:pPr>
        <w:ind w:firstLine="640"/>
        <w:rPr>
          <w:rFonts w:cs="Times New Roman"/>
        </w:rPr>
      </w:pPr>
      <w:r>
        <w:rPr>
          <w:rFonts w:cs="Times New Roman"/>
        </w:rPr>
        <w:t>公共建筑、文体设施建筑的色彩宜以清凉色调、低亮度色彩为主。居住建筑运用现代设计手法，形成清新大方的建筑风格。屋顶宜采用坡屋顶，屋顶变化多样，相容于周围环境，以丰富城镇的天际线。商业服务、旅游休闲建筑体现旅游城镇繁荣、活力的商业氛围，建筑色彩采用白色、青色、土黄色、赭石色的色彩体系；基调色采用与新中式建筑的白色、青色为建筑的主要基调色，整体色彩可以降低明度和色彩亮度；辅助色适当采用调和的暖灰色系、赭石色彩，加强对建筑基底的分层处理；点缀色：对建筑的门窗、墙线以及建筑突出部构件允许采用其他色彩但是必须整体协调。工业建筑在满足功能和环境要求的同时，将地方性的文化符号、建筑语言融入工业建筑的设计中，形成具有北甸子特色的产业区，建筑主色调宜采用白色、蓝色，配色宜采用淡茶色、砖灰色。</w:t>
      </w:r>
    </w:p>
    <w:p w14:paraId="3CDCD8C6">
      <w:pPr>
        <w:pStyle w:val="3"/>
        <w:rPr>
          <w:rFonts w:ascii="Times New Roman" w:hAnsi="Times New Roman" w:cs="Times New Roman"/>
        </w:rPr>
      </w:pPr>
      <w:bookmarkStart w:id="87" w:name="_Toc7684"/>
      <w:bookmarkStart w:id="88" w:name="_Toc205557246"/>
      <w:r>
        <w:rPr>
          <w:rFonts w:hint="eastAsia" w:ascii="Times New Roman" w:hAnsi="Times New Roman" w:cs="Times New Roman"/>
          <w:lang w:val="en-US" w:eastAsia="zh-CN"/>
        </w:rPr>
        <w:t>8.5</w:t>
      </w:r>
      <w:r>
        <w:rPr>
          <w:rFonts w:ascii="Times New Roman" w:hAnsi="Times New Roman" w:cs="Times New Roman"/>
        </w:rPr>
        <w:t xml:space="preserve"> 住房保障</w:t>
      </w:r>
      <w:bookmarkEnd w:id="87"/>
      <w:bookmarkEnd w:id="88"/>
    </w:p>
    <w:p w14:paraId="0569F308">
      <w:pPr>
        <w:pStyle w:val="4"/>
        <w:numPr>
          <w:ilvl w:val="0"/>
          <w:numId w:val="0"/>
        </w:numPr>
        <w:ind w:left="640" w:leftChars="0"/>
        <w:rPr>
          <w:rFonts w:cs="Times New Roman"/>
        </w:rPr>
      </w:pPr>
      <w:r>
        <w:rPr>
          <w:rFonts w:hint="eastAsia" w:cs="Times New Roman"/>
          <w:lang w:val="en-US" w:eastAsia="zh-CN"/>
        </w:rPr>
        <w:t>8.5.1</w:t>
      </w:r>
      <w:r>
        <w:rPr>
          <w:rFonts w:cs="Times New Roman"/>
        </w:rPr>
        <w:t>居住用地规模和布局</w:t>
      </w:r>
    </w:p>
    <w:p w14:paraId="525C9C5D">
      <w:pPr>
        <w:widowControl/>
        <w:adjustRightInd w:val="0"/>
        <w:snapToGrid w:val="0"/>
        <w:ind w:firstLine="640"/>
        <w:rPr>
          <w:rFonts w:cs="Times New Roman"/>
        </w:rPr>
      </w:pPr>
      <w:bookmarkStart w:id="89" w:name="_Hlk133418041"/>
      <w:r>
        <w:rPr>
          <w:rFonts w:cs="Times New Roman"/>
        </w:rPr>
        <w:t>充分对接住房建设需求，严格落实供地调控机制，强化保障性住房建设和管理，逐步建立以公租房、保障性租赁住房和共有产权住房为主体的住房保障体系。新增住宅用地供应优先安排在公共空间和公益性设施实施情况较好的地区</w:t>
      </w:r>
      <w:bookmarkEnd w:id="89"/>
      <w:r>
        <w:rPr>
          <w:rFonts w:cs="Times New Roman"/>
        </w:rPr>
        <w:t>。</w:t>
      </w:r>
    </w:p>
    <w:p w14:paraId="60C7881C">
      <w:pPr>
        <w:pStyle w:val="4"/>
        <w:numPr>
          <w:ilvl w:val="0"/>
          <w:numId w:val="0"/>
        </w:numPr>
        <w:ind w:left="640" w:leftChars="0"/>
        <w:rPr>
          <w:rFonts w:cs="Times New Roman"/>
        </w:rPr>
      </w:pPr>
      <w:r>
        <w:rPr>
          <w:rFonts w:hint="eastAsia" w:cs="Times New Roman"/>
          <w:lang w:val="en-US" w:eastAsia="zh-CN"/>
        </w:rPr>
        <w:t>8.5.2</w:t>
      </w:r>
      <w:r>
        <w:rPr>
          <w:rFonts w:cs="Times New Roman"/>
        </w:rPr>
        <w:t>住房保障建设</w:t>
      </w:r>
    </w:p>
    <w:p w14:paraId="721C3CCB">
      <w:pPr>
        <w:widowControl/>
        <w:adjustRightInd w:val="0"/>
        <w:snapToGrid w:val="0"/>
        <w:ind w:firstLine="640"/>
        <w:rPr>
          <w:rFonts w:cs="Times New Roman"/>
        </w:rPr>
      </w:pPr>
      <w:bookmarkStart w:id="90" w:name="_Hlk131090464"/>
      <w:bookmarkStart w:id="91" w:name="_Hlk129180793"/>
      <w:r>
        <w:rPr>
          <w:rFonts w:cs="Times New Roman"/>
        </w:rPr>
        <w:t>建设完整居住社区。实施乡中心区更新行动，改善老旧住区公共服务设施、区域居住环境、建筑安全性能、房屋使用功能，推进基础设施提档升级。新建住宅项目要按照完整居住社区建设标准，配建居住社区基本公共服务设施、便民商业服务设施、市政配套基础设施和公共活动空间。</w:t>
      </w:r>
    </w:p>
    <w:bookmarkEnd w:id="90"/>
    <w:bookmarkEnd w:id="91"/>
    <w:p w14:paraId="62920D80">
      <w:pPr>
        <w:pStyle w:val="3"/>
        <w:rPr>
          <w:rFonts w:ascii="Times New Roman" w:hAnsi="Times New Roman" w:cs="Times New Roman"/>
        </w:rPr>
      </w:pPr>
      <w:bookmarkStart w:id="92" w:name="_Toc11428"/>
      <w:bookmarkStart w:id="93" w:name="_Toc205557247"/>
      <w:r>
        <w:rPr>
          <w:rFonts w:hint="eastAsia" w:ascii="Times New Roman" w:hAnsi="Times New Roman" w:cs="Times New Roman"/>
          <w:lang w:val="en-US" w:eastAsia="zh-CN"/>
        </w:rPr>
        <w:t>8.6</w:t>
      </w:r>
      <w:r>
        <w:rPr>
          <w:rFonts w:ascii="Times New Roman" w:hAnsi="Times New Roman" w:cs="Times New Roman"/>
        </w:rPr>
        <w:t xml:space="preserve"> 城镇更新</w:t>
      </w:r>
      <w:bookmarkEnd w:id="92"/>
      <w:bookmarkEnd w:id="93"/>
    </w:p>
    <w:p w14:paraId="1B341C35">
      <w:pPr>
        <w:pStyle w:val="4"/>
        <w:numPr>
          <w:ilvl w:val="0"/>
          <w:numId w:val="0"/>
        </w:numPr>
        <w:ind w:left="640" w:leftChars="0"/>
        <w:rPr>
          <w:rFonts w:cs="Times New Roman"/>
        </w:rPr>
      </w:pPr>
      <w:r>
        <w:rPr>
          <w:rFonts w:hint="eastAsia" w:cs="Times New Roman"/>
          <w:lang w:val="en-US" w:eastAsia="zh-CN"/>
        </w:rPr>
        <w:t>8.6.1</w:t>
      </w:r>
      <w:r>
        <w:rPr>
          <w:rFonts w:cs="Times New Roman"/>
        </w:rPr>
        <w:t>推进存量用地盘活利用</w:t>
      </w:r>
    </w:p>
    <w:p w14:paraId="6E796B1A">
      <w:pPr>
        <w:widowControl/>
        <w:adjustRightInd w:val="0"/>
        <w:snapToGrid w:val="0"/>
        <w:ind w:firstLine="640"/>
        <w:rPr>
          <w:rFonts w:cs="Times New Roman"/>
        </w:rPr>
      </w:pPr>
      <w:bookmarkStart w:id="94" w:name="_Hlk131095086"/>
      <w:r>
        <w:rPr>
          <w:rFonts w:cs="Times New Roman"/>
        </w:rPr>
        <w:t>加大存量用地挖潜消化力度，积极推进低效用地减量，鼓励引导各项建设节约集约利用土地，全面提升土地利用效率。按照属地原则盘活空间，优先用于重点片区建设。推动利用存量建设用地补齐民生公共服务设施短板。严格落实建设用地</w:t>
      </w:r>
      <w:r>
        <w:rPr>
          <w:rFonts w:hint="eastAsia" w:cs="Times New Roman"/>
        </w:rPr>
        <w:t>“</w:t>
      </w:r>
      <w:r>
        <w:rPr>
          <w:rFonts w:cs="Times New Roman"/>
        </w:rPr>
        <w:t>增存挂钩</w:t>
      </w:r>
      <w:r>
        <w:rPr>
          <w:rFonts w:hint="eastAsia" w:cs="Times New Roman"/>
        </w:rPr>
        <w:t>”</w:t>
      </w:r>
      <w:r>
        <w:rPr>
          <w:rFonts w:cs="Times New Roman"/>
        </w:rPr>
        <w:t>机制</w:t>
      </w:r>
      <w:bookmarkEnd w:id="94"/>
      <w:r>
        <w:rPr>
          <w:rFonts w:cs="Times New Roman"/>
        </w:rPr>
        <w:t>。</w:t>
      </w:r>
    </w:p>
    <w:p w14:paraId="43EEA93C">
      <w:pPr>
        <w:pStyle w:val="4"/>
        <w:numPr>
          <w:ilvl w:val="0"/>
          <w:numId w:val="0"/>
        </w:numPr>
        <w:ind w:left="640" w:leftChars="0"/>
        <w:rPr>
          <w:rFonts w:cs="Times New Roman"/>
        </w:rPr>
      </w:pPr>
      <w:r>
        <w:rPr>
          <w:rFonts w:hint="eastAsia" w:cs="Times New Roman"/>
          <w:lang w:val="en-US" w:eastAsia="zh-CN"/>
        </w:rPr>
        <w:t>8.6.2</w:t>
      </w:r>
      <w:r>
        <w:rPr>
          <w:rFonts w:cs="Times New Roman"/>
        </w:rPr>
        <w:t>有序推进乡中心区更新</w:t>
      </w:r>
    </w:p>
    <w:p w14:paraId="5A4DD952">
      <w:pPr>
        <w:widowControl/>
        <w:adjustRightInd w:val="0"/>
        <w:snapToGrid w:val="0"/>
        <w:ind w:firstLine="640"/>
        <w:rPr>
          <w:rFonts w:cs="Times New Roman"/>
          <w:color w:val="FF0000"/>
        </w:rPr>
      </w:pPr>
      <w:r>
        <w:rPr>
          <w:rFonts w:cs="Times New Roman"/>
        </w:rPr>
        <w:t>以存量用地为基础，以保护历史文化、保障产业发展、旧城区焕发新活力、完善公共服务等为目标，结合城镇空间、农业空间、生态空间及历史文化要素管控要求，综合考虑乡中心区物质形态、配套设施、基础支撑能力、生态环境等基础条件，划定乡中心区更新重点范围。针对设施老化，增量空间不足、绿地缺失，着力解决发展中的突出问题，规划将更新对象分为老旧居住区、低效工业仓储区、景观设施更新、拆旧新建组团四类，以乡中心区更新统筹协调存量空间改造，充分发挥存量空间的经济、社会、文化和环境等多方面价值。</w:t>
      </w:r>
    </w:p>
    <w:p w14:paraId="6BEF1EB2">
      <w:pPr>
        <w:pStyle w:val="3"/>
        <w:ind w:left="0" w:leftChars="0" w:firstLine="0" w:firstLineChars="0"/>
        <w:rPr>
          <w:rFonts w:ascii="Times New Roman" w:hAnsi="Times New Roman" w:cs="Times New Roman"/>
        </w:rPr>
      </w:pPr>
      <w:bookmarkStart w:id="95" w:name="_Toc205557248"/>
      <w:bookmarkStart w:id="96" w:name="_Toc4861"/>
      <w:r>
        <w:rPr>
          <w:rFonts w:hint="eastAsia" w:ascii="Times New Roman" w:hAnsi="Times New Roman" w:cs="Times New Roman"/>
          <w:lang w:val="en-US" w:eastAsia="zh-CN"/>
        </w:rPr>
        <w:t>8.7</w:t>
      </w:r>
      <w:r>
        <w:rPr>
          <w:rFonts w:ascii="Times New Roman" w:hAnsi="Times New Roman" w:cs="Times New Roman"/>
        </w:rPr>
        <w:t xml:space="preserve"> “四线”管控</w:t>
      </w:r>
      <w:bookmarkEnd w:id="95"/>
      <w:bookmarkEnd w:id="96"/>
    </w:p>
    <w:p w14:paraId="785F4EAE">
      <w:pPr>
        <w:pStyle w:val="4"/>
        <w:numPr>
          <w:ilvl w:val="0"/>
          <w:numId w:val="0"/>
        </w:numPr>
        <w:ind w:left="640" w:leftChars="0"/>
        <w:rPr>
          <w:rFonts w:cs="Times New Roman"/>
        </w:rPr>
      </w:pPr>
      <w:r>
        <w:rPr>
          <w:rFonts w:hint="eastAsia" w:cs="Times New Roman"/>
          <w:lang w:val="en-US" w:eastAsia="zh-CN"/>
        </w:rPr>
        <w:t>8.7.1</w:t>
      </w:r>
      <w:r>
        <w:rPr>
          <w:rFonts w:cs="Times New Roman"/>
        </w:rPr>
        <w:t>绿线管控</w:t>
      </w:r>
    </w:p>
    <w:p w14:paraId="17234287">
      <w:pPr>
        <w:ind w:firstLine="640"/>
        <w:rPr>
          <w:rFonts w:cs="Times New Roman"/>
          <w:u w:val="single"/>
        </w:rPr>
      </w:pPr>
      <w:r>
        <w:rPr>
          <w:rFonts w:cs="Times New Roman"/>
          <w:u w:val="single"/>
        </w:rPr>
        <w:t>将对居民生活有重要影响的重要公园绿地、防护绿地和广场用地等结构性城镇绿地和结构性生态绿地纳入绿线管控，绿线控制范围</w:t>
      </w:r>
      <w:r>
        <w:rPr>
          <w:rFonts w:hint="eastAsia" w:cs="Times New Roman"/>
          <w:u w:val="single"/>
        </w:rPr>
        <w:t>0.46</w:t>
      </w:r>
      <w:r>
        <w:rPr>
          <w:rFonts w:cs="Times New Roman"/>
          <w:u w:val="single"/>
        </w:rPr>
        <w:t>公顷。在总规模不减少前提下，绿线的具体边界、定位可在详细规划编制和实施中落实，绿线的调整应符合国家有关规定。按照《城市绿线管理办法》及相关空间管控要求，加强绿地保护与管理，严格管控侵占绿地的各项建设行为。</w:t>
      </w:r>
    </w:p>
    <w:p w14:paraId="4BBF80F2">
      <w:pPr>
        <w:pStyle w:val="4"/>
        <w:numPr>
          <w:ilvl w:val="0"/>
          <w:numId w:val="0"/>
        </w:numPr>
        <w:ind w:left="640" w:leftChars="0"/>
        <w:rPr>
          <w:rFonts w:cs="Times New Roman"/>
        </w:rPr>
      </w:pPr>
      <w:r>
        <w:rPr>
          <w:rFonts w:hint="eastAsia" w:cs="Times New Roman"/>
          <w:lang w:val="en-US" w:eastAsia="zh-CN"/>
        </w:rPr>
        <w:t>8.7.2</w:t>
      </w:r>
      <w:r>
        <w:rPr>
          <w:rFonts w:cs="Times New Roman"/>
        </w:rPr>
        <w:t>黄线管控</w:t>
      </w:r>
    </w:p>
    <w:p w14:paraId="3E0BF531">
      <w:pPr>
        <w:ind w:firstLine="640"/>
        <w:rPr>
          <w:rFonts w:cs="Times New Roman"/>
        </w:rPr>
      </w:pPr>
      <w:r>
        <w:rPr>
          <w:rFonts w:cs="Times New Roman"/>
          <w:u w:val="single"/>
        </w:rPr>
        <w:t>将给水设施、排水设施、电力设施、通信设施、燃气设施、热力设施、环卫设施等划入城镇黄线范围，黄线控制范围</w:t>
      </w:r>
      <w:r>
        <w:rPr>
          <w:rFonts w:hint="eastAsia" w:cs="Times New Roman"/>
          <w:u w:val="single"/>
        </w:rPr>
        <w:t>0.90</w:t>
      </w:r>
      <w:r>
        <w:rPr>
          <w:rFonts w:cs="Times New Roman"/>
          <w:u w:val="single"/>
        </w:rPr>
        <w:t>公顷。纳入黄线管控的线性设施满足走向不改变、服务片区不改变，面状设施用地规模不减小、服务功能不减弱的前提下，黄线的具体边界、定位可在详细规划编制和实施中落实，黄线的调整应符合国家有关规定。按照《城市黄线管理办法》及相关空间管控要求，对黄线进行严格管理。</w:t>
      </w:r>
      <w:r>
        <w:rPr>
          <w:rFonts w:cs="Times New Roman"/>
        </w:rPr>
        <w:t>城市黄线控制范围除保障设施自身运行安全外，应考虑与周围其他建（构）筑物的间距要求，对现有损坏或影响城市基础设施安全、正常运作的用地，应当限期整改或拆除。</w:t>
      </w:r>
    </w:p>
    <w:p w14:paraId="7FC14EDF">
      <w:pPr>
        <w:pStyle w:val="4"/>
        <w:numPr>
          <w:ilvl w:val="0"/>
          <w:numId w:val="0"/>
        </w:numPr>
        <w:ind w:left="640" w:leftChars="0"/>
        <w:rPr>
          <w:rFonts w:cs="Times New Roman"/>
        </w:rPr>
      </w:pPr>
      <w:r>
        <w:rPr>
          <w:rFonts w:hint="eastAsia" w:cs="Times New Roman"/>
          <w:lang w:val="en-US" w:eastAsia="zh-CN"/>
        </w:rPr>
        <w:t>8.7.3</w:t>
      </w:r>
      <w:r>
        <w:rPr>
          <w:rFonts w:cs="Times New Roman"/>
        </w:rPr>
        <w:t>蓝线管控</w:t>
      </w:r>
    </w:p>
    <w:p w14:paraId="341624D5">
      <w:pPr>
        <w:widowControl/>
        <w:adjustRightInd w:val="0"/>
        <w:snapToGrid w:val="0"/>
        <w:ind w:firstLine="640"/>
        <w:rPr>
          <w:rFonts w:cs="Times New Roman"/>
        </w:rPr>
      </w:pPr>
      <w:r>
        <w:rPr>
          <w:rFonts w:hint="eastAsia" w:cs="Times New Roman"/>
        </w:rPr>
        <w:t>北甸子</w:t>
      </w:r>
      <w:r>
        <w:rPr>
          <w:rFonts w:cs="Times New Roman"/>
        </w:rPr>
        <w:t>乡中心区不涉及城市蓝线。</w:t>
      </w:r>
    </w:p>
    <w:p w14:paraId="4167CE6A">
      <w:pPr>
        <w:pStyle w:val="4"/>
        <w:numPr>
          <w:ilvl w:val="0"/>
          <w:numId w:val="0"/>
        </w:numPr>
        <w:ind w:left="640" w:leftChars="0"/>
        <w:rPr>
          <w:rFonts w:cs="Times New Roman"/>
        </w:rPr>
      </w:pPr>
      <w:r>
        <w:rPr>
          <w:rFonts w:hint="eastAsia" w:cs="Times New Roman"/>
          <w:lang w:val="en-US" w:eastAsia="zh-CN"/>
        </w:rPr>
        <w:t>8.7.4</w:t>
      </w:r>
      <w:r>
        <w:rPr>
          <w:rFonts w:cs="Times New Roman"/>
        </w:rPr>
        <w:t>紫线管控</w:t>
      </w:r>
    </w:p>
    <w:p w14:paraId="237962E5">
      <w:pPr>
        <w:widowControl/>
        <w:adjustRightInd w:val="0"/>
        <w:snapToGrid w:val="0"/>
        <w:ind w:firstLine="640"/>
        <w:rPr>
          <w:rFonts w:cs="Times New Roman"/>
        </w:rPr>
      </w:pPr>
      <w:r>
        <w:rPr>
          <w:rFonts w:hint="eastAsia" w:cs="Times New Roman"/>
        </w:rPr>
        <w:t>北甸子</w:t>
      </w:r>
      <w:r>
        <w:rPr>
          <w:rFonts w:cs="Times New Roman"/>
        </w:rPr>
        <w:t>乡中心区不涉及城市紫线。</w:t>
      </w:r>
    </w:p>
    <w:p w14:paraId="47D95E39">
      <w:pPr>
        <w:widowControl/>
        <w:adjustRightInd w:val="0"/>
        <w:snapToGrid w:val="0"/>
        <w:ind w:firstLine="640"/>
        <w:rPr>
          <w:rFonts w:cs="Times New Roman"/>
        </w:rPr>
      </w:pPr>
    </w:p>
    <w:p w14:paraId="6A7EE65B">
      <w:pPr>
        <w:pStyle w:val="2"/>
        <w:spacing w:before="312" w:after="312"/>
        <w:rPr>
          <w:rFonts w:ascii="Times New Roman" w:hAnsi="Times New Roman" w:cs="Times New Roman"/>
        </w:rPr>
      </w:pPr>
      <w:bookmarkStart w:id="97" w:name="_Toc205557249"/>
      <w:bookmarkStart w:id="98" w:name="_Toc7092"/>
      <w:r>
        <w:rPr>
          <w:rFonts w:ascii="Times New Roman" w:hAnsi="Times New Roman" w:cs="Times New Roman"/>
        </w:rPr>
        <w:t>第</w:t>
      </w:r>
      <w:r>
        <w:rPr>
          <w:rFonts w:hint="eastAsia" w:ascii="Times New Roman" w:hAnsi="Times New Roman" w:cs="Times New Roman"/>
          <w:lang w:val="en-US" w:eastAsia="zh-CN"/>
        </w:rPr>
        <w:t>9</w:t>
      </w:r>
      <w:r>
        <w:rPr>
          <w:rFonts w:ascii="Times New Roman" w:hAnsi="Times New Roman" w:cs="Times New Roman"/>
        </w:rPr>
        <w:t>章 国土空间保障支撑体系</w:t>
      </w:r>
      <w:bookmarkEnd w:id="97"/>
      <w:bookmarkEnd w:id="98"/>
    </w:p>
    <w:p w14:paraId="49ECBEB2">
      <w:pPr>
        <w:pStyle w:val="3"/>
        <w:rPr>
          <w:rFonts w:ascii="Times New Roman" w:hAnsi="Times New Roman" w:cs="Times New Roman"/>
        </w:rPr>
      </w:pPr>
      <w:bookmarkStart w:id="99" w:name="_Toc205557250"/>
      <w:bookmarkStart w:id="100" w:name="_Toc14073"/>
      <w:r>
        <w:rPr>
          <w:rFonts w:hint="eastAsia" w:ascii="Times New Roman" w:hAnsi="Times New Roman" w:cs="Times New Roman"/>
          <w:lang w:val="en-US" w:eastAsia="zh-CN"/>
        </w:rPr>
        <w:t>9.1</w:t>
      </w:r>
      <w:r>
        <w:rPr>
          <w:rFonts w:ascii="Times New Roman" w:hAnsi="Times New Roman" w:cs="Times New Roman"/>
        </w:rPr>
        <w:t xml:space="preserve"> 公共服务设施</w:t>
      </w:r>
      <w:bookmarkEnd w:id="99"/>
      <w:bookmarkEnd w:id="100"/>
    </w:p>
    <w:p w14:paraId="339A68C2">
      <w:pPr>
        <w:pStyle w:val="4"/>
        <w:numPr>
          <w:ilvl w:val="0"/>
          <w:numId w:val="0"/>
        </w:numPr>
        <w:ind w:left="640" w:leftChars="0"/>
        <w:rPr>
          <w:rFonts w:cs="Times New Roman"/>
        </w:rPr>
      </w:pPr>
      <w:r>
        <w:rPr>
          <w:rFonts w:hint="eastAsia" w:cs="Times New Roman"/>
          <w:lang w:val="en-US" w:eastAsia="zh-CN"/>
        </w:rPr>
        <w:t>9.1.1</w:t>
      </w:r>
      <w:r>
        <w:rPr>
          <w:rFonts w:cs="Times New Roman"/>
        </w:rPr>
        <w:t>完善城乡公共服务体系</w:t>
      </w:r>
    </w:p>
    <w:p w14:paraId="6666B48B">
      <w:pPr>
        <w:widowControl/>
        <w:adjustRightInd w:val="0"/>
        <w:snapToGrid w:val="0"/>
        <w:ind w:firstLine="640"/>
        <w:rPr>
          <w:rFonts w:cs="Times New Roman"/>
        </w:rPr>
      </w:pPr>
      <w:r>
        <w:rPr>
          <w:rFonts w:cs="Times New Roman"/>
        </w:rPr>
        <w:t>建设</w:t>
      </w:r>
      <w:r>
        <w:rPr>
          <w:rFonts w:hint="eastAsia" w:cs="Times New Roman"/>
        </w:rPr>
        <w:t>“</w:t>
      </w:r>
      <w:r>
        <w:rPr>
          <w:rFonts w:cs="Times New Roman"/>
        </w:rPr>
        <w:t>乡中心区—村级</w:t>
      </w:r>
      <w:r>
        <w:rPr>
          <w:rFonts w:hint="eastAsia" w:cs="Times New Roman"/>
        </w:rPr>
        <w:t>”</w:t>
      </w:r>
      <w:r>
        <w:rPr>
          <w:rFonts w:cs="Times New Roman"/>
        </w:rPr>
        <w:t>两级公共服务设施体系，形成多层次、全覆盖、人性化的基本公共服务网络。乡级公共服务设施集中布置在乡中心区内，集中建设包括政府、中心幼儿园、文化站、卫生院、集贸市场、活动中心、文化广场等公共服务设施，建立设施完善的服务体系。村级公共服务设施应本着节约土地、充分利用存量土地、集中布局的原则，按照乡村振兴的总体要求，根据各村发展条件，主要建设村委会、卫生所、文化站、活动广场等服务设施，满足村民基本生活需求。对于旅游特色村，要重点配套和完善旅游住宿、旅游餐饮、旅游购物等旅游服务设施。</w:t>
      </w:r>
    </w:p>
    <w:p w14:paraId="37B581A1">
      <w:pPr>
        <w:widowControl/>
        <w:adjustRightInd w:val="0"/>
        <w:snapToGrid w:val="0"/>
        <w:ind w:firstLine="640"/>
        <w:rPr>
          <w:rFonts w:cs="Times New Roman"/>
        </w:rPr>
      </w:pPr>
      <w:r>
        <w:rPr>
          <w:rFonts w:cs="Times New Roman"/>
          <w:lang w:bidi="ar"/>
        </w:rPr>
        <w:t>综合考虑交通条件、村民出行距离和生产生活习惯、交通条件等因素，</w:t>
      </w:r>
      <w:r>
        <w:rPr>
          <w:rFonts w:cs="Times New Roman"/>
        </w:rPr>
        <w:t>按照慢行可达的空间范围，构建</w:t>
      </w:r>
      <w:r>
        <w:rPr>
          <w:rFonts w:hint="eastAsia" w:cs="Times New Roman"/>
        </w:rPr>
        <w:t>“</w:t>
      </w:r>
      <w:r>
        <w:rPr>
          <w:rFonts w:cs="Times New Roman"/>
        </w:rPr>
        <w:t>行政村—自然村</w:t>
      </w:r>
      <w:r>
        <w:rPr>
          <w:rFonts w:hint="eastAsia" w:cs="Times New Roman"/>
        </w:rPr>
        <w:t>”</w:t>
      </w:r>
      <w:r>
        <w:rPr>
          <w:rFonts w:cs="Times New Roman"/>
        </w:rPr>
        <w:t>两个层级的乡村社区生活圈，健全全民覆盖、普惠共享、城乡一体的基本公共服务体系。合理配置公共服务和生产服务设施，满足居民行政便民、文体休闲、健康卫生、基础教育、养老关怀、商业商贸等需求。到规划期末，综合服务设施覆盖率达到85%以上。</w:t>
      </w:r>
    </w:p>
    <w:p w14:paraId="4AC35D0F">
      <w:pPr>
        <w:widowControl/>
        <w:adjustRightInd w:val="0"/>
        <w:snapToGrid w:val="0"/>
        <w:ind w:firstLine="640"/>
        <w:rPr>
          <w:rFonts w:cs="Times New Roman"/>
        </w:rPr>
      </w:pPr>
      <w:r>
        <w:rPr>
          <w:rFonts w:cs="Times New Roman"/>
        </w:rPr>
        <w:t>完善文化休闲设施功能布局。开展综合文化中心、展览馆等文化设施建设。乡中心区建设1个综合性文化服务中心（文化站），在各行政村设置综合文化室，开展村级综合性文化室提质升级工作，达到建设标准。</w:t>
      </w:r>
    </w:p>
    <w:p w14:paraId="7B1DAB80">
      <w:pPr>
        <w:widowControl/>
        <w:adjustRightInd w:val="0"/>
        <w:snapToGrid w:val="0"/>
        <w:ind w:firstLine="640"/>
        <w:rPr>
          <w:rFonts w:cs="Times New Roman"/>
        </w:rPr>
      </w:pPr>
      <w:r>
        <w:rPr>
          <w:rFonts w:cs="Times New Roman"/>
        </w:rPr>
        <w:t>提高全民健身场地设施供给水平。充分利用公园绿地资源，打造具有特色的健身休闲集聚区。改善全民健身服务供给水平，乡中心区布局1处镇级全民健身活动中心，配置篮球场、健身器材等基本体育设施。提升农村地区全民健身服务质量，在中心村布局村级体育健身点，配置健身器材和健身步道。</w:t>
      </w:r>
    </w:p>
    <w:p w14:paraId="4DE975EE">
      <w:pPr>
        <w:widowControl/>
        <w:adjustRightInd w:val="0"/>
        <w:snapToGrid w:val="0"/>
        <w:ind w:firstLine="640"/>
        <w:rPr>
          <w:rFonts w:cs="Times New Roman"/>
        </w:rPr>
      </w:pPr>
      <w:r>
        <w:rPr>
          <w:rFonts w:cs="Times New Roman"/>
        </w:rPr>
        <w:t>优化教育设施功能布局。以实现镇域内学校标准化、师资均衡化、配备现代化、质量优质化的建设目标，加大推进义务教育学校校舍标准化建设力度，加强学校体育运动场（馆）建设。新建居民住宅区，应根据规划要求配套建设幼儿园。</w:t>
      </w:r>
    </w:p>
    <w:p w14:paraId="7B509D7F">
      <w:pPr>
        <w:widowControl/>
        <w:adjustRightInd w:val="0"/>
        <w:snapToGrid w:val="0"/>
        <w:ind w:firstLine="640"/>
        <w:rPr>
          <w:rFonts w:cs="Times New Roman"/>
        </w:rPr>
      </w:pPr>
      <w:r>
        <w:rPr>
          <w:rFonts w:cs="Times New Roman"/>
        </w:rPr>
        <w:t>加强医疗卫生设施建设。提升</w:t>
      </w:r>
      <w:r>
        <w:rPr>
          <w:rFonts w:hint="eastAsia" w:cs="Times New Roman"/>
        </w:rPr>
        <w:t>北甸子</w:t>
      </w:r>
      <w:r>
        <w:rPr>
          <w:rFonts w:cs="Times New Roman"/>
        </w:rPr>
        <w:t>乡卫生院服务能力和服务质量，保障应急医疗设施用地，各村设置一处村卫生室。做好农村医疗卫生和预防保健工作，优化医疗卫生资源，提高整体医疗卫生水平。</w:t>
      </w:r>
    </w:p>
    <w:p w14:paraId="29E67B7D">
      <w:pPr>
        <w:widowControl/>
        <w:adjustRightInd w:val="0"/>
        <w:snapToGrid w:val="0"/>
        <w:ind w:firstLine="640"/>
        <w:rPr>
          <w:rFonts w:hint="eastAsia" w:cs="Times New Roman"/>
        </w:rPr>
      </w:pPr>
      <w:r>
        <w:rPr>
          <w:rFonts w:cs="Times New Roman"/>
        </w:rPr>
        <w:t>强化农村养老服务供给保障。创新日间照料、居家养老、社会养老等多元化服务模式，大力发展社区性的老年人日间照料服务，加快发展公益性和经营性的农村养老、康乐服务，完善农村养老保障体系。</w:t>
      </w:r>
      <w:r>
        <w:rPr>
          <w:rFonts w:hint="eastAsia" w:cs="Times New Roman"/>
        </w:rPr>
        <w:t>坚持普惠性、保基本、均等化、可持续、高标准建设社会保障服务设施。中心村结合村委会以及闲置校舍建设村级幸福院、老年人日间照料中心、老年活动室。一般村结合村委会以及闲置校舍综合设置老年人活动室等。</w:t>
      </w:r>
    </w:p>
    <w:p w14:paraId="68910B48">
      <w:pPr>
        <w:widowControl/>
        <w:adjustRightInd w:val="0"/>
        <w:snapToGrid w:val="0"/>
        <w:ind w:firstLine="640"/>
        <w:rPr>
          <w:rFonts w:cs="Times New Roman"/>
        </w:rPr>
      </w:pPr>
      <w:r>
        <w:rPr>
          <w:rFonts w:cs="Times New Roman"/>
        </w:rPr>
        <w:t>加强旅游服务设施建设。结合</w:t>
      </w:r>
      <w:r>
        <w:rPr>
          <w:rFonts w:hint="eastAsia" w:cs="Times New Roman"/>
        </w:rPr>
        <w:t>冰酒小镇</w:t>
      </w:r>
      <w:r>
        <w:rPr>
          <w:rFonts w:cs="Times New Roman"/>
        </w:rPr>
        <w:t>综合开发景区布置游客服务中心，在各旅游区内，结合主要游客集散点和和活动区域布置游客服务点。结合旅游产业发展，重点加强旅游交通、旅游住宿设施、旅游餐饮设施、文化娱乐设施、旅游购物设施等建设。</w:t>
      </w:r>
    </w:p>
    <w:p w14:paraId="042AAA25">
      <w:pPr>
        <w:widowControl/>
        <w:adjustRightInd w:val="0"/>
        <w:snapToGrid w:val="0"/>
        <w:ind w:firstLine="640"/>
        <w:rPr>
          <w:rFonts w:cs="Times New Roman"/>
        </w:rPr>
      </w:pPr>
      <w:r>
        <w:rPr>
          <w:rFonts w:cs="Times New Roman"/>
        </w:rPr>
        <w:t>推动公益性公墓建设。按照</w:t>
      </w:r>
      <w:r>
        <w:rPr>
          <w:rFonts w:hint="eastAsia" w:cs="Times New Roman"/>
        </w:rPr>
        <w:t>“</w:t>
      </w:r>
      <w:r>
        <w:rPr>
          <w:rFonts w:cs="Times New Roman"/>
        </w:rPr>
        <w:t>因地制宜、量力而行、尽力而为</w:t>
      </w:r>
      <w:r>
        <w:rPr>
          <w:rFonts w:hint="eastAsia" w:cs="Times New Roman"/>
        </w:rPr>
        <w:t>”</w:t>
      </w:r>
      <w:r>
        <w:rPr>
          <w:rFonts w:cs="Times New Roman"/>
        </w:rPr>
        <w:t>的原则推进农村公益性公墓建设，利用村集体建设用地、林地、荒地、废弃地、改造农村散坟集中安葬点等作为公益性公墓建设用地。</w:t>
      </w:r>
    </w:p>
    <w:p w14:paraId="16D6B144">
      <w:pPr>
        <w:pStyle w:val="4"/>
        <w:numPr>
          <w:ilvl w:val="0"/>
          <w:numId w:val="0"/>
        </w:numPr>
        <w:ind w:left="640" w:leftChars="0"/>
        <w:rPr>
          <w:rFonts w:cs="Times New Roman"/>
        </w:rPr>
      </w:pPr>
      <w:r>
        <w:rPr>
          <w:rFonts w:hint="eastAsia" w:cs="Times New Roman"/>
          <w:lang w:val="en-US" w:eastAsia="zh-CN"/>
        </w:rPr>
        <w:t>9.1.2</w:t>
      </w:r>
      <w:r>
        <w:rPr>
          <w:rFonts w:cs="Times New Roman"/>
        </w:rPr>
        <w:t>提升乡中心区公共服务设施水平</w:t>
      </w:r>
    </w:p>
    <w:p w14:paraId="35FC78A5">
      <w:pPr>
        <w:ind w:firstLine="640"/>
        <w:rPr>
          <w:rFonts w:cs="Times New Roman"/>
        </w:rPr>
      </w:pPr>
      <w:r>
        <w:rPr>
          <w:rFonts w:cs="Times New Roman"/>
        </w:rPr>
        <w:t>——形成复合活力的公共中心体系</w:t>
      </w:r>
    </w:p>
    <w:p w14:paraId="2028E65A">
      <w:pPr>
        <w:ind w:firstLine="640"/>
        <w:rPr>
          <w:rFonts w:cs="Times New Roman"/>
          <w:lang w:bidi="ar"/>
        </w:rPr>
      </w:pPr>
      <w:r>
        <w:rPr>
          <w:rFonts w:cs="Times New Roman"/>
          <w:lang w:bidi="ar"/>
        </w:rPr>
        <w:t>完善</w:t>
      </w:r>
      <w:r>
        <w:rPr>
          <w:rFonts w:hint="eastAsia" w:cs="Times New Roman"/>
          <w:lang w:bidi="ar"/>
        </w:rPr>
        <w:t>北甸子</w:t>
      </w:r>
      <w:r>
        <w:rPr>
          <w:rFonts w:cs="Times New Roman"/>
          <w:lang w:bidi="ar"/>
        </w:rPr>
        <w:t>乡</w:t>
      </w:r>
      <w:r>
        <w:rPr>
          <w:rFonts w:hint="eastAsia" w:cs="Times New Roman"/>
          <w:lang w:bidi="ar"/>
        </w:rPr>
        <w:t>“</w:t>
      </w:r>
      <w:r>
        <w:rPr>
          <w:rFonts w:cs="Times New Roman"/>
          <w:lang w:bidi="ar"/>
        </w:rPr>
        <w:t>十五分钟社区生活圈</w:t>
      </w:r>
      <w:r>
        <w:rPr>
          <w:rFonts w:hint="eastAsia" w:cs="Times New Roman"/>
          <w:lang w:bidi="ar"/>
        </w:rPr>
        <w:t>”</w:t>
      </w:r>
      <w:r>
        <w:rPr>
          <w:rFonts w:cs="Times New Roman"/>
          <w:lang w:bidi="ar"/>
        </w:rPr>
        <w:t>建设，以社区生活圈为单元，补齐公共服务短板，重点优化配备基层的健康管理、养老服务、终身教育、文化活动、体育健身、商业服务、行政管理等各类基本公共服务设施。规划至2035年，乡中心区打造1个十五分钟社区生活圈，形成1</w:t>
      </w:r>
      <w:r>
        <w:rPr>
          <w:rFonts w:hint="eastAsia" w:cs="Times New Roman"/>
          <w:lang w:val="en-US" w:eastAsia="zh-CN" w:bidi="ar"/>
        </w:rPr>
        <w:tab/>
      </w:r>
      <w:r>
        <w:rPr>
          <w:rFonts w:cs="Times New Roman"/>
          <w:lang w:bidi="ar"/>
        </w:rPr>
        <w:t>处公共服务中心，覆盖率达到100%，乡中心区各级公共管理与公共服务用地人均面积达到</w:t>
      </w:r>
      <w:r>
        <w:rPr>
          <w:rFonts w:hint="eastAsia" w:cs="Times New Roman"/>
          <w:lang w:bidi="ar"/>
        </w:rPr>
        <w:t>15.25</w:t>
      </w:r>
      <w:r>
        <w:rPr>
          <w:rFonts w:cs="Times New Roman"/>
          <w:lang w:bidi="ar"/>
        </w:rPr>
        <w:t>平方米。</w:t>
      </w:r>
    </w:p>
    <w:p w14:paraId="20C77FCD">
      <w:pPr>
        <w:ind w:firstLine="640"/>
        <w:rPr>
          <w:rFonts w:cs="Times New Roman"/>
          <w:lang w:bidi="ar"/>
        </w:rPr>
      </w:pPr>
      <w:r>
        <w:rPr>
          <w:rFonts w:cs="Times New Roman"/>
          <w:lang w:bidi="ar"/>
        </w:rPr>
        <w:t>——文化设施</w:t>
      </w:r>
    </w:p>
    <w:p w14:paraId="12B2CE1D">
      <w:pPr>
        <w:ind w:firstLine="640"/>
        <w:rPr>
          <w:rFonts w:cs="Times New Roman"/>
          <w:lang w:bidi="ar"/>
        </w:rPr>
      </w:pPr>
      <w:bookmarkStart w:id="101" w:name="_Hlk131412087"/>
      <w:r>
        <w:rPr>
          <w:rFonts w:cs="Times New Roman"/>
          <w:lang w:bidi="ar"/>
        </w:rPr>
        <w:t>提升乡镇级文化设施水平。</w:t>
      </w:r>
      <w:bookmarkEnd w:id="101"/>
      <w:r>
        <w:rPr>
          <w:rFonts w:cs="Times New Roman"/>
          <w:lang w:bidi="ar"/>
        </w:rPr>
        <w:t>规划在乡中心区中部建设文化站，推动公共图书馆、文化馆（站）、基层综合性文化服务中心和旅游服务中心一体化建设。推动将阅读、艺术表演等文化服务融入旅游服务中心、旅游集散中心等旅游公共服务场所。结合行政办公用地和公共绿地、文化广场，复合利用增设文体科技设施，以提升北甸子乡的文化品牌建设。</w:t>
      </w:r>
    </w:p>
    <w:p w14:paraId="29254BDE">
      <w:pPr>
        <w:ind w:firstLine="640"/>
        <w:rPr>
          <w:rFonts w:cs="Times New Roman"/>
          <w:lang w:bidi="ar"/>
        </w:rPr>
      </w:pPr>
      <w:r>
        <w:rPr>
          <w:rFonts w:cs="Times New Roman"/>
          <w:lang w:bidi="ar"/>
        </w:rPr>
        <w:t>结合居住用地布局，均衡合理配置基层文化设施。完善社区级文化设施建设，优化基层文化设施布局，提升基层文化设施服务效能。</w:t>
      </w:r>
    </w:p>
    <w:p w14:paraId="20ABCC59">
      <w:pPr>
        <w:ind w:firstLine="640"/>
        <w:rPr>
          <w:rFonts w:cs="Times New Roman"/>
          <w:lang w:bidi="ar"/>
        </w:rPr>
      </w:pPr>
      <w:r>
        <w:rPr>
          <w:rFonts w:cs="Times New Roman"/>
          <w:lang w:bidi="ar"/>
        </w:rPr>
        <w:t>——教育设施</w:t>
      </w:r>
    </w:p>
    <w:p w14:paraId="1C01798F">
      <w:pPr>
        <w:ind w:firstLine="640"/>
        <w:rPr>
          <w:rFonts w:cs="Times New Roman"/>
          <w:lang w:bidi="ar"/>
        </w:rPr>
      </w:pPr>
      <w:bookmarkStart w:id="102" w:name="_Hlk162974331"/>
      <w:r>
        <w:rPr>
          <w:rFonts w:cs="Times New Roman"/>
          <w:lang w:bidi="ar"/>
        </w:rPr>
        <w:t>基础教育实现优质均衡发展，规划至2035年，乡中心区人均教育设施用地不少于</w:t>
      </w:r>
      <w:r>
        <w:rPr>
          <w:rFonts w:hint="eastAsia" w:cs="Times New Roman"/>
          <w:lang w:bidi="ar"/>
        </w:rPr>
        <w:t>11.91</w:t>
      </w:r>
      <w:r>
        <w:rPr>
          <w:rFonts w:cs="Times New Roman"/>
          <w:lang w:bidi="ar"/>
        </w:rPr>
        <w:t>平方米。引导基础教育资源合理布局，保障基础教育发展空间，加大基础教育用地统筹利用和储备保障。提升九年一贯制学校教育设施水平，进一步完善中心幼儿园设施。</w:t>
      </w:r>
      <w:bookmarkEnd w:id="102"/>
    </w:p>
    <w:p w14:paraId="2700BD1F">
      <w:pPr>
        <w:ind w:firstLine="640"/>
        <w:rPr>
          <w:rFonts w:cs="Times New Roman"/>
          <w:lang w:bidi="ar"/>
        </w:rPr>
      </w:pPr>
      <w:r>
        <w:rPr>
          <w:rFonts w:cs="Times New Roman"/>
          <w:lang w:bidi="ar"/>
        </w:rPr>
        <w:t>——体育设施</w:t>
      </w:r>
    </w:p>
    <w:p w14:paraId="7551E1EE">
      <w:pPr>
        <w:ind w:firstLine="640"/>
        <w:rPr>
          <w:rFonts w:cs="Times New Roman"/>
          <w:lang w:bidi="ar"/>
        </w:rPr>
      </w:pPr>
      <w:r>
        <w:rPr>
          <w:rFonts w:cs="Times New Roman"/>
          <w:lang w:bidi="ar"/>
        </w:rPr>
        <w:t>深入实施健康中国战略和全民健身国家战略，构建更高水平的全民健身公共服务体系，推动全民健身均等化、融合化和智慧化发展，不断满足人民群众多元化健身需求。</w:t>
      </w:r>
    </w:p>
    <w:p w14:paraId="48A58FC6">
      <w:pPr>
        <w:ind w:firstLine="640"/>
        <w:rPr>
          <w:rFonts w:cs="Times New Roman"/>
          <w:lang w:bidi="ar"/>
        </w:rPr>
      </w:pPr>
      <w:r>
        <w:rPr>
          <w:rFonts w:cs="Times New Roman"/>
          <w:lang w:bidi="ar"/>
        </w:rPr>
        <w:t>建立全面覆盖、功能完善、普惠均等的多层级公共体育设施体系与布局，实现广泛参与、特色鲜明、优质共享的全民健身多元化服务网络，打造覆盖居住区的十五分钟健身圈。</w:t>
      </w:r>
    </w:p>
    <w:p w14:paraId="1126D664">
      <w:pPr>
        <w:ind w:firstLine="640"/>
        <w:rPr>
          <w:rFonts w:cs="Times New Roman"/>
          <w:lang w:bidi="ar"/>
        </w:rPr>
      </w:pPr>
      <w:r>
        <w:rPr>
          <w:rFonts w:cs="Times New Roman"/>
          <w:lang w:bidi="ar"/>
        </w:rPr>
        <w:t>提升乡镇级体育设施水平。增加社区级体育设施覆盖率，系统梳理可用于建设健身场地设施的空闲地、边角地、建筑屋顶等空间资源以及可复合利用的城市文化娱乐、养老、教育、商业等其他设施资源，聚焦群众就近健身需求，优先建设贴近社区、方便可达的多功能运动场、体育公园、健身步道、健身广场、小型足球场等健身设施，不断促进企事业单位体育设施分时开放。</w:t>
      </w:r>
    </w:p>
    <w:p w14:paraId="0D973E66">
      <w:pPr>
        <w:ind w:firstLine="640"/>
        <w:rPr>
          <w:rFonts w:cs="Times New Roman"/>
          <w:lang w:bidi="ar"/>
        </w:rPr>
      </w:pPr>
      <w:r>
        <w:rPr>
          <w:rFonts w:cs="Times New Roman"/>
          <w:lang w:bidi="ar"/>
        </w:rPr>
        <w:t>——医疗卫生设施</w:t>
      </w:r>
    </w:p>
    <w:p w14:paraId="666C943D">
      <w:pPr>
        <w:ind w:firstLine="640"/>
        <w:rPr>
          <w:rFonts w:cs="Times New Roman"/>
          <w:lang w:bidi="ar"/>
        </w:rPr>
      </w:pPr>
      <w:bookmarkStart w:id="103" w:name="_Hlk131091265"/>
      <w:r>
        <w:rPr>
          <w:rFonts w:cs="Times New Roman"/>
          <w:lang w:bidi="ar"/>
        </w:rPr>
        <w:t>逐步改善现有医疗卫生设施，对北甸子乡中心</w:t>
      </w:r>
      <w:r>
        <w:rPr>
          <w:rFonts w:hint="eastAsia" w:cs="Times New Roman"/>
          <w:lang w:val="en-US" w:eastAsia="zh-CN" w:bidi="ar"/>
        </w:rPr>
        <w:t>卫生院</w:t>
      </w:r>
      <w:r>
        <w:rPr>
          <w:rFonts w:cs="Times New Roman"/>
          <w:lang w:bidi="ar"/>
        </w:rPr>
        <w:t>进行升级改造，提升急诊急救、老年健康管理、中医康养等方面服务水平。持续推进“互联网＋医疗健康”服务，实现纳入县域医共体建设，促进优质医疗卫生资源下沉。增加老年颐养功能，以发展养老产业，应对人口老龄化发展。</w:t>
      </w:r>
    </w:p>
    <w:bookmarkEnd w:id="103"/>
    <w:p w14:paraId="100D629C">
      <w:pPr>
        <w:ind w:firstLine="640"/>
        <w:rPr>
          <w:rFonts w:cs="Times New Roman"/>
          <w:lang w:bidi="ar"/>
        </w:rPr>
      </w:pPr>
      <w:r>
        <w:rPr>
          <w:rFonts w:cs="Times New Roman"/>
          <w:lang w:bidi="ar"/>
        </w:rPr>
        <w:t>——社会福利设施</w:t>
      </w:r>
    </w:p>
    <w:p w14:paraId="3FF4B5DA">
      <w:pPr>
        <w:ind w:firstLine="640"/>
        <w:rPr>
          <w:rFonts w:cs="Times New Roman"/>
          <w:lang w:bidi="ar"/>
        </w:rPr>
      </w:pPr>
      <w:r>
        <w:rPr>
          <w:rFonts w:cs="Times New Roman"/>
          <w:lang w:bidi="ar"/>
        </w:rPr>
        <w:t>以养老服务设施为主线，整合统筹残疾人、困境儿童两个群体的设施服务需求。大力推进儿童福利设施机构的建设，至规划期末基本实现能够为众多孤儿提供专业的养育、康复和特教等服务，形成儿童福利机构服务网络。</w:t>
      </w:r>
    </w:p>
    <w:p w14:paraId="0EDE3202">
      <w:pPr>
        <w:ind w:firstLine="640"/>
        <w:rPr>
          <w:rFonts w:cs="Times New Roman"/>
          <w:lang w:bidi="ar"/>
        </w:rPr>
      </w:pPr>
      <w:r>
        <w:rPr>
          <w:rFonts w:cs="Times New Roman"/>
          <w:lang w:bidi="ar"/>
        </w:rPr>
        <w:t>建立</w:t>
      </w:r>
      <w:r>
        <w:rPr>
          <w:rFonts w:hint="eastAsia" w:cs="Times New Roman"/>
          <w:lang w:bidi="ar"/>
        </w:rPr>
        <w:t>“</w:t>
      </w:r>
      <w:r>
        <w:rPr>
          <w:rFonts w:cs="Times New Roman"/>
          <w:lang w:bidi="ar"/>
        </w:rPr>
        <w:t>居家为基础、社区为依托、机构充分发展、医养相结合、城乡区域一体</w:t>
      </w:r>
      <w:r>
        <w:rPr>
          <w:rFonts w:hint="eastAsia" w:cs="Times New Roman"/>
          <w:lang w:bidi="ar"/>
        </w:rPr>
        <w:t>”</w:t>
      </w:r>
      <w:r>
        <w:rPr>
          <w:rFonts w:cs="Times New Roman"/>
          <w:lang w:bidi="ar"/>
        </w:rPr>
        <w:t>的养老服务体系，推动医养结合的康养产业和养老服务业做大做强。</w:t>
      </w:r>
    </w:p>
    <w:p w14:paraId="31282C9F">
      <w:pPr>
        <w:pStyle w:val="3"/>
        <w:rPr>
          <w:rFonts w:ascii="Times New Roman" w:hAnsi="Times New Roman" w:cs="Times New Roman"/>
        </w:rPr>
      </w:pPr>
      <w:bookmarkStart w:id="104" w:name="_Toc205557251"/>
      <w:bookmarkStart w:id="105" w:name="_Toc19167"/>
      <w:r>
        <w:rPr>
          <w:rFonts w:hint="eastAsia" w:ascii="Times New Roman" w:hAnsi="Times New Roman" w:cs="Times New Roman"/>
          <w:lang w:val="en-US" w:eastAsia="zh-CN"/>
        </w:rPr>
        <w:t>9.2</w:t>
      </w:r>
      <w:r>
        <w:rPr>
          <w:rFonts w:ascii="Times New Roman" w:hAnsi="Times New Roman" w:cs="Times New Roman"/>
        </w:rPr>
        <w:t xml:space="preserve"> 综合交通设施</w:t>
      </w:r>
      <w:bookmarkEnd w:id="104"/>
      <w:bookmarkEnd w:id="105"/>
    </w:p>
    <w:p w14:paraId="69A97664">
      <w:pPr>
        <w:pStyle w:val="4"/>
        <w:numPr>
          <w:ilvl w:val="0"/>
          <w:numId w:val="0"/>
        </w:numPr>
        <w:ind w:left="640" w:leftChars="0"/>
        <w:rPr>
          <w:rFonts w:cs="Times New Roman"/>
        </w:rPr>
      </w:pPr>
      <w:r>
        <w:rPr>
          <w:rFonts w:hint="eastAsia" w:cs="Times New Roman"/>
          <w:lang w:val="en-US" w:eastAsia="zh-CN"/>
        </w:rPr>
        <w:t>9.2.1</w:t>
      </w:r>
      <w:r>
        <w:rPr>
          <w:rFonts w:cs="Times New Roman"/>
        </w:rPr>
        <w:t>构建镇域综合交通网络体系</w:t>
      </w:r>
    </w:p>
    <w:p w14:paraId="4C9A552D">
      <w:pPr>
        <w:widowControl/>
        <w:adjustRightInd w:val="0"/>
        <w:snapToGrid w:val="0"/>
        <w:ind w:firstLine="640"/>
        <w:rPr>
          <w:rFonts w:cs="Times New Roman"/>
        </w:rPr>
      </w:pPr>
      <w:r>
        <w:rPr>
          <w:rFonts w:hint="eastAsia" w:cs="Times New Roman"/>
        </w:rPr>
        <w:t>北甸子</w:t>
      </w:r>
      <w:r>
        <w:rPr>
          <w:rFonts w:cs="Times New Roman"/>
        </w:rPr>
        <w:t>乡域内的主要对外交通为</w:t>
      </w:r>
      <w:r>
        <w:rPr>
          <w:rFonts w:hint="eastAsia" w:cs="Times New Roman"/>
        </w:rPr>
        <w:t>省道S305柞本线</w:t>
      </w:r>
      <w:r>
        <w:rPr>
          <w:rFonts w:cs="Times New Roman"/>
        </w:rPr>
        <w:t>，依托省级交通干线，加强</w:t>
      </w:r>
      <w:r>
        <w:rPr>
          <w:rFonts w:hint="eastAsia" w:cs="Times New Roman"/>
        </w:rPr>
        <w:t>北甸子</w:t>
      </w:r>
      <w:r>
        <w:rPr>
          <w:rFonts w:cs="Times New Roman"/>
        </w:rPr>
        <w:t>乡与周边地区的交通联系，立足地区干线，完善区域交通网路。全面提高乡村道路等级，改善路面质量，形成以国、省干道为基本骨架、以放射状乡村级道路为支撑，联系各个村庄的较为完善的乡域公路交通网体系。</w:t>
      </w:r>
    </w:p>
    <w:p w14:paraId="0FE2E829">
      <w:pPr>
        <w:pStyle w:val="4"/>
        <w:numPr>
          <w:ilvl w:val="0"/>
          <w:numId w:val="0"/>
        </w:numPr>
        <w:ind w:left="640" w:leftChars="0"/>
        <w:rPr>
          <w:rFonts w:cs="Times New Roman"/>
        </w:rPr>
      </w:pPr>
      <w:r>
        <w:rPr>
          <w:rFonts w:hint="eastAsia" w:cs="Times New Roman"/>
          <w:lang w:val="en-US" w:eastAsia="zh-CN"/>
        </w:rPr>
        <w:t>9.2.2</w:t>
      </w:r>
      <w:r>
        <w:rPr>
          <w:rFonts w:cs="Times New Roman"/>
        </w:rPr>
        <w:t>乡中心区交通网络优化</w:t>
      </w:r>
    </w:p>
    <w:p w14:paraId="0A219ACE">
      <w:pPr>
        <w:widowControl/>
        <w:adjustRightInd w:val="0"/>
        <w:snapToGrid w:val="0"/>
        <w:ind w:firstLine="640"/>
        <w:rPr>
          <w:rFonts w:cs="Times New Roman"/>
        </w:rPr>
      </w:pPr>
      <w:r>
        <w:rPr>
          <w:rFonts w:cs="Times New Roman"/>
        </w:rPr>
        <w:t>——建设分级城镇道路结构</w:t>
      </w:r>
    </w:p>
    <w:p w14:paraId="15AECA84">
      <w:pPr>
        <w:widowControl/>
        <w:adjustRightInd w:val="0"/>
        <w:snapToGrid w:val="0"/>
        <w:ind w:firstLine="640"/>
        <w:rPr>
          <w:rFonts w:cs="Times New Roman"/>
          <w:color w:val="000000"/>
        </w:rPr>
      </w:pPr>
      <w:r>
        <w:rPr>
          <w:rFonts w:cs="Times New Roman"/>
        </w:rPr>
        <w:t>乡中心区内部整体划分为主干路、次干路、支路三级方格网道路结构。</w:t>
      </w:r>
      <w:r>
        <w:rPr>
          <w:rFonts w:hint="eastAsia" w:cs="Times New Roman"/>
        </w:rPr>
        <w:t>友谊大街</w:t>
      </w:r>
      <w:r>
        <w:rPr>
          <w:rFonts w:cs="Times New Roman"/>
        </w:rPr>
        <w:t>作为主干路，是乡中心区对外联系的主要通道，以交通功能为主，道路红线</w:t>
      </w:r>
      <w:r>
        <w:rPr>
          <w:rFonts w:hint="eastAsia" w:cs="Times New Roman"/>
        </w:rPr>
        <w:t>16</w:t>
      </w:r>
      <w:r>
        <w:rPr>
          <w:rFonts w:cs="Times New Roman"/>
        </w:rPr>
        <w:t>米；次干路是</w:t>
      </w:r>
      <w:r>
        <w:rPr>
          <w:rFonts w:hint="eastAsia" w:cs="Times New Roman"/>
        </w:rPr>
        <w:t>二长线，为过境</w:t>
      </w:r>
      <w:r>
        <w:rPr>
          <w:rFonts w:cs="Times New Roman"/>
        </w:rPr>
        <w:t>重要通道，同时兼有生活功能，道路红线</w:t>
      </w:r>
      <w:r>
        <w:rPr>
          <w:rFonts w:hint="eastAsia" w:cs="Times New Roman"/>
        </w:rPr>
        <w:t>8米、10</w:t>
      </w:r>
      <w:r>
        <w:rPr>
          <w:rFonts w:cs="Times New Roman"/>
        </w:rPr>
        <w:t>米；支路对道路网起补充作用，以便民的交通功能为主，连接各个必要的公共设施，道路红线</w:t>
      </w:r>
      <w:r>
        <w:rPr>
          <w:rFonts w:hint="eastAsia" w:cs="Times New Roman"/>
        </w:rPr>
        <w:t>6米、5</w:t>
      </w:r>
      <w:r>
        <w:rPr>
          <w:rFonts w:cs="Times New Roman"/>
        </w:rPr>
        <w:t>米。道路断面均为一块</w:t>
      </w:r>
      <w:r>
        <w:rPr>
          <w:rFonts w:cs="Times New Roman"/>
          <w:color w:val="000000"/>
        </w:rPr>
        <w:t>板。</w:t>
      </w:r>
    </w:p>
    <w:p w14:paraId="2B937A76">
      <w:pPr>
        <w:widowControl/>
        <w:adjustRightInd w:val="0"/>
        <w:snapToGrid w:val="0"/>
        <w:ind w:firstLine="640"/>
        <w:rPr>
          <w:rFonts w:cs="Times New Roman"/>
        </w:rPr>
      </w:pPr>
      <w:r>
        <w:rPr>
          <w:rFonts w:cs="Times New Roman"/>
        </w:rPr>
        <w:t>——构建快慢结合的公交网络</w:t>
      </w:r>
    </w:p>
    <w:p w14:paraId="424A0FF5">
      <w:pPr>
        <w:widowControl/>
        <w:adjustRightInd w:val="0"/>
        <w:snapToGrid w:val="0"/>
        <w:ind w:firstLine="640"/>
        <w:rPr>
          <w:rFonts w:cs="Times New Roman"/>
        </w:rPr>
      </w:pPr>
      <w:r>
        <w:rPr>
          <w:rFonts w:cs="Times New Roman"/>
        </w:rPr>
        <w:t>优化提升常规公交体系，提升公交服务水平，增加公共交通等绿色交通的分担比例。至2035年，公交300米站点覆盖率不小于70%，500米公交站点覆盖率不小于90%。建设好充电桩等服务新能源汽车的基础设施，加快提升城镇客运清洁化、低碳化水平。</w:t>
      </w:r>
    </w:p>
    <w:p w14:paraId="5B437E27">
      <w:pPr>
        <w:widowControl/>
        <w:adjustRightInd w:val="0"/>
        <w:snapToGrid w:val="0"/>
        <w:ind w:firstLine="640"/>
        <w:rPr>
          <w:rFonts w:cs="Times New Roman"/>
        </w:rPr>
      </w:pPr>
      <w:r>
        <w:rPr>
          <w:rFonts w:cs="Times New Roman"/>
        </w:rPr>
        <w:t>——完善慢行系统</w:t>
      </w:r>
    </w:p>
    <w:p w14:paraId="17CC4CB3">
      <w:pPr>
        <w:widowControl/>
        <w:adjustRightInd w:val="0"/>
        <w:snapToGrid w:val="0"/>
        <w:ind w:firstLine="640"/>
        <w:rPr>
          <w:rFonts w:cs="Times New Roman"/>
        </w:rPr>
      </w:pPr>
      <w:r>
        <w:rPr>
          <w:rFonts w:cs="Times New Roman"/>
        </w:rPr>
        <w:t>倡导绿色低碳生活方式，大力发展慢行交通，不断完善慢行交通基础设施，构建连续、便捷、舒适的慢行交通系统。规划主干路两侧慢行设施宽度不宜小于3米，次干路两侧慢行设施宽度不宜小于2米。在公共交通发达、人流密集地区划定地面无车区，提供足够的自行车停放空间。不断改善步行和自行车出行环境，发挥步行和骑行在终端距离出行和公共交通接驳中的主体作用。</w:t>
      </w:r>
    </w:p>
    <w:p w14:paraId="45C9B002">
      <w:pPr>
        <w:widowControl/>
        <w:adjustRightInd w:val="0"/>
        <w:snapToGrid w:val="0"/>
        <w:ind w:firstLine="640"/>
        <w:rPr>
          <w:rFonts w:cs="Times New Roman"/>
        </w:rPr>
      </w:pPr>
      <w:r>
        <w:rPr>
          <w:rFonts w:cs="Times New Roman"/>
        </w:rPr>
        <w:t>——增加静态交通设施供给</w:t>
      </w:r>
    </w:p>
    <w:p w14:paraId="039672D4">
      <w:pPr>
        <w:widowControl/>
        <w:adjustRightInd w:val="0"/>
        <w:snapToGrid w:val="0"/>
        <w:ind w:firstLine="640"/>
        <w:rPr>
          <w:rFonts w:cs="Times New Roman"/>
        </w:rPr>
      </w:pPr>
      <w:r>
        <w:rPr>
          <w:rFonts w:cs="Times New Roman"/>
        </w:rPr>
        <w:t>规划形成以配建停车为主，路外公共停车为辅，路内停车为补充的停车设施供给体系。适当增加学校、医院、办公楼、商业等重点区域的公共停车设施，鼓励利用腾退土地及边角地建设立体停车设施。鼓励停车资源共享共用，提高停车设施的利用效率。积极在乡中心区建设电动车充电站（桩），以顺应新能源汽车大规模推广应用的趋势。</w:t>
      </w:r>
    </w:p>
    <w:p w14:paraId="3DA957A6">
      <w:pPr>
        <w:widowControl/>
        <w:adjustRightInd w:val="0"/>
        <w:snapToGrid w:val="0"/>
        <w:ind w:firstLine="640"/>
        <w:rPr>
          <w:rFonts w:cs="Times New Roman"/>
        </w:rPr>
      </w:pPr>
      <w:r>
        <w:rPr>
          <w:rFonts w:cs="Times New Roman"/>
        </w:rPr>
        <w:t>——建筑退让管理</w:t>
      </w:r>
    </w:p>
    <w:p w14:paraId="7B4643C9">
      <w:pPr>
        <w:widowControl/>
        <w:adjustRightInd w:val="0"/>
        <w:snapToGrid w:val="0"/>
        <w:ind w:firstLine="640"/>
        <w:rPr>
          <w:rFonts w:cs="Times New Roman"/>
          <w:u w:val="single"/>
        </w:rPr>
      </w:pPr>
      <w:r>
        <w:rPr>
          <w:rFonts w:cs="Times New Roman"/>
          <w:u w:val="single"/>
        </w:rPr>
        <w:t>沿道路两侧新建、扩建、改建的建筑物应当按照规定后退道路红线，退让红线距离不得小于5米。</w:t>
      </w:r>
      <w:r>
        <w:rPr>
          <w:rFonts w:hint="eastAsia" w:cs="Times New Roman"/>
          <w:color w:val="000000"/>
          <w:u w:val="single"/>
        </w:rPr>
        <w:t>友谊大街</w:t>
      </w:r>
      <w:r>
        <w:rPr>
          <w:rFonts w:cs="Times New Roman"/>
          <w:color w:val="000000"/>
          <w:u w:val="single"/>
        </w:rPr>
        <w:t>、省道</w:t>
      </w:r>
      <w:r>
        <w:rPr>
          <w:rFonts w:hint="eastAsia" w:cs="Times New Roman"/>
          <w:color w:val="000000"/>
          <w:u w:val="single"/>
        </w:rPr>
        <w:t>二长</w:t>
      </w:r>
      <w:r>
        <w:rPr>
          <w:rFonts w:cs="Times New Roman"/>
          <w:color w:val="000000"/>
          <w:u w:val="single"/>
        </w:rPr>
        <w:t>线</w:t>
      </w:r>
      <w:r>
        <w:rPr>
          <w:rFonts w:cs="Times New Roman"/>
          <w:u w:val="single"/>
        </w:rPr>
        <w:t>按照《辽宁省公路管理条例》相关要求执行。</w:t>
      </w:r>
    </w:p>
    <w:p w14:paraId="63F38BCD">
      <w:pPr>
        <w:pStyle w:val="3"/>
        <w:rPr>
          <w:rFonts w:ascii="Times New Roman" w:hAnsi="Times New Roman" w:cs="Times New Roman"/>
        </w:rPr>
      </w:pPr>
      <w:bookmarkStart w:id="106" w:name="_Toc3133"/>
      <w:bookmarkStart w:id="107" w:name="_Toc205557252"/>
      <w:r>
        <w:rPr>
          <w:rFonts w:hint="eastAsia" w:ascii="Times New Roman" w:hAnsi="Times New Roman" w:cs="Times New Roman"/>
          <w:lang w:val="en-US" w:eastAsia="zh-CN"/>
        </w:rPr>
        <w:t>9.3</w:t>
      </w:r>
      <w:r>
        <w:rPr>
          <w:rFonts w:ascii="Times New Roman" w:hAnsi="Times New Roman" w:cs="Times New Roman"/>
        </w:rPr>
        <w:t xml:space="preserve"> 市政基础设施</w:t>
      </w:r>
      <w:bookmarkEnd w:id="106"/>
      <w:bookmarkEnd w:id="107"/>
    </w:p>
    <w:p w14:paraId="7C87C86C">
      <w:pPr>
        <w:pStyle w:val="4"/>
        <w:numPr>
          <w:ilvl w:val="0"/>
          <w:numId w:val="0"/>
        </w:numPr>
        <w:ind w:left="640" w:leftChars="0"/>
        <w:rPr>
          <w:rFonts w:cs="Times New Roman"/>
        </w:rPr>
      </w:pPr>
      <w:r>
        <w:rPr>
          <w:rFonts w:hint="eastAsia" w:cs="Times New Roman"/>
          <w:lang w:val="en-US" w:eastAsia="zh-CN"/>
        </w:rPr>
        <w:t>9.3.1</w:t>
      </w:r>
      <w:r>
        <w:rPr>
          <w:rFonts w:cs="Times New Roman"/>
        </w:rPr>
        <w:t>给水</w:t>
      </w:r>
      <w:r>
        <w:rPr>
          <w:rFonts w:hint="eastAsia" w:cs="Times New Roman"/>
          <w:lang w:val="en-US" w:eastAsia="zh-CN"/>
        </w:rPr>
        <w:t>设施</w:t>
      </w:r>
      <w:r>
        <w:rPr>
          <w:rFonts w:cs="Times New Roman"/>
        </w:rPr>
        <w:t>规划</w:t>
      </w:r>
    </w:p>
    <w:p w14:paraId="1D963281">
      <w:pPr>
        <w:widowControl/>
        <w:adjustRightInd w:val="0"/>
        <w:snapToGrid w:val="0"/>
        <w:ind w:firstLine="640"/>
        <w:rPr>
          <w:rFonts w:cs="Times New Roman"/>
        </w:rPr>
      </w:pPr>
      <w:r>
        <w:rPr>
          <w:rFonts w:cs="Times New Roman"/>
        </w:rPr>
        <w:t>——全域给水</w:t>
      </w:r>
      <w:r>
        <w:rPr>
          <w:rFonts w:hint="eastAsia" w:cs="Times New Roman"/>
          <w:lang w:val="en-US" w:eastAsia="zh-CN"/>
        </w:rPr>
        <w:t>设施</w:t>
      </w:r>
      <w:r>
        <w:rPr>
          <w:rFonts w:cs="Times New Roman"/>
        </w:rPr>
        <w:t>规划</w:t>
      </w:r>
    </w:p>
    <w:p w14:paraId="27542858">
      <w:pPr>
        <w:widowControl/>
        <w:adjustRightInd w:val="0"/>
        <w:snapToGrid w:val="0"/>
        <w:ind w:firstLine="640"/>
        <w:rPr>
          <w:rFonts w:cs="Times New Roman"/>
        </w:rPr>
      </w:pPr>
      <w:r>
        <w:rPr>
          <w:rFonts w:cs="Times New Roman"/>
        </w:rPr>
        <w:t>规划全域普及自来水，乡中心区</w:t>
      </w:r>
      <w:r>
        <w:rPr>
          <w:rFonts w:hint="eastAsia" w:cs="Times New Roman"/>
        </w:rPr>
        <w:t>水源来源于英英沟村净水厂</w:t>
      </w:r>
      <w:r>
        <w:rPr>
          <w:rFonts w:cs="Times New Roman"/>
        </w:rPr>
        <w:t>。乡中心区周边村屯根据各自的情况纳入乡中心区供水系统中。各村应开展农村饮用水安全工程，实现自来水供水全覆盖。对水源供水不足的村庄，应寻找新的水源，建议由园区饮水，保证农户用水需求；自来水管道老化严重的村庄，应对现有给水不畅的输配水管道应进行疏通和更新，以解决跑、冒、滴、漏和二次污染等问题。规划各村逐步淘汰旧的浅水井，增加新的深水井，提高取水量。采用变频供水，管网采用环状网和枝状网相结合的方式，沿各道路铺设，以保证供水安全可靠。</w:t>
      </w:r>
    </w:p>
    <w:p w14:paraId="50E57A31">
      <w:pPr>
        <w:widowControl/>
        <w:adjustRightInd w:val="0"/>
        <w:snapToGrid w:val="0"/>
        <w:ind w:firstLine="640"/>
        <w:rPr>
          <w:rFonts w:cs="Times New Roman"/>
          <w:u w:val="single"/>
        </w:rPr>
      </w:pPr>
      <w:r>
        <w:rPr>
          <w:rFonts w:cs="Times New Roman"/>
          <w:u w:val="single"/>
        </w:rPr>
        <w:t>加强水源保护，水源井周边30米范围内，不得设置渗水厕所、化粪池、垃圾堆和废渣堆之类的构筑物。水源井周围应设置宽度不小于10米的绿化带。</w:t>
      </w:r>
    </w:p>
    <w:p w14:paraId="23B16604">
      <w:pPr>
        <w:widowControl/>
        <w:adjustRightInd w:val="0"/>
        <w:snapToGrid w:val="0"/>
        <w:ind w:firstLine="640"/>
        <w:rPr>
          <w:rFonts w:cs="Times New Roman"/>
        </w:rPr>
      </w:pPr>
      <w:r>
        <w:rPr>
          <w:rFonts w:cs="Times New Roman"/>
        </w:rPr>
        <w:t>——乡中心区给水</w:t>
      </w:r>
      <w:r>
        <w:rPr>
          <w:rFonts w:hint="eastAsia" w:cs="Times New Roman"/>
          <w:lang w:val="en-US" w:eastAsia="zh-CN"/>
        </w:rPr>
        <w:t>设施</w:t>
      </w:r>
      <w:r>
        <w:rPr>
          <w:rFonts w:cs="Times New Roman"/>
        </w:rPr>
        <w:t>规划</w:t>
      </w:r>
    </w:p>
    <w:p w14:paraId="43499E7E">
      <w:pPr>
        <w:widowControl/>
        <w:adjustRightInd w:val="0"/>
        <w:snapToGrid w:val="0"/>
        <w:ind w:firstLine="640"/>
        <w:rPr>
          <w:rFonts w:cs="Times New Roman"/>
        </w:rPr>
      </w:pPr>
      <w:bookmarkStart w:id="108" w:name="_Toc381737"/>
      <w:r>
        <w:rPr>
          <w:rFonts w:cs="Times New Roman"/>
        </w:rPr>
        <w:t>（1）用水量预测</w:t>
      </w:r>
    </w:p>
    <w:p w14:paraId="40C18D9B">
      <w:pPr>
        <w:ind w:firstLine="640"/>
        <w:rPr>
          <w:rFonts w:cs="Times New Roman"/>
        </w:rPr>
      </w:pPr>
      <w:bookmarkStart w:id="109" w:name="_Hlk175230559"/>
      <w:r>
        <w:rPr>
          <w:rFonts w:cs="Times New Roman"/>
        </w:rPr>
        <w:t>规划</w:t>
      </w:r>
      <w:r>
        <w:rPr>
          <w:rFonts w:hint="eastAsia" w:cs="Times New Roman"/>
        </w:rPr>
        <w:t>北甸子</w:t>
      </w:r>
      <w:r>
        <w:rPr>
          <w:rFonts w:cs="Times New Roman"/>
        </w:rPr>
        <w:t>乡居民生活人均用水标准：近期140L/（人·d），远期120L/（人</w:t>
      </w:r>
      <w:bookmarkStart w:id="110" w:name="_Hlk184047170"/>
      <w:r>
        <w:rPr>
          <w:rFonts w:cs="Times New Roman"/>
        </w:rPr>
        <w:t>·</w:t>
      </w:r>
      <w:bookmarkEnd w:id="110"/>
      <w:r>
        <w:rPr>
          <w:rFonts w:cs="Times New Roman"/>
        </w:rPr>
        <w:t>d），公共建筑用水量按居民生活用水量的25%计算。</w:t>
      </w:r>
    </w:p>
    <w:p w14:paraId="75A9C7CA">
      <w:pPr>
        <w:ind w:firstLine="640"/>
        <w:rPr>
          <w:rFonts w:cs="Times New Roman"/>
        </w:rPr>
      </w:pPr>
      <w:r>
        <w:rPr>
          <w:rFonts w:hint="eastAsia" w:cs="Times New Roman"/>
          <w:lang w:val="en-US" w:eastAsia="zh-CN"/>
        </w:rPr>
        <w:t>根据</w:t>
      </w:r>
      <w:r>
        <w:rPr>
          <w:rFonts w:hint="eastAsia" w:cs="Times New Roman"/>
        </w:rPr>
        <w:t>北甸子</w:t>
      </w:r>
      <w:r>
        <w:rPr>
          <w:rFonts w:cs="Times New Roman"/>
        </w:rPr>
        <w:t>乡的现状与发展，考虑可持续发展战略对未来工业单产耗水量的限制，城镇工业用水量定额，近期取</w:t>
      </w:r>
      <w:r>
        <w:rPr>
          <w:rFonts w:hint="eastAsia" w:cs="Times New Roman"/>
        </w:rPr>
        <w:t>154</w:t>
      </w:r>
      <w:r>
        <w:rPr>
          <w:rFonts w:cs="Times New Roman"/>
        </w:rPr>
        <w:t>t/（ha·d），远期取1</w:t>
      </w:r>
      <w:r>
        <w:rPr>
          <w:rFonts w:hint="eastAsia" w:cs="Times New Roman"/>
        </w:rPr>
        <w:t>44</w:t>
      </w:r>
      <w:r>
        <w:rPr>
          <w:rFonts w:cs="Times New Roman"/>
        </w:rPr>
        <w:t>t/（ha·d）。</w:t>
      </w:r>
    </w:p>
    <w:p w14:paraId="583CE08B">
      <w:pPr>
        <w:ind w:firstLine="640"/>
        <w:rPr>
          <w:rFonts w:cs="Times New Roman"/>
        </w:rPr>
      </w:pPr>
      <w:r>
        <w:rPr>
          <w:rFonts w:cs="Times New Roman"/>
        </w:rPr>
        <w:t>市政用水包括道路、绿化的浇洒用水和维修施工用水等，</w:t>
      </w:r>
      <w:r>
        <w:rPr>
          <w:rFonts w:hint="eastAsia" w:cs="Times New Roman"/>
          <w:lang w:val="en-US" w:eastAsia="zh-CN"/>
        </w:rPr>
        <w:t>根据</w:t>
      </w:r>
      <w:r>
        <w:rPr>
          <w:rFonts w:cs="Times New Roman"/>
        </w:rPr>
        <w:t>一般城镇的实际情况，取综合生活用水量的12.5%。</w:t>
      </w:r>
    </w:p>
    <w:p w14:paraId="07A316AE">
      <w:pPr>
        <w:ind w:firstLine="640"/>
        <w:rPr>
          <w:rFonts w:cs="Times New Roman"/>
        </w:rPr>
      </w:pPr>
      <w:r>
        <w:rPr>
          <w:rFonts w:cs="Times New Roman"/>
        </w:rPr>
        <w:t>近期</w:t>
      </w:r>
      <w:r>
        <w:rPr>
          <w:rFonts w:hint="eastAsia" w:cs="Times New Roman"/>
        </w:rPr>
        <w:t>北甸子</w:t>
      </w:r>
      <w:r>
        <w:rPr>
          <w:rFonts w:cs="Times New Roman"/>
        </w:rPr>
        <w:t>乡的城镇人口规模为</w:t>
      </w:r>
      <w:r>
        <w:rPr>
          <w:rFonts w:hint="eastAsia" w:cs="Times New Roman"/>
        </w:rPr>
        <w:t>530</w:t>
      </w:r>
      <w:r>
        <w:rPr>
          <w:rFonts w:cs="Times New Roman"/>
        </w:rPr>
        <w:t>0人，消防用水量应按同一时间内2次火灾次数、一次灭火用水量45L/s计算；远期</w:t>
      </w:r>
      <w:r>
        <w:rPr>
          <w:rFonts w:hint="eastAsia" w:cs="Times New Roman"/>
        </w:rPr>
        <w:t>68</w:t>
      </w:r>
      <w:r>
        <w:rPr>
          <w:rFonts w:cs="Times New Roman"/>
        </w:rPr>
        <w:t>00万人，消防用水量按同一时间内2次火灾次数、一次灭火用水量55L/s，每次灭火2小时。</w:t>
      </w:r>
    </w:p>
    <w:p w14:paraId="198B5A3B">
      <w:pPr>
        <w:ind w:firstLine="640"/>
        <w:rPr>
          <w:rFonts w:cs="Times New Roman"/>
        </w:rPr>
      </w:pPr>
      <w:r>
        <w:rPr>
          <w:rFonts w:cs="Times New Roman"/>
        </w:rPr>
        <w:t>未预见用水量，参照一般城镇的管网实际运营情况，取日常城镇用水量的10%。</w:t>
      </w:r>
    </w:p>
    <w:bookmarkEnd w:id="109"/>
    <w:p w14:paraId="54D14C1C">
      <w:pPr>
        <w:widowControl/>
        <w:adjustRightInd w:val="0"/>
        <w:snapToGrid w:val="0"/>
        <w:ind w:firstLine="640"/>
        <w:rPr>
          <w:rFonts w:cs="Times New Roman"/>
        </w:rPr>
      </w:pPr>
      <w:r>
        <w:rPr>
          <w:rFonts w:cs="Times New Roman"/>
        </w:rPr>
        <w:t>（2）水源规划</w:t>
      </w:r>
    </w:p>
    <w:p w14:paraId="3E1C3611">
      <w:pPr>
        <w:ind w:firstLine="640"/>
        <w:rPr>
          <w:rFonts w:cs="Times New Roman"/>
        </w:rPr>
      </w:pPr>
      <w:r>
        <w:rPr>
          <w:rFonts w:cs="Times New Roman"/>
        </w:rPr>
        <w:t>规划</w:t>
      </w:r>
      <w:r>
        <w:rPr>
          <w:rFonts w:hint="eastAsia" w:cs="Times New Roman"/>
        </w:rPr>
        <w:t>北甸子</w:t>
      </w:r>
      <w:r>
        <w:rPr>
          <w:rFonts w:cs="Times New Roman"/>
        </w:rPr>
        <w:t>乡取水位置为现状水源点，位于</w:t>
      </w:r>
      <w:r>
        <w:rPr>
          <w:rFonts w:hint="eastAsia" w:cs="Times New Roman"/>
        </w:rPr>
        <w:t>英英沟村隆裕酒厂北侧</w:t>
      </w:r>
      <w:r>
        <w:rPr>
          <w:rFonts w:cs="Times New Roman"/>
        </w:rPr>
        <w:t>。合理规划地表水饮用水源河流流域，</w:t>
      </w:r>
      <w:bookmarkStart w:id="111" w:name="_Hlk175230610"/>
      <w:r>
        <w:rPr>
          <w:rFonts w:cs="Times New Roman"/>
        </w:rPr>
        <w:t>规划取水点上游1000米范围内和下游100米的范围内，为饮用水源保护区，保护区范围内的河流水质必须达到国家地表水Ⅱ级标准，不得排入工业废水和生活污水。</w:t>
      </w:r>
      <w:bookmarkEnd w:id="111"/>
    </w:p>
    <w:p w14:paraId="30D6DA6B">
      <w:pPr>
        <w:ind w:firstLine="640"/>
        <w:rPr>
          <w:rFonts w:cs="Times New Roman"/>
        </w:rPr>
      </w:pPr>
      <w:r>
        <w:rPr>
          <w:rFonts w:cs="Times New Roman"/>
        </w:rPr>
        <w:t>饮用水源保护区的河流沿岸防护堤范围内，不得堆放废渣或设置有害化学品仓库或堆场，沿岸农田不得使用工业废水或生活污水灌溉，不得使用持久性或剧毒农药，并不得从事放牧。</w:t>
      </w:r>
    </w:p>
    <w:p w14:paraId="17D87BFD">
      <w:pPr>
        <w:ind w:firstLine="640"/>
        <w:rPr>
          <w:rFonts w:cs="Times New Roman"/>
        </w:rPr>
      </w:pPr>
      <w:r>
        <w:rPr>
          <w:rFonts w:cs="Times New Roman"/>
        </w:rPr>
        <w:t>加强水源水质调查研究，建立水体污染监测网，加强对饮用水源的控制和保护。水源井周围设置10米防护绿带，一般水厂生产区域或单独设立的泵站、沉淀池和清水池外围不小于30米的范围内，不得设立生活居住区和修建禽畜饲养场、渗水厕所、渗水坑、堆放废渣或铺设污水管道， 并不得进行破坏深层土层的活动。</w:t>
      </w:r>
    </w:p>
    <w:p w14:paraId="27C33BE9">
      <w:pPr>
        <w:widowControl/>
        <w:adjustRightInd w:val="0"/>
        <w:snapToGrid w:val="0"/>
        <w:ind w:firstLine="640"/>
        <w:rPr>
          <w:rFonts w:cs="Times New Roman"/>
        </w:rPr>
      </w:pPr>
      <w:r>
        <w:rPr>
          <w:rFonts w:cs="Times New Roman"/>
        </w:rPr>
        <w:t>（3）管网规划</w:t>
      </w:r>
    </w:p>
    <w:p w14:paraId="5D05BF62">
      <w:pPr>
        <w:ind w:firstLine="640"/>
        <w:rPr>
          <w:rFonts w:cs="Times New Roman"/>
        </w:rPr>
      </w:pPr>
      <w:r>
        <w:rPr>
          <w:rFonts w:cs="Times New Roman"/>
        </w:rPr>
        <w:t>考虑远期发展需求，结合北甸子乡用地布局模式，市政给水管网需采用单水源统一供水系统，其管网采用环状加枝状的形式，沿主要道路布置环状连通管道，其它道路以枝状向各用地内延伸，向周边供水。全面提高供水系统管理能力和智能化水平，提升基础设施支撑能力。</w:t>
      </w:r>
    </w:p>
    <w:p w14:paraId="40F7373E">
      <w:pPr>
        <w:pStyle w:val="4"/>
        <w:numPr>
          <w:ilvl w:val="0"/>
          <w:numId w:val="0"/>
        </w:numPr>
        <w:ind w:left="640" w:leftChars="0"/>
        <w:rPr>
          <w:rFonts w:cs="Times New Roman"/>
        </w:rPr>
      </w:pPr>
      <w:r>
        <w:rPr>
          <w:rFonts w:hint="eastAsia" w:cs="Times New Roman"/>
          <w:lang w:val="en-US" w:eastAsia="zh-CN"/>
        </w:rPr>
        <w:t>9.3.2</w:t>
      </w:r>
      <w:r>
        <w:rPr>
          <w:rFonts w:cs="Times New Roman"/>
        </w:rPr>
        <w:t>排水</w:t>
      </w:r>
      <w:r>
        <w:rPr>
          <w:rFonts w:hint="eastAsia" w:cs="Times New Roman"/>
          <w:lang w:val="en-US" w:eastAsia="zh-CN"/>
        </w:rPr>
        <w:t>设施</w:t>
      </w:r>
      <w:bookmarkEnd w:id="108"/>
      <w:r>
        <w:rPr>
          <w:rFonts w:cs="Times New Roman"/>
        </w:rPr>
        <w:t>规划</w:t>
      </w:r>
    </w:p>
    <w:p w14:paraId="5FBE63AC">
      <w:pPr>
        <w:widowControl/>
        <w:adjustRightInd w:val="0"/>
        <w:snapToGrid w:val="0"/>
        <w:ind w:firstLine="640"/>
        <w:rPr>
          <w:rFonts w:cs="Times New Roman"/>
        </w:rPr>
      </w:pPr>
      <w:r>
        <w:rPr>
          <w:rFonts w:cs="Times New Roman"/>
        </w:rPr>
        <w:t>——全域排水</w:t>
      </w:r>
      <w:r>
        <w:rPr>
          <w:rFonts w:hint="eastAsia" w:cs="Times New Roman"/>
          <w:lang w:val="en-US" w:eastAsia="zh-CN"/>
        </w:rPr>
        <w:t>设施</w:t>
      </w:r>
      <w:r>
        <w:rPr>
          <w:rFonts w:cs="Times New Roman"/>
        </w:rPr>
        <w:t>规划</w:t>
      </w:r>
    </w:p>
    <w:p w14:paraId="4BD87282">
      <w:pPr>
        <w:widowControl/>
        <w:adjustRightInd w:val="0"/>
        <w:snapToGrid w:val="0"/>
        <w:ind w:firstLine="640"/>
        <w:rPr>
          <w:rFonts w:cs="Times New Roman"/>
        </w:rPr>
      </w:pPr>
      <w:r>
        <w:rPr>
          <w:rFonts w:cs="Times New Roman"/>
        </w:rPr>
        <w:t>规划乡中心区采用雨、污分流制的排水体制；其他村根据实际情况采用分流制或截流式合流制。乡中心区污水采用污水处理厂集中处理，规划</w:t>
      </w:r>
      <w:r>
        <w:rPr>
          <w:rFonts w:hint="eastAsia" w:cs="Times New Roman"/>
        </w:rPr>
        <w:t>在乡中心区南侧</w:t>
      </w:r>
      <w:r>
        <w:rPr>
          <w:rFonts w:cs="Times New Roman"/>
        </w:rPr>
        <w:t>建设污水处理厂一座，结合实际情况将周边范围内农村生活污水集中收集，统一接入邻近市政污水管网，纳入污水处理厂统一处理，提高污水处理设施运行效率。</w:t>
      </w:r>
    </w:p>
    <w:p w14:paraId="359C5237">
      <w:pPr>
        <w:widowControl/>
        <w:adjustRightInd w:val="0"/>
        <w:snapToGrid w:val="0"/>
        <w:ind w:firstLine="640"/>
        <w:rPr>
          <w:rFonts w:cs="Times New Roman"/>
        </w:rPr>
      </w:pPr>
      <w:r>
        <w:rPr>
          <w:rFonts w:cs="Times New Roman"/>
        </w:rPr>
        <w:t>其他各村污水采用地下式小型污水处理设备、人工湿地、生物滤池等不同的处理方式，化粪池或沼气池可作为污水的预处理措施，避免污水直接任意排放，处理后的水灌溉农田或排入水体。</w:t>
      </w:r>
    </w:p>
    <w:p w14:paraId="58044E4B">
      <w:pPr>
        <w:widowControl/>
        <w:adjustRightInd w:val="0"/>
        <w:snapToGrid w:val="0"/>
        <w:ind w:firstLine="640"/>
        <w:rPr>
          <w:rFonts w:cs="Times New Roman"/>
        </w:rPr>
      </w:pPr>
      <w:r>
        <w:rPr>
          <w:rFonts w:cs="Times New Roman"/>
        </w:rPr>
        <w:t>旅游景区污水采用人工生物处理方法，即利用微生物将污水中的有机物分解氧化成稳定的无机物，使污水净化。污水经过处理达标后，排入溪河、林地。</w:t>
      </w:r>
    </w:p>
    <w:p w14:paraId="6040C401">
      <w:pPr>
        <w:widowControl/>
        <w:adjustRightInd w:val="0"/>
        <w:snapToGrid w:val="0"/>
        <w:ind w:firstLine="640"/>
        <w:rPr>
          <w:rFonts w:cs="Times New Roman"/>
        </w:rPr>
      </w:pPr>
      <w:r>
        <w:rPr>
          <w:rFonts w:cs="Times New Roman"/>
        </w:rPr>
        <w:t>依托农村户厕改造、农村人居环境改造、美丽乡村建设等项目，逐步改变原有农村污水无组织排放问题，实现村屯污水的有组织排放和定点处理。乡中心区雨水排放系统均采用沿路敷设枝状管道的方式，管网成树枝状，以重力流为主，就近排放至周边水体。各村庄雨水排放系统采用沿路敷设矩形管渠的方式，根据整个区域的地形、地势划分排水区域，就近排放至周边水体。</w:t>
      </w:r>
    </w:p>
    <w:p w14:paraId="1EBD0557">
      <w:pPr>
        <w:widowControl/>
        <w:adjustRightInd w:val="0"/>
        <w:snapToGrid w:val="0"/>
        <w:ind w:firstLine="640"/>
        <w:rPr>
          <w:rFonts w:cs="Times New Roman"/>
        </w:rPr>
      </w:pPr>
      <w:r>
        <w:rPr>
          <w:rFonts w:cs="Times New Roman"/>
        </w:rPr>
        <w:t>——乡中心区污水</w:t>
      </w:r>
      <w:r>
        <w:rPr>
          <w:rFonts w:hint="eastAsia" w:cs="Times New Roman"/>
          <w:lang w:val="en-US" w:eastAsia="zh-CN"/>
        </w:rPr>
        <w:t>设施</w:t>
      </w:r>
      <w:r>
        <w:rPr>
          <w:rFonts w:cs="Times New Roman"/>
        </w:rPr>
        <w:t>规划</w:t>
      </w:r>
    </w:p>
    <w:p w14:paraId="0E5DA4FB">
      <w:pPr>
        <w:widowControl/>
        <w:adjustRightInd w:val="0"/>
        <w:snapToGrid w:val="0"/>
        <w:ind w:firstLine="640"/>
        <w:rPr>
          <w:rFonts w:cs="Times New Roman"/>
        </w:rPr>
      </w:pPr>
      <w:r>
        <w:rPr>
          <w:rFonts w:cs="Times New Roman"/>
        </w:rPr>
        <w:t>规划乡中心区的排水体制采用雨污分流制。新建排水管网全面采用分流制排水体制，全面实行雨污分流，已建合流制管线，逐步转为分流制排水系统。</w:t>
      </w:r>
    </w:p>
    <w:p w14:paraId="2861034C">
      <w:pPr>
        <w:widowControl/>
        <w:adjustRightInd w:val="0"/>
        <w:snapToGrid w:val="0"/>
        <w:ind w:firstLine="640"/>
        <w:rPr>
          <w:rFonts w:cs="Times New Roman"/>
        </w:rPr>
      </w:pPr>
      <w:r>
        <w:rPr>
          <w:rFonts w:cs="Times New Roman"/>
        </w:rPr>
        <w:t>规划污水排放系数取0.8。规划在</w:t>
      </w:r>
      <w:r>
        <w:rPr>
          <w:rFonts w:hint="eastAsia" w:cs="Times New Roman"/>
        </w:rPr>
        <w:t>北甸子乡乡中心区南侧</w:t>
      </w:r>
      <w:r>
        <w:rPr>
          <w:rFonts w:cs="Times New Roman"/>
        </w:rPr>
        <w:t>建设一座污水处理厂。</w:t>
      </w:r>
    </w:p>
    <w:p w14:paraId="741C62D7">
      <w:pPr>
        <w:widowControl/>
        <w:adjustRightInd w:val="0"/>
        <w:snapToGrid w:val="0"/>
        <w:ind w:firstLine="640"/>
        <w:rPr>
          <w:rFonts w:cs="Times New Roman"/>
        </w:rPr>
      </w:pPr>
      <w:r>
        <w:rPr>
          <w:rFonts w:cs="Times New Roman"/>
        </w:rPr>
        <w:t>——乡中心区雨水</w:t>
      </w:r>
      <w:r>
        <w:rPr>
          <w:rFonts w:hint="eastAsia" w:cs="Times New Roman"/>
          <w:lang w:val="en-US" w:eastAsia="zh-CN"/>
        </w:rPr>
        <w:t>设施</w:t>
      </w:r>
      <w:r>
        <w:rPr>
          <w:rFonts w:cs="Times New Roman"/>
        </w:rPr>
        <w:t>规划</w:t>
      </w:r>
    </w:p>
    <w:p w14:paraId="678BBE33">
      <w:pPr>
        <w:widowControl/>
        <w:adjustRightInd w:val="0"/>
        <w:snapToGrid w:val="0"/>
        <w:ind w:firstLine="640"/>
        <w:rPr>
          <w:rFonts w:cs="Times New Roman"/>
        </w:rPr>
      </w:pPr>
      <w:r>
        <w:rPr>
          <w:rFonts w:cs="Times New Roman"/>
        </w:rPr>
        <w:t>雨水管道的布置为重力流管，结合规划道路布置，管道布置在规划路的西侧和南侧，并根据实际设置雨水排出口。规划布置截洪沟，使山水就近排入河道，截洪沟尽量沿山体等高线布置，以降低工程土方量。充分采用海绵城市建设理念，通过“渗滞蓄净用排”等海绵技术的应用和快速有力雨水排放系统建设，降低内涝风险，保障乡中心区水体水质。</w:t>
      </w:r>
    </w:p>
    <w:p w14:paraId="39DD11AF">
      <w:pPr>
        <w:widowControl/>
        <w:adjustRightInd w:val="0"/>
        <w:snapToGrid w:val="0"/>
        <w:ind w:firstLine="640"/>
        <w:rPr>
          <w:rFonts w:cs="Times New Roman"/>
        </w:rPr>
      </w:pPr>
      <w:r>
        <w:rPr>
          <w:rFonts w:cs="Times New Roman"/>
        </w:rPr>
        <w:t>基于GIS技术，建立覆盖全域的排水管线管理系统，实现城镇雨污水管道信息的数字化、可视化。</w:t>
      </w:r>
    </w:p>
    <w:p w14:paraId="18E12FD1">
      <w:pPr>
        <w:pStyle w:val="4"/>
        <w:numPr>
          <w:ilvl w:val="0"/>
          <w:numId w:val="0"/>
        </w:numPr>
        <w:ind w:left="640" w:leftChars="0"/>
        <w:rPr>
          <w:rFonts w:cs="Times New Roman"/>
        </w:rPr>
      </w:pPr>
      <w:r>
        <w:rPr>
          <w:rFonts w:hint="eastAsia" w:cs="Times New Roman"/>
          <w:lang w:val="en-US" w:eastAsia="zh-CN"/>
        </w:rPr>
        <w:t>9.3.3</w:t>
      </w:r>
      <w:r>
        <w:rPr>
          <w:rFonts w:cs="Times New Roman"/>
        </w:rPr>
        <w:t>供电</w:t>
      </w:r>
      <w:r>
        <w:rPr>
          <w:rFonts w:hint="eastAsia" w:cs="Times New Roman"/>
          <w:lang w:val="en-US" w:eastAsia="zh-CN"/>
        </w:rPr>
        <w:t>设施</w:t>
      </w:r>
      <w:r>
        <w:rPr>
          <w:rFonts w:cs="Times New Roman"/>
        </w:rPr>
        <w:t>规划</w:t>
      </w:r>
    </w:p>
    <w:p w14:paraId="4D9097BC">
      <w:pPr>
        <w:widowControl/>
        <w:adjustRightInd w:val="0"/>
        <w:snapToGrid w:val="0"/>
        <w:ind w:firstLine="640"/>
        <w:rPr>
          <w:rFonts w:cs="Times New Roman"/>
        </w:rPr>
      </w:pPr>
      <w:r>
        <w:rPr>
          <w:rFonts w:cs="Times New Roman"/>
        </w:rPr>
        <w:t>——全域供电</w:t>
      </w:r>
      <w:r>
        <w:rPr>
          <w:rFonts w:hint="eastAsia" w:cs="Times New Roman"/>
          <w:lang w:val="en-US" w:eastAsia="zh-CN"/>
        </w:rPr>
        <w:t>设施</w:t>
      </w:r>
      <w:r>
        <w:rPr>
          <w:rFonts w:cs="Times New Roman"/>
        </w:rPr>
        <w:t>规划</w:t>
      </w:r>
    </w:p>
    <w:p w14:paraId="021EEB83">
      <w:pPr>
        <w:widowControl/>
        <w:adjustRightInd w:val="0"/>
        <w:snapToGrid w:val="0"/>
        <w:ind w:firstLine="640"/>
        <w:rPr>
          <w:rFonts w:cs="Times New Roman"/>
        </w:rPr>
      </w:pPr>
      <w:r>
        <w:rPr>
          <w:rFonts w:cs="Times New Roman"/>
        </w:rPr>
        <w:t>完善全域电网系统，北甸子乡电力网络布置按照中压和高压两个等级分别布设。按规划路径逐步调整架空配电线路，并应适当增加高度、缩小档距。</w:t>
      </w:r>
    </w:p>
    <w:p w14:paraId="5BD5F0B3">
      <w:pPr>
        <w:widowControl/>
        <w:adjustRightInd w:val="0"/>
        <w:snapToGrid w:val="0"/>
        <w:ind w:firstLine="640"/>
        <w:rPr>
          <w:rFonts w:cs="Times New Roman"/>
        </w:rPr>
      </w:pPr>
      <w:r>
        <w:rPr>
          <w:rFonts w:cs="Times New Roman"/>
        </w:rPr>
        <w:t>鼓励发展光伏、风电、生物质能发电等可再生新能源，积极发展智能电网。开展覆盖城乡的智能、高效、绿色变电站建设。推进智能电网应用试点，发展智能用电小区。</w:t>
      </w:r>
    </w:p>
    <w:p w14:paraId="3BB06A7D">
      <w:pPr>
        <w:widowControl/>
        <w:adjustRightInd w:val="0"/>
        <w:snapToGrid w:val="0"/>
        <w:ind w:firstLine="640"/>
        <w:rPr>
          <w:rFonts w:cs="Times New Roman"/>
        </w:rPr>
      </w:pPr>
      <w:r>
        <w:rPr>
          <w:rFonts w:cs="Times New Roman"/>
        </w:rPr>
        <w:t>——乡中心区供电</w:t>
      </w:r>
      <w:r>
        <w:rPr>
          <w:rFonts w:hint="eastAsia" w:cs="Times New Roman"/>
          <w:lang w:val="en-US" w:eastAsia="zh-CN"/>
        </w:rPr>
        <w:t>设施</w:t>
      </w:r>
      <w:r>
        <w:rPr>
          <w:rFonts w:cs="Times New Roman"/>
        </w:rPr>
        <w:t>规划</w:t>
      </w:r>
    </w:p>
    <w:p w14:paraId="22D51BB7">
      <w:pPr>
        <w:widowControl/>
        <w:adjustRightInd w:val="0"/>
        <w:snapToGrid w:val="0"/>
        <w:ind w:firstLine="640"/>
        <w:rPr>
          <w:rFonts w:cs="Times New Roman"/>
        </w:rPr>
      </w:pPr>
      <w:r>
        <w:rPr>
          <w:rFonts w:cs="Times New Roman"/>
        </w:rPr>
        <w:t>根据《城市电力规划规范（GB/50293-2014）》，城镇现状用电水平属中等水平，参考东北地区规划指标确定，城镇人均年综合用电取近期（2025年）取1250 kW•h，远期（2030年）取2368 kW•h。乡中心区的用电仍由现状</w:t>
      </w:r>
      <w:r>
        <w:rPr>
          <w:rFonts w:hint="eastAsia" w:cs="Times New Roman"/>
        </w:rPr>
        <w:t>北甸子66KV</w:t>
      </w:r>
      <w:r>
        <w:rPr>
          <w:rFonts w:cs="Times New Roman"/>
        </w:rPr>
        <w:t>变电</w:t>
      </w:r>
      <w:r>
        <w:rPr>
          <w:rFonts w:hint="eastAsia" w:cs="Times New Roman"/>
        </w:rPr>
        <w:t>站</w:t>
      </w:r>
      <w:r>
        <w:rPr>
          <w:rFonts w:cs="Times New Roman"/>
        </w:rPr>
        <w:t>提供。随着变电所整体负荷的增长，对变电所进行增容。</w:t>
      </w:r>
    </w:p>
    <w:p w14:paraId="564457C0">
      <w:pPr>
        <w:widowControl/>
        <w:adjustRightInd w:val="0"/>
        <w:snapToGrid w:val="0"/>
        <w:ind w:firstLine="640"/>
        <w:rPr>
          <w:rFonts w:cs="Times New Roman"/>
        </w:rPr>
      </w:pPr>
      <w:r>
        <w:rPr>
          <w:rFonts w:cs="Times New Roman"/>
        </w:rPr>
        <w:t>按规划路径逐步调整架空配电线路，并应适当增加高度、缩小档距，以提高导线对地距离。在经济发展条件下，应逐步拆除电力杆路，埋设地下电力电缆，达到乡中心区内主干道路电力线路无杆化。</w:t>
      </w:r>
    </w:p>
    <w:p w14:paraId="46DFE45E">
      <w:pPr>
        <w:widowControl/>
        <w:adjustRightInd w:val="0"/>
        <w:snapToGrid w:val="0"/>
        <w:ind w:firstLine="640"/>
        <w:rPr>
          <w:rFonts w:cs="Times New Roman"/>
        </w:rPr>
      </w:pPr>
      <w:r>
        <w:rPr>
          <w:rFonts w:cs="Times New Roman"/>
        </w:rPr>
        <w:t>为了保障对旅游区供电的连续性，增设应急供电系统（可设置独立的发电机组），应急供电系统避免与正常电源并列使用。为不影响旅游区景观，旅游区供电、电信等市政管线尽量采取管道形式埋地敷设。需要建设的变压器等电力设施布置在安全隐蔽地段。旅游区内的照明设施，要充分考虑景观特色，配置相应的艺术造景灯饰。</w:t>
      </w:r>
    </w:p>
    <w:p w14:paraId="369BEA94">
      <w:pPr>
        <w:pStyle w:val="4"/>
        <w:numPr>
          <w:ilvl w:val="0"/>
          <w:numId w:val="0"/>
        </w:numPr>
        <w:ind w:left="640" w:leftChars="0"/>
        <w:rPr>
          <w:rFonts w:cs="Times New Roman"/>
        </w:rPr>
      </w:pPr>
      <w:bookmarkStart w:id="112" w:name="_Toc381734"/>
      <w:bookmarkStart w:id="113" w:name="_Toc381733"/>
      <w:r>
        <w:rPr>
          <w:rFonts w:hint="eastAsia" w:cs="Times New Roman"/>
          <w:lang w:val="en-US" w:eastAsia="zh-CN"/>
        </w:rPr>
        <w:t>9.3.4</w:t>
      </w:r>
      <w:r>
        <w:rPr>
          <w:rFonts w:cs="Times New Roman"/>
        </w:rPr>
        <w:t>通信</w:t>
      </w:r>
      <w:r>
        <w:rPr>
          <w:rFonts w:hint="eastAsia" w:cs="Times New Roman"/>
          <w:lang w:val="en-US" w:eastAsia="zh-CN"/>
        </w:rPr>
        <w:t>设施</w:t>
      </w:r>
      <w:r>
        <w:rPr>
          <w:rFonts w:cs="Times New Roman"/>
        </w:rPr>
        <w:t>规划</w:t>
      </w:r>
    </w:p>
    <w:p w14:paraId="1F612CF4">
      <w:pPr>
        <w:ind w:firstLine="640"/>
        <w:rPr>
          <w:rFonts w:cs="Times New Roman"/>
        </w:rPr>
      </w:pPr>
      <w:r>
        <w:rPr>
          <w:rFonts w:cs="Times New Roman"/>
        </w:rPr>
        <w:t>——推进通信基础设施建设落实</w:t>
      </w:r>
    </w:p>
    <w:p w14:paraId="62107C35">
      <w:pPr>
        <w:ind w:firstLine="640"/>
        <w:rPr>
          <w:rFonts w:cs="Times New Roman"/>
        </w:rPr>
      </w:pPr>
      <w:r>
        <w:rPr>
          <w:rFonts w:cs="Times New Roman"/>
        </w:rPr>
        <w:t>充分发挥规划引领作用，推动5G、千兆光纤等</w:t>
      </w:r>
      <w:r>
        <w:rPr>
          <w:rFonts w:hint="eastAsia" w:cs="Times New Roman"/>
        </w:rPr>
        <w:t>“</w:t>
      </w:r>
      <w:r>
        <w:rPr>
          <w:rFonts w:cs="Times New Roman"/>
        </w:rPr>
        <w:t>双千兆</w:t>
      </w:r>
      <w:r>
        <w:rPr>
          <w:rFonts w:hint="eastAsia" w:cs="Times New Roman"/>
        </w:rPr>
        <w:t>”</w:t>
      </w:r>
      <w:r>
        <w:rPr>
          <w:rFonts w:cs="Times New Roman"/>
        </w:rPr>
        <w:t>网络基础设施、机房及管线、电力等配套设施建设，5G基站站址、机房及通信管线等设施位置和配建要求在国土空间控制性详细规划中予以明确，将其纳入国土空间规划</w:t>
      </w:r>
      <w:r>
        <w:rPr>
          <w:rFonts w:hint="eastAsia" w:cs="Times New Roman"/>
        </w:rPr>
        <w:t>“</w:t>
      </w:r>
      <w:r>
        <w:rPr>
          <w:rFonts w:cs="Times New Roman"/>
        </w:rPr>
        <w:t>一张图</w:t>
      </w:r>
      <w:r>
        <w:rPr>
          <w:rFonts w:hint="eastAsia" w:cs="Times New Roman"/>
        </w:rPr>
        <w:t>”</w:t>
      </w:r>
      <w:r>
        <w:rPr>
          <w:rFonts w:cs="Times New Roman"/>
        </w:rPr>
        <w:t>实施监督信息系统，并列入土地出让的规划条件。</w:t>
      </w:r>
    </w:p>
    <w:p w14:paraId="0E87EB3F">
      <w:pPr>
        <w:ind w:firstLine="640"/>
        <w:rPr>
          <w:rFonts w:cs="Times New Roman"/>
        </w:rPr>
      </w:pPr>
      <w:r>
        <w:rPr>
          <w:rFonts w:cs="Times New Roman"/>
        </w:rPr>
        <w:t>——全域通信</w:t>
      </w:r>
      <w:r>
        <w:rPr>
          <w:rFonts w:hint="eastAsia" w:cs="Times New Roman"/>
          <w:lang w:val="en-US" w:eastAsia="zh-CN"/>
        </w:rPr>
        <w:t>设施</w:t>
      </w:r>
      <w:r>
        <w:rPr>
          <w:rFonts w:cs="Times New Roman"/>
        </w:rPr>
        <w:t>规划</w:t>
      </w:r>
    </w:p>
    <w:p w14:paraId="1E2A4A0B">
      <w:pPr>
        <w:ind w:firstLine="640"/>
        <w:rPr>
          <w:rFonts w:cs="Times New Roman"/>
        </w:rPr>
      </w:pPr>
      <w:bookmarkStart w:id="114" w:name="_Hlk184056130"/>
      <w:r>
        <w:rPr>
          <w:rFonts w:cs="Times New Roman"/>
        </w:rPr>
        <w:t>大力发展移动通讯并逐步建立移动通讯光缆和基站系统，进一步加强和完善全域移动通信设备基站，减小通信盲区。改善农村信息条件，加快光纤到村，促进农村地区信息化。乡中心区保留现状电信支局及邮政支局，中心村设置邮政代办网点，开展综合服务业务，加快邮政储蓄业务全域覆盖。</w:t>
      </w:r>
    </w:p>
    <w:p w14:paraId="21B9B268">
      <w:pPr>
        <w:ind w:firstLine="640"/>
        <w:rPr>
          <w:rFonts w:cs="Times New Roman"/>
        </w:rPr>
      </w:pPr>
      <w:r>
        <w:rPr>
          <w:rFonts w:cs="Times New Roman"/>
        </w:rPr>
        <w:t>规划通信线路沿主要道路采用架空敷设，规划考虑广播、有线电视、电话、光纤，村邮政等通信设施。</w:t>
      </w:r>
    </w:p>
    <w:p w14:paraId="3DDEB446">
      <w:pPr>
        <w:ind w:firstLine="640"/>
        <w:rPr>
          <w:rFonts w:cs="Times New Roman"/>
        </w:rPr>
      </w:pPr>
      <w:r>
        <w:rPr>
          <w:rFonts w:cs="Times New Roman"/>
        </w:rPr>
        <w:t>——乡中心区通信</w:t>
      </w:r>
      <w:r>
        <w:rPr>
          <w:rFonts w:hint="eastAsia" w:cs="Times New Roman"/>
          <w:lang w:val="en-US" w:eastAsia="zh-CN"/>
        </w:rPr>
        <w:t>设施</w:t>
      </w:r>
      <w:r>
        <w:rPr>
          <w:rFonts w:cs="Times New Roman"/>
        </w:rPr>
        <w:t>规划</w:t>
      </w:r>
    </w:p>
    <w:p w14:paraId="58B223CD">
      <w:pPr>
        <w:ind w:firstLine="640"/>
        <w:rPr>
          <w:rFonts w:cs="Times New Roman"/>
        </w:rPr>
      </w:pPr>
      <w:r>
        <w:rPr>
          <w:rFonts w:cs="Times New Roman"/>
        </w:rPr>
        <w:t>乡中心区内新建道路上的光（电）缆宜采用地下敷设方式，按照城市快速路及主干路16-24孔、次干路8-16孔、支路 4-12孔的标准新建通信管道，干线管道按照6-8孔进行建设；离开乡中心区后，农村采用架空敷设。现状道路上的通信线路保持现状，在道路改（扩）建时优先按既有敷设方式迁改。</w:t>
      </w:r>
    </w:p>
    <w:p w14:paraId="2BFE3BAA">
      <w:pPr>
        <w:ind w:firstLine="640"/>
        <w:rPr>
          <w:rFonts w:cs="Times New Roman"/>
        </w:rPr>
      </w:pPr>
      <w:r>
        <w:rPr>
          <w:rFonts w:cs="Times New Roman"/>
        </w:rPr>
        <w:t>保留铁塔公司与通信运营商现有移动通信基站，综合考虑蜂窝接入容量和覆盖的要求，结合移动话务模型及4G及5G 技术应用，4G乡中心区基站覆盖半径按400-500米设置，4G农村基站覆盖半径按800-1000米设置；5G乡中心区基站覆盖半径按200-500米设置，5G农村基站覆盖半径按500-1000米设置。充分利用既有基站共址建设，随着移动通信的发展，新建基站站址优先结合公共建筑顶层空间与公园绿地等公用空间设置。新建工业园区、居民小区以及各类公共建筑，规划时对通信基站进行配建规划。基站机柜优先结合建筑空间设施，无可依托建筑时，基站机柜应小型化，美观化设置。在城镇发展区内，5G站址应充分利用城市公共设施资源，优先与建筑物、灯杆等结合建设；在其他区域采用多种灵活建设方式开展基站建设，如结合有条件的路灯杆、道路指示牌或建设落地塔（杆）等。保留现状有线电视网络，并使之逐步光缆化。</w:t>
      </w:r>
    </w:p>
    <w:bookmarkEnd w:id="114"/>
    <w:p w14:paraId="2AEB7193">
      <w:pPr>
        <w:pStyle w:val="4"/>
        <w:numPr>
          <w:ilvl w:val="0"/>
          <w:numId w:val="0"/>
        </w:numPr>
        <w:ind w:left="640" w:leftChars="0"/>
        <w:rPr>
          <w:rFonts w:cs="Times New Roman"/>
        </w:rPr>
      </w:pPr>
      <w:r>
        <w:rPr>
          <w:rFonts w:hint="eastAsia" w:cs="Times New Roman"/>
          <w:lang w:val="en-US" w:eastAsia="zh-CN"/>
        </w:rPr>
        <w:t>9.3.5</w:t>
      </w:r>
      <w:r>
        <w:rPr>
          <w:rFonts w:cs="Times New Roman"/>
        </w:rPr>
        <w:t>燃气</w:t>
      </w:r>
      <w:r>
        <w:rPr>
          <w:rFonts w:hint="eastAsia" w:cs="Times New Roman"/>
          <w:lang w:val="en-US" w:eastAsia="zh-CN"/>
        </w:rPr>
        <w:t>设施</w:t>
      </w:r>
      <w:bookmarkEnd w:id="112"/>
      <w:r>
        <w:rPr>
          <w:rFonts w:cs="Times New Roman"/>
        </w:rPr>
        <w:t>规划</w:t>
      </w:r>
    </w:p>
    <w:p w14:paraId="69AF6D9E">
      <w:pPr>
        <w:widowControl/>
        <w:adjustRightInd w:val="0"/>
        <w:snapToGrid w:val="0"/>
        <w:ind w:firstLine="640"/>
        <w:rPr>
          <w:rFonts w:cs="Times New Roman"/>
        </w:rPr>
      </w:pPr>
      <w:r>
        <w:rPr>
          <w:rFonts w:cs="Times New Roman"/>
        </w:rPr>
        <w:t>规划乡中心区供气气源选择以液化石油气为主，以电能为辅助能源；各村仍继续采用燃烧罐装液化气为主，以电能为辅助能源。远期开展气化乡村工程，逐步实现燃气管网铺设和通气工作，逐步替代煤、柴等污染能源。同时，考虑与其他形式的清洁能源相结合，如太阳能、风能、沼气等，建设节约型社会，提高能源的使用效率。</w:t>
      </w:r>
    </w:p>
    <w:p w14:paraId="4C0A020B">
      <w:pPr>
        <w:pStyle w:val="4"/>
        <w:numPr>
          <w:ilvl w:val="0"/>
          <w:numId w:val="0"/>
        </w:numPr>
        <w:ind w:left="640" w:leftChars="0"/>
        <w:rPr>
          <w:rFonts w:cs="Times New Roman"/>
        </w:rPr>
      </w:pPr>
      <w:r>
        <w:rPr>
          <w:rFonts w:hint="eastAsia" w:cs="Times New Roman"/>
          <w:lang w:val="en-US" w:eastAsia="zh-CN"/>
        </w:rPr>
        <w:t>9.3.6</w:t>
      </w:r>
      <w:r>
        <w:rPr>
          <w:rFonts w:cs="Times New Roman"/>
        </w:rPr>
        <w:t>供热</w:t>
      </w:r>
      <w:r>
        <w:rPr>
          <w:rFonts w:hint="eastAsia" w:cs="Times New Roman"/>
          <w:lang w:val="en-US" w:eastAsia="zh-CN"/>
        </w:rPr>
        <w:t>设施</w:t>
      </w:r>
      <w:bookmarkEnd w:id="113"/>
      <w:r>
        <w:rPr>
          <w:rFonts w:cs="Times New Roman"/>
        </w:rPr>
        <w:t>规划</w:t>
      </w:r>
    </w:p>
    <w:p w14:paraId="33F67177">
      <w:pPr>
        <w:widowControl/>
        <w:adjustRightInd w:val="0"/>
        <w:snapToGrid w:val="0"/>
        <w:ind w:firstLine="640"/>
        <w:rPr>
          <w:rFonts w:cs="Times New Roman"/>
          <w:color w:val="000000"/>
        </w:rPr>
      </w:pPr>
      <w:r>
        <w:rPr>
          <w:rFonts w:cs="Times New Roman"/>
          <w:color w:val="000000"/>
        </w:rPr>
        <w:t>规划在乡中心区</w:t>
      </w:r>
      <w:r>
        <w:rPr>
          <w:rFonts w:hint="eastAsia" w:cs="Times New Roman"/>
          <w:color w:val="000000"/>
        </w:rPr>
        <w:t>乡政府北侧</w:t>
      </w:r>
      <w:r>
        <w:rPr>
          <w:rFonts w:cs="Times New Roman"/>
          <w:color w:val="000000"/>
        </w:rPr>
        <w:t>建设一处集中供热站，同时建议采用清洁能源辅助供暖。规划集中供热普及率为100%。供热管网布置以枝状管网为主，中压主干管尽量避免敷设在主干路上，同时尽量避免穿越公路、其他大型建筑物，必须穿越时要有一定的防护措施。</w:t>
      </w:r>
    </w:p>
    <w:p w14:paraId="501890A6">
      <w:pPr>
        <w:widowControl/>
        <w:adjustRightInd w:val="0"/>
        <w:snapToGrid w:val="0"/>
        <w:ind w:firstLine="640"/>
        <w:rPr>
          <w:rFonts w:cs="Times New Roman"/>
          <w:color w:val="000000"/>
        </w:rPr>
      </w:pPr>
      <w:r>
        <w:rPr>
          <w:rFonts w:cs="Times New Roman"/>
          <w:color w:val="000000"/>
        </w:rPr>
        <w:t>其余各村近期以分散供热为主，远期实现燃气供热。</w:t>
      </w:r>
    </w:p>
    <w:p w14:paraId="29538286">
      <w:pPr>
        <w:pStyle w:val="4"/>
        <w:numPr>
          <w:ilvl w:val="0"/>
          <w:numId w:val="0"/>
        </w:numPr>
        <w:ind w:left="640" w:leftChars="0"/>
        <w:rPr>
          <w:rFonts w:cs="Times New Roman"/>
        </w:rPr>
      </w:pPr>
      <w:bookmarkStart w:id="115" w:name="_Toc381738"/>
      <w:r>
        <w:rPr>
          <w:rFonts w:hint="eastAsia" w:cs="Times New Roman"/>
          <w:lang w:val="en-US" w:eastAsia="zh-CN"/>
        </w:rPr>
        <w:t>9.3.7</w:t>
      </w:r>
      <w:r>
        <w:rPr>
          <w:rFonts w:cs="Times New Roman"/>
        </w:rPr>
        <w:t>环卫</w:t>
      </w:r>
      <w:bookmarkEnd w:id="115"/>
      <w:r>
        <w:rPr>
          <w:rFonts w:hint="eastAsia" w:cs="Times New Roman"/>
          <w:lang w:val="en-US" w:eastAsia="zh-CN"/>
        </w:rPr>
        <w:t>设施</w:t>
      </w:r>
      <w:r>
        <w:rPr>
          <w:rFonts w:cs="Times New Roman"/>
        </w:rPr>
        <w:t>规划</w:t>
      </w:r>
    </w:p>
    <w:p w14:paraId="6A05D980">
      <w:pPr>
        <w:ind w:firstLine="640"/>
        <w:rPr>
          <w:rFonts w:cs="Times New Roman"/>
        </w:rPr>
      </w:pPr>
      <w:r>
        <w:rPr>
          <w:rFonts w:cs="Times New Roman"/>
        </w:rPr>
        <w:t>规划</w:t>
      </w:r>
      <w:r>
        <w:rPr>
          <w:rFonts w:hint="eastAsia" w:cs="Times New Roman"/>
        </w:rPr>
        <w:t>北甸子</w:t>
      </w:r>
      <w:r>
        <w:rPr>
          <w:rFonts w:cs="Times New Roman"/>
        </w:rPr>
        <w:t>乡采用</w:t>
      </w:r>
      <w:r>
        <w:rPr>
          <w:rFonts w:hint="eastAsia" w:cs="Times New Roman"/>
        </w:rPr>
        <w:t>“</w:t>
      </w:r>
      <w:r>
        <w:rPr>
          <w:rFonts w:cs="Times New Roman"/>
        </w:rPr>
        <w:t>户分类、村收集、乡运转、县处理</w:t>
      </w:r>
      <w:r>
        <w:rPr>
          <w:rFonts w:hint="eastAsia" w:cs="Times New Roman"/>
        </w:rPr>
        <w:t>”</w:t>
      </w:r>
      <w:r>
        <w:rPr>
          <w:rFonts w:cs="Times New Roman"/>
        </w:rPr>
        <w:t>的模式，实现环境卫生城乡一体化布局。</w:t>
      </w:r>
      <w:r>
        <w:rPr>
          <w:rFonts w:hint="eastAsia" w:cs="Times New Roman"/>
        </w:rPr>
        <w:t>居民将产生的生活垃圾按照四类分类收集，各村设立分类垃圾贮存站</w:t>
      </w:r>
      <w:r>
        <w:rPr>
          <w:rFonts w:cs="Times New Roman"/>
        </w:rPr>
        <w:t>。</w:t>
      </w:r>
    </w:p>
    <w:p w14:paraId="00711DC2">
      <w:pPr>
        <w:pStyle w:val="3"/>
        <w:rPr>
          <w:rFonts w:ascii="Times New Roman" w:hAnsi="Times New Roman" w:cs="Times New Roman"/>
        </w:rPr>
      </w:pPr>
      <w:bookmarkStart w:id="116" w:name="_Toc1638"/>
      <w:bookmarkStart w:id="117" w:name="_Toc205557253"/>
      <w:r>
        <w:rPr>
          <w:rFonts w:hint="eastAsia" w:ascii="Times New Roman" w:hAnsi="Times New Roman" w:cs="Times New Roman"/>
          <w:lang w:val="en-US" w:eastAsia="zh-CN"/>
        </w:rPr>
        <w:t>9.4</w:t>
      </w:r>
      <w:r>
        <w:rPr>
          <w:rFonts w:ascii="Times New Roman" w:hAnsi="Times New Roman" w:cs="Times New Roman"/>
        </w:rPr>
        <w:t xml:space="preserve"> 防灾减灾设施</w:t>
      </w:r>
      <w:bookmarkEnd w:id="116"/>
      <w:bookmarkEnd w:id="117"/>
    </w:p>
    <w:p w14:paraId="6F820761">
      <w:pPr>
        <w:pStyle w:val="4"/>
        <w:numPr>
          <w:ilvl w:val="0"/>
          <w:numId w:val="0"/>
        </w:numPr>
        <w:ind w:left="640" w:leftChars="0"/>
        <w:rPr>
          <w:rFonts w:cs="Times New Roman"/>
        </w:rPr>
      </w:pPr>
      <w:r>
        <w:rPr>
          <w:rFonts w:hint="eastAsia" w:cs="Times New Roman"/>
          <w:lang w:val="en-US" w:eastAsia="zh-CN"/>
        </w:rPr>
        <w:t>9.4.1</w:t>
      </w:r>
      <w:r>
        <w:rPr>
          <w:rFonts w:cs="Times New Roman"/>
        </w:rPr>
        <w:t>建设现代化综合防灾减灾体系</w:t>
      </w:r>
    </w:p>
    <w:p w14:paraId="576A3F7D">
      <w:pPr>
        <w:ind w:firstLine="640"/>
        <w:rPr>
          <w:rFonts w:cs="Times New Roman"/>
        </w:rPr>
      </w:pPr>
      <w:r>
        <w:rPr>
          <w:rFonts w:cs="Times New Roman"/>
        </w:rPr>
        <w:t>积极融入桓仁县中心城区综合防灾减灾体系，提升应对重大公共突发事件能力和水平，加强组织领导机构建设，统一组织、协调、指挥城市防灾减灾工作。健全城乡生命线工程系统，统筹生态网络、防灾网络和生命线系统、开敞空间系统、防灾系统。推进</w:t>
      </w:r>
      <w:r>
        <w:rPr>
          <w:rFonts w:hint="eastAsia" w:cs="Times New Roman"/>
        </w:rPr>
        <w:t>“</w:t>
      </w:r>
      <w:r>
        <w:rPr>
          <w:rFonts w:cs="Times New Roman"/>
        </w:rPr>
        <w:t>平灾结合、平急两用</w:t>
      </w:r>
      <w:r>
        <w:rPr>
          <w:rFonts w:hint="eastAsia" w:cs="Times New Roman"/>
        </w:rPr>
        <w:t>”</w:t>
      </w:r>
      <w:r>
        <w:rPr>
          <w:rFonts w:cs="Times New Roman"/>
        </w:rPr>
        <w:t>公共基础设施建设，</w:t>
      </w:r>
      <w:r>
        <w:rPr>
          <w:rFonts w:hint="eastAsia" w:cs="Times New Roman"/>
        </w:rPr>
        <w:t>“</w:t>
      </w:r>
      <w:r>
        <w:rPr>
          <w:rFonts w:cs="Times New Roman"/>
        </w:rPr>
        <w:t>平时</w:t>
      </w:r>
      <w:r>
        <w:rPr>
          <w:rFonts w:hint="eastAsia" w:cs="Times New Roman"/>
        </w:rPr>
        <w:t>”</w:t>
      </w:r>
      <w:r>
        <w:rPr>
          <w:rFonts w:cs="Times New Roman"/>
        </w:rPr>
        <w:t>用作旅游、康养、休闲等，</w:t>
      </w:r>
      <w:r>
        <w:rPr>
          <w:rFonts w:hint="eastAsia" w:cs="Times New Roman"/>
        </w:rPr>
        <w:t>“</w:t>
      </w:r>
      <w:r>
        <w:rPr>
          <w:rFonts w:cs="Times New Roman"/>
        </w:rPr>
        <w:t>急时</w:t>
      </w:r>
      <w:r>
        <w:rPr>
          <w:rFonts w:hint="eastAsia" w:cs="Times New Roman"/>
        </w:rPr>
        <w:t>”</w:t>
      </w:r>
      <w:r>
        <w:rPr>
          <w:rFonts w:cs="Times New Roman"/>
        </w:rPr>
        <w:t>可转换为应急场所，满足应急避难、临时安置、物资保障等需求。完善综合防灾减灾规划和应急预案，保障应急物资储备与供应，全面提高救灾专业队伍的减灾救援能力。</w:t>
      </w:r>
    </w:p>
    <w:p w14:paraId="7B78170D">
      <w:pPr>
        <w:ind w:firstLine="640"/>
        <w:rPr>
          <w:rFonts w:cs="Times New Roman"/>
        </w:rPr>
      </w:pPr>
      <w:r>
        <w:rPr>
          <w:rFonts w:cs="Times New Roman"/>
        </w:rPr>
        <w:t>提升生命线廊道的综合抗灾能力。基本构建以水、电、气、热、交通等为重点，覆盖全域范围的城镇生命线安全工程主框架，并接入辽宁省城市生命线安全工程监测网，实现生命线安全工程全域覆盖，显著提升安全风险管控能力。</w:t>
      </w:r>
    </w:p>
    <w:p w14:paraId="3959B3E2">
      <w:pPr>
        <w:pStyle w:val="4"/>
        <w:numPr>
          <w:ilvl w:val="0"/>
          <w:numId w:val="0"/>
        </w:numPr>
        <w:ind w:left="640" w:leftChars="0"/>
        <w:rPr>
          <w:rFonts w:cs="Times New Roman"/>
        </w:rPr>
      </w:pPr>
      <w:r>
        <w:rPr>
          <w:rFonts w:hint="eastAsia" w:cs="Times New Roman"/>
          <w:lang w:val="en-US" w:eastAsia="zh-CN"/>
        </w:rPr>
        <w:t>9.4.2</w:t>
      </w:r>
      <w:r>
        <w:rPr>
          <w:rFonts w:cs="Times New Roman"/>
        </w:rPr>
        <w:t>应急避难场所</w:t>
      </w:r>
    </w:p>
    <w:p w14:paraId="4540ACCC">
      <w:pPr>
        <w:ind w:firstLine="640"/>
        <w:rPr>
          <w:rFonts w:cs="Times New Roman"/>
        </w:rPr>
      </w:pPr>
      <w:r>
        <w:rPr>
          <w:rFonts w:cs="Times New Roman"/>
        </w:rPr>
        <w:t>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2025年底前，全域初步形成乡镇级、村（社区）级应急避难场所布局体系，乡村应急避难场所覆盖范围进一步扩大。2035年底前，实现满足城乡人口避难需求的应急避难场所全覆盖。应急避难场所建设要达到国家《防灾避难场所设计规范》等有关规范、标准要求。2035年，</w:t>
      </w:r>
      <w:r>
        <w:rPr>
          <w:rFonts w:cs="Times New Roman"/>
          <w:u w:val="single"/>
        </w:rPr>
        <w:t>乡中心区人均应急避难场所面积不低于</w:t>
      </w:r>
      <w:r>
        <w:rPr>
          <w:rFonts w:hint="eastAsia" w:cs="Times New Roman"/>
          <w:u w:val="single"/>
        </w:rPr>
        <w:t>2</w:t>
      </w:r>
      <w:r>
        <w:rPr>
          <w:rFonts w:cs="Times New Roman"/>
          <w:u w:val="single"/>
        </w:rPr>
        <w:t>.5平方米。</w:t>
      </w:r>
      <w:r>
        <w:rPr>
          <w:rFonts w:cs="Times New Roman"/>
        </w:rPr>
        <w:t>按照国家相关标准要求提升避难场所建设水平，提高容灾避险能力，80%以上的应急避难场所配齐配全设备设施，整体提升容灾避险水平。</w:t>
      </w:r>
    </w:p>
    <w:p w14:paraId="20CDF98D">
      <w:pPr>
        <w:pStyle w:val="4"/>
        <w:numPr>
          <w:ilvl w:val="0"/>
          <w:numId w:val="0"/>
        </w:numPr>
        <w:ind w:left="640" w:leftChars="0"/>
        <w:rPr>
          <w:rFonts w:cs="Times New Roman"/>
        </w:rPr>
      </w:pPr>
      <w:r>
        <w:rPr>
          <w:rFonts w:hint="eastAsia" w:cs="Times New Roman"/>
          <w:lang w:val="en-US" w:eastAsia="zh-CN"/>
        </w:rPr>
        <w:t>9.4.3</w:t>
      </w:r>
      <w:r>
        <w:rPr>
          <w:rFonts w:cs="Times New Roman"/>
        </w:rPr>
        <w:t>防洪规划</w:t>
      </w:r>
    </w:p>
    <w:p w14:paraId="6158ACAE">
      <w:pPr>
        <w:widowControl/>
        <w:adjustRightInd w:val="0"/>
        <w:snapToGrid w:val="0"/>
        <w:ind w:firstLine="640"/>
        <w:rPr>
          <w:rFonts w:cs="Times New Roman"/>
        </w:rPr>
      </w:pPr>
      <w:bookmarkStart w:id="118" w:name="_Hlk131263270"/>
      <w:r>
        <w:rPr>
          <w:rFonts w:cs="Times New Roman"/>
        </w:rPr>
        <w:t>贯彻</w:t>
      </w:r>
      <w:r>
        <w:rPr>
          <w:rFonts w:hint="eastAsia" w:cs="Times New Roman"/>
        </w:rPr>
        <w:t>“</w:t>
      </w:r>
      <w:r>
        <w:rPr>
          <w:rFonts w:cs="Times New Roman"/>
        </w:rPr>
        <w:t>全面规划、综合治理、防治结合、以防为主</w:t>
      </w:r>
      <w:r>
        <w:rPr>
          <w:rFonts w:hint="eastAsia" w:cs="Times New Roman"/>
        </w:rPr>
        <w:t>”</w:t>
      </w:r>
      <w:r>
        <w:rPr>
          <w:rFonts w:cs="Times New Roman"/>
        </w:rPr>
        <w:t>的方针，高标准建设防洪系统。</w:t>
      </w:r>
      <w:r>
        <w:rPr>
          <w:rFonts w:cs="Times New Roman"/>
          <w:u w:val="single"/>
        </w:rPr>
        <w:t>浑江按照50年一遇防洪标准设防，治理山洪沟防洪标准为10年一遇，其他河流防洪标准为10年一遇。</w:t>
      </w:r>
      <w:r>
        <w:rPr>
          <w:rFonts w:cs="Times New Roman"/>
        </w:rPr>
        <w:t>加强堤防建设，建立安全的防洪排涝体系。</w:t>
      </w:r>
    </w:p>
    <w:bookmarkEnd w:id="118"/>
    <w:p w14:paraId="23E41BAC">
      <w:pPr>
        <w:widowControl/>
        <w:adjustRightInd w:val="0"/>
        <w:snapToGrid w:val="0"/>
        <w:ind w:firstLine="640"/>
        <w:rPr>
          <w:rFonts w:cs="Times New Roman"/>
        </w:rPr>
      </w:pPr>
      <w:bookmarkStart w:id="119" w:name="_Hlk131263279"/>
      <w:r>
        <w:rPr>
          <w:rFonts w:cs="Times New Roman"/>
        </w:rPr>
        <w:t>河道整治与改善环境相结合，通过河道整治，使河道畅通，改善水质和生活环境。综合运用挡、排、疏等手段，建立和完善防洪工程体系。做好地势低洼地段的排涝工作，采用垫高地面和设置排涝泵站等措施，提高防洪能力。建立综合防灾体系，做好防洪预案并加强气象和水情预报，最大限度地减少洪涝灾害带来的损失。</w:t>
      </w:r>
    </w:p>
    <w:p w14:paraId="5525A77C">
      <w:pPr>
        <w:pStyle w:val="4"/>
        <w:numPr>
          <w:ilvl w:val="0"/>
          <w:numId w:val="0"/>
        </w:numPr>
        <w:ind w:left="640" w:leftChars="0"/>
        <w:rPr>
          <w:rFonts w:cs="Times New Roman"/>
        </w:rPr>
      </w:pPr>
      <w:r>
        <w:rPr>
          <w:rFonts w:hint="eastAsia" w:cs="Times New Roman"/>
          <w:lang w:val="en-US" w:eastAsia="zh-CN"/>
        </w:rPr>
        <w:t>9.4.4</w:t>
      </w:r>
      <w:r>
        <w:rPr>
          <w:rFonts w:cs="Times New Roman"/>
        </w:rPr>
        <w:t>消防规划</w:t>
      </w:r>
    </w:p>
    <w:bookmarkEnd w:id="119"/>
    <w:p w14:paraId="751CACAB">
      <w:pPr>
        <w:widowControl/>
        <w:adjustRightInd w:val="0"/>
        <w:snapToGrid w:val="0"/>
        <w:ind w:firstLine="640"/>
        <w:rPr>
          <w:rFonts w:cs="Times New Roman"/>
        </w:rPr>
      </w:pPr>
      <w:r>
        <w:rPr>
          <w:rFonts w:cs="Times New Roman"/>
        </w:rPr>
        <w:t>贯彻</w:t>
      </w:r>
      <w:r>
        <w:rPr>
          <w:rFonts w:hint="eastAsia" w:cs="Times New Roman"/>
        </w:rPr>
        <w:t>“</w:t>
      </w:r>
      <w:r>
        <w:rPr>
          <w:rFonts w:cs="Times New Roman"/>
        </w:rPr>
        <w:t>预防为主，防消结合</w:t>
      </w:r>
      <w:r>
        <w:rPr>
          <w:rFonts w:hint="eastAsia" w:cs="Times New Roman"/>
        </w:rPr>
        <w:t>”</w:t>
      </w:r>
      <w:r>
        <w:rPr>
          <w:rFonts w:cs="Times New Roman"/>
        </w:rPr>
        <w:t>的消防工作方针，推进市政消防水源建设，合理划分消防责任区。</w:t>
      </w:r>
      <w:r>
        <w:rPr>
          <w:rFonts w:hint="eastAsia" w:cs="Times New Roman"/>
        </w:rPr>
        <w:t>结合乡政府驻地设立微型消防站并新建二级消防站</w:t>
      </w:r>
      <w:r>
        <w:rPr>
          <w:rFonts w:cs="Times New Roman"/>
        </w:rPr>
        <w:t>。消防给水系统与城镇给水系统一致，沿路供水管线不超过120米设一处消火栓。在工业区、大型公共建筑和供水低压区内设置消防水池，以保证消防用水所需流量。</w:t>
      </w:r>
    </w:p>
    <w:p w14:paraId="1CBE368F">
      <w:pPr>
        <w:widowControl/>
        <w:adjustRightInd w:val="0"/>
        <w:snapToGrid w:val="0"/>
        <w:ind w:firstLine="640"/>
        <w:rPr>
          <w:rFonts w:cs="Times New Roman"/>
        </w:rPr>
      </w:pPr>
      <w:r>
        <w:rPr>
          <w:rFonts w:cs="Times New Roman"/>
        </w:rPr>
        <w:t>强化消防通信设施建设。消防通信消防站应与桓仁县消防指挥中心建立可靠的有线通信、无线通信联系；消防无线通信系统应按专用通信网设置，并能与其它通信网连接，设置无线通讯基地台，保证线路、通信信号畅通。</w:t>
      </w:r>
    </w:p>
    <w:p w14:paraId="56DB15E9">
      <w:pPr>
        <w:widowControl/>
        <w:adjustRightInd w:val="0"/>
        <w:snapToGrid w:val="0"/>
        <w:ind w:firstLine="640"/>
        <w:rPr>
          <w:rFonts w:cs="Times New Roman"/>
        </w:rPr>
      </w:pPr>
      <w:r>
        <w:rPr>
          <w:rFonts w:cs="Times New Roman"/>
        </w:rPr>
        <w:t>消防给水与市政给水为共用系统，加强给水管网系统的建设和改造。在给水主干管和主要道路的绿岛或人行步道附近设置消防水鹤，其放水管对应的路面应有雨水（口）井，消防水鹤间距不应超过1000米。</w:t>
      </w:r>
    </w:p>
    <w:p w14:paraId="5C48FF1E">
      <w:pPr>
        <w:widowControl/>
        <w:adjustRightInd w:val="0"/>
        <w:snapToGrid w:val="0"/>
        <w:ind w:firstLine="640"/>
        <w:rPr>
          <w:rFonts w:cs="Times New Roman"/>
          <w:u w:val="single"/>
        </w:rPr>
      </w:pPr>
      <w:bookmarkStart w:id="120" w:name="_Hlk184058495"/>
      <w:r>
        <w:rPr>
          <w:rFonts w:cs="Times New Roman"/>
          <w:u w:val="single"/>
        </w:rPr>
        <w:t>加强消防通道建设。居住区道路宽度不应小于3.5米，道路转弯半径不应小于12米，净高不低于4.0米，消防通道间距应小于160米。</w:t>
      </w:r>
      <w:bookmarkEnd w:id="120"/>
      <w:r>
        <w:rPr>
          <w:rFonts w:cs="Times New Roman"/>
          <w:u w:val="single"/>
        </w:rPr>
        <w:t>沿道路设置消火栓，消火栓间距不大于120米。</w:t>
      </w:r>
    </w:p>
    <w:p w14:paraId="641ADB4A">
      <w:pPr>
        <w:pStyle w:val="4"/>
        <w:numPr>
          <w:ilvl w:val="0"/>
          <w:numId w:val="0"/>
        </w:numPr>
        <w:ind w:left="640" w:leftChars="0"/>
        <w:rPr>
          <w:rFonts w:cs="Times New Roman"/>
        </w:rPr>
      </w:pPr>
      <w:r>
        <w:rPr>
          <w:rFonts w:hint="eastAsia" w:cs="Times New Roman"/>
          <w:lang w:val="en-US" w:eastAsia="zh-CN"/>
        </w:rPr>
        <w:t>9.4.5</w:t>
      </w:r>
      <w:r>
        <w:rPr>
          <w:rFonts w:cs="Times New Roman"/>
        </w:rPr>
        <w:t>森林防火</w:t>
      </w:r>
    </w:p>
    <w:p w14:paraId="3D829D58">
      <w:pPr>
        <w:widowControl/>
        <w:adjustRightInd w:val="0"/>
        <w:snapToGrid w:val="0"/>
        <w:ind w:firstLine="640"/>
        <w:rPr>
          <w:rFonts w:cs="Times New Roman"/>
        </w:rPr>
      </w:pPr>
      <w:r>
        <w:rPr>
          <w:rFonts w:cs="Times New Roman"/>
        </w:rPr>
        <w:t>全面提高森林火灾防控能力，对森林区实行消防防火分区，加强生物防火林带的建设、维护，完善和优化防火设施布置、植物配置。加强预警监测系统、森林防火通信和信息指挥系统建设，建立森林消防应急联动机制，完善森林消防设施和森林专业消防救援队伍建设，最大限度地减少森林火灾发生和灾害损失。</w:t>
      </w:r>
    </w:p>
    <w:p w14:paraId="384612A9">
      <w:pPr>
        <w:pStyle w:val="4"/>
        <w:numPr>
          <w:ilvl w:val="0"/>
          <w:numId w:val="0"/>
        </w:numPr>
        <w:ind w:left="640" w:leftChars="0"/>
        <w:rPr>
          <w:rFonts w:cs="Times New Roman"/>
        </w:rPr>
      </w:pPr>
      <w:r>
        <w:rPr>
          <w:rFonts w:hint="eastAsia" w:cs="Times New Roman"/>
          <w:lang w:val="en-US" w:eastAsia="zh-CN"/>
        </w:rPr>
        <w:t>9.4.6</w:t>
      </w:r>
      <w:r>
        <w:rPr>
          <w:rFonts w:cs="Times New Roman"/>
        </w:rPr>
        <w:t>抗震减灾</w:t>
      </w:r>
    </w:p>
    <w:p w14:paraId="3867B94B">
      <w:pPr>
        <w:widowControl/>
        <w:adjustRightInd w:val="0"/>
        <w:snapToGrid w:val="0"/>
        <w:ind w:firstLine="640"/>
        <w:rPr>
          <w:rFonts w:cs="Times New Roman"/>
        </w:rPr>
      </w:pPr>
      <w:r>
        <w:rPr>
          <w:rFonts w:cs="Times New Roman"/>
        </w:rPr>
        <w:t>根据《中国地震动参数区划图（GB18306—2015）》，</w:t>
      </w:r>
      <w:r>
        <w:rPr>
          <w:rFonts w:hint="eastAsia" w:cs="Times New Roman"/>
          <w:u w:val="single"/>
        </w:rPr>
        <w:t>北甸子</w:t>
      </w:r>
      <w:r>
        <w:rPr>
          <w:rFonts w:cs="Times New Roman"/>
          <w:u w:val="single"/>
        </w:rPr>
        <w:t>乡执行7度设防。对有特殊要求的建筑物和构筑物应执行抗震规范。</w:t>
      </w:r>
      <w:r>
        <w:rPr>
          <w:rFonts w:cs="Times New Roman"/>
        </w:rPr>
        <w:t>北甸子乡地质结构复杂，因此在北甸子乡域内的重大建设工程和可能发生严重次生灾害的建设工程必须进行地震安全性评价，并根据安评结果，确定抗震设防要求，进行抗震设防。</w:t>
      </w:r>
    </w:p>
    <w:p w14:paraId="1DF0D37D">
      <w:pPr>
        <w:widowControl/>
        <w:adjustRightInd w:val="0"/>
        <w:snapToGrid w:val="0"/>
        <w:ind w:firstLine="640"/>
        <w:rPr>
          <w:rFonts w:cs="Times New Roman"/>
        </w:rPr>
      </w:pPr>
      <w:r>
        <w:rPr>
          <w:rFonts w:cs="Times New Roman"/>
        </w:rPr>
        <w:t>各类房屋建筑及其附属设施和城市市政设施等建设工程设计及施工必须执行国家抗震设计规范。</w:t>
      </w:r>
    </w:p>
    <w:p w14:paraId="0CB71781">
      <w:pPr>
        <w:pStyle w:val="4"/>
        <w:numPr>
          <w:ilvl w:val="0"/>
          <w:numId w:val="0"/>
        </w:numPr>
        <w:ind w:left="640" w:leftChars="0"/>
        <w:rPr>
          <w:rFonts w:cs="Times New Roman"/>
        </w:rPr>
      </w:pPr>
      <w:r>
        <w:rPr>
          <w:rFonts w:hint="eastAsia" w:cs="Times New Roman"/>
          <w:lang w:val="en-US" w:eastAsia="zh-CN"/>
        </w:rPr>
        <w:t>9.4.7</w:t>
      </w:r>
      <w:r>
        <w:rPr>
          <w:rFonts w:cs="Times New Roman"/>
        </w:rPr>
        <w:t>人防规划</w:t>
      </w:r>
    </w:p>
    <w:p w14:paraId="70B3801B">
      <w:pPr>
        <w:ind w:firstLine="640"/>
        <w:rPr>
          <w:rFonts w:cs="Times New Roman"/>
        </w:rPr>
      </w:pPr>
      <w:r>
        <w:rPr>
          <w:rFonts w:cs="Times New Roman"/>
        </w:rPr>
        <w:t>按照以疏散为主、掩蔽为辅的原则，人防工事由掩蔽工事、指挥系统、给水系统、警报通信系统、供电系统、医疗救护系统、人防仓库、工程抢救系统等组成，分别按照《人民防空条例》的规定建设，一般按五级以上工事标准修建。</w:t>
      </w:r>
    </w:p>
    <w:p w14:paraId="294E04D8">
      <w:pPr>
        <w:ind w:firstLine="640"/>
        <w:rPr>
          <w:rFonts w:cs="Times New Roman"/>
        </w:rPr>
      </w:pPr>
      <w:r>
        <w:rPr>
          <w:rFonts w:cs="Times New Roman"/>
        </w:rPr>
        <w:t>乡中心区应建设有线、无线、统控、自控相结合的防空警报网络。乡中心区重点地区必须按照规划要求建设人防工程，在人流集散的车站、大型商场、旅馆、医院、学校、政府机关等处修建一定规模的平战结合的掩蔽工事；车站、桥梁、铁路、对外公路及重要生命线工程要作为重点防护目标，设置专门的工程抢修系统。</w:t>
      </w:r>
    </w:p>
    <w:p w14:paraId="038856D5">
      <w:pPr>
        <w:pStyle w:val="4"/>
        <w:numPr>
          <w:ilvl w:val="0"/>
          <w:numId w:val="0"/>
        </w:numPr>
        <w:ind w:left="640" w:leftChars="0"/>
        <w:rPr>
          <w:rFonts w:cs="Times New Roman"/>
        </w:rPr>
      </w:pPr>
      <w:r>
        <w:rPr>
          <w:rFonts w:hint="eastAsia" w:cs="Times New Roman"/>
          <w:lang w:val="en-US" w:eastAsia="zh-CN"/>
        </w:rPr>
        <w:t>9.4.8</w:t>
      </w:r>
      <w:r>
        <w:rPr>
          <w:rFonts w:cs="Times New Roman"/>
        </w:rPr>
        <w:t>地质灾害防治</w:t>
      </w:r>
    </w:p>
    <w:p w14:paraId="72C8DEF5">
      <w:pPr>
        <w:widowControl/>
        <w:adjustRightInd w:val="0"/>
        <w:snapToGrid w:val="0"/>
        <w:ind w:firstLine="640"/>
        <w:rPr>
          <w:rFonts w:cs="Times New Roman"/>
        </w:rPr>
      </w:pPr>
      <w:r>
        <w:rPr>
          <w:rFonts w:cs="Times New Roman"/>
        </w:rPr>
        <w:t>提升地质灾害防治能力。增强地质灾害调查研究深度，开展地质灾害风险普查与调查。整合社会资源，配备必要的交通、通讯和专业设备，形成协调联动、反应迅速、组织有力、救援有效的地质灾害应急救援队伍。组建地质灾害应急调查小分队，协助处理突发地质灾害事件，指导和制定应急处置方案。建设信息网络平台，提高处理突发性地质灾害的能力。强化宣传培训与应急演练。健全以村干部和骨干群众为主体的群测群防员队伍，组织群测群防员培训。加强预警信息发布手段建设，确保及时发现险情、及时发出预警。</w:t>
      </w:r>
    </w:p>
    <w:p w14:paraId="58C4B77B">
      <w:pPr>
        <w:pStyle w:val="4"/>
        <w:numPr>
          <w:ilvl w:val="0"/>
          <w:numId w:val="0"/>
        </w:numPr>
        <w:ind w:left="640" w:leftChars="0"/>
        <w:rPr>
          <w:rFonts w:cs="Times New Roman"/>
        </w:rPr>
      </w:pPr>
      <w:bookmarkStart w:id="121" w:name="_Hlk131266021"/>
      <w:r>
        <w:rPr>
          <w:rFonts w:hint="eastAsia" w:cs="Times New Roman"/>
          <w:lang w:val="en-US" w:eastAsia="zh-CN"/>
        </w:rPr>
        <w:t>9.4.9</w:t>
      </w:r>
      <w:r>
        <w:rPr>
          <w:rFonts w:cs="Times New Roman"/>
        </w:rPr>
        <w:t>气象灾害防御</w:t>
      </w:r>
    </w:p>
    <w:p w14:paraId="34F06B38">
      <w:pPr>
        <w:widowControl/>
        <w:adjustRightInd w:val="0"/>
        <w:snapToGrid w:val="0"/>
        <w:ind w:firstLine="640"/>
        <w:rPr>
          <w:rFonts w:cs="Times New Roman"/>
        </w:rPr>
      </w:pPr>
      <w:r>
        <w:rPr>
          <w:rFonts w:cs="Times New Roman"/>
        </w:rPr>
        <w:t>完善气象灾害防灾减灾体系，加强重大气象灾害风险区划和评估，尤其做好暴雨、台风、暴雪、大雾、大风、强对流天气等灾害防御。加强气象灾害预警信息传播设施建设，向公众传播气象灾害预警信息。</w:t>
      </w:r>
    </w:p>
    <w:p w14:paraId="75CFBCA0">
      <w:pPr>
        <w:widowControl/>
        <w:adjustRightInd w:val="0"/>
        <w:snapToGrid w:val="0"/>
        <w:ind w:firstLine="640"/>
        <w:rPr>
          <w:rFonts w:cs="Times New Roman"/>
        </w:rPr>
      </w:pPr>
      <w:r>
        <w:rPr>
          <w:rFonts w:cs="Times New Roman"/>
          <w:lang w:bidi="ar"/>
        </w:rPr>
        <w:t>加强气象设施和气象探测环境保护，</w:t>
      </w:r>
      <w:r>
        <w:rPr>
          <w:rFonts w:cs="Times New Roman"/>
          <w:u w:val="single"/>
          <w:lang w:bidi="ar"/>
        </w:rPr>
        <w:t>保障高空气象观测站、天气雷达站、气象卫星地面站、区域气象观测站和单独设立的气象探测设施探测环境的保护，应当严格执行国家规定的保护范围和要求</w:t>
      </w:r>
      <w:r>
        <w:rPr>
          <w:rFonts w:cs="Times New Roman"/>
          <w:lang w:bidi="ar"/>
        </w:rPr>
        <w:t>。</w:t>
      </w:r>
    </w:p>
    <w:bookmarkEnd w:id="121"/>
    <w:p w14:paraId="1BBD1A82">
      <w:pPr>
        <w:pStyle w:val="2"/>
        <w:spacing w:before="312" w:after="312"/>
        <w:rPr>
          <w:rFonts w:ascii="Times New Roman" w:hAnsi="Times New Roman" w:cs="Times New Roman"/>
        </w:rPr>
      </w:pPr>
      <w:bookmarkStart w:id="122" w:name="_Toc205557254"/>
      <w:bookmarkStart w:id="123" w:name="_Toc31952"/>
      <w:r>
        <w:rPr>
          <w:rFonts w:ascii="Times New Roman" w:hAnsi="Times New Roman" w:cs="Times New Roman"/>
        </w:rPr>
        <w:t>第</w:t>
      </w:r>
      <w:r>
        <w:rPr>
          <w:rFonts w:hint="eastAsia" w:ascii="Times New Roman" w:hAnsi="Times New Roman" w:cs="Times New Roman"/>
          <w:lang w:val="en-US" w:eastAsia="zh-CN"/>
        </w:rPr>
        <w:t>10</w:t>
      </w:r>
      <w:r>
        <w:rPr>
          <w:rFonts w:ascii="Times New Roman" w:hAnsi="Times New Roman" w:cs="Times New Roman"/>
        </w:rPr>
        <w:t>章 规划传导与近期建设</w:t>
      </w:r>
      <w:bookmarkEnd w:id="122"/>
      <w:bookmarkEnd w:id="123"/>
    </w:p>
    <w:p w14:paraId="2CAB176B">
      <w:pPr>
        <w:pStyle w:val="3"/>
        <w:rPr>
          <w:rFonts w:ascii="Times New Roman" w:hAnsi="Times New Roman" w:cs="Times New Roman"/>
        </w:rPr>
      </w:pPr>
      <w:bookmarkStart w:id="124" w:name="_Toc205557255"/>
      <w:bookmarkStart w:id="125" w:name="_Toc175064695"/>
      <w:bookmarkStart w:id="126" w:name="_Toc19415"/>
      <w:r>
        <w:rPr>
          <w:rFonts w:hint="eastAsia" w:ascii="Times New Roman" w:hAnsi="Times New Roman" w:cs="Times New Roman"/>
          <w:lang w:val="en-US" w:eastAsia="zh-CN"/>
        </w:rPr>
        <w:t>10.1</w:t>
      </w:r>
      <w:r>
        <w:rPr>
          <w:rFonts w:ascii="Times New Roman" w:hAnsi="Times New Roman" w:cs="Times New Roman"/>
        </w:rPr>
        <w:t xml:space="preserve"> 加强党的领导</w:t>
      </w:r>
      <w:bookmarkEnd w:id="124"/>
      <w:bookmarkEnd w:id="125"/>
      <w:bookmarkEnd w:id="126"/>
    </w:p>
    <w:p w14:paraId="3DFFC702">
      <w:pPr>
        <w:pStyle w:val="4"/>
        <w:numPr>
          <w:ilvl w:val="0"/>
          <w:numId w:val="0"/>
        </w:numPr>
        <w:ind w:left="640" w:leftChars="0"/>
        <w:rPr>
          <w:rFonts w:eastAsia="楷体" w:cs="Times New Roman"/>
        </w:rPr>
      </w:pPr>
      <w:r>
        <w:rPr>
          <w:rFonts w:hint="eastAsia" w:cs="Times New Roman"/>
          <w:lang w:val="en-US" w:eastAsia="zh-CN"/>
        </w:rPr>
        <w:t>10.1.1</w:t>
      </w:r>
      <w:r>
        <w:rPr>
          <w:rFonts w:cs="Times New Roman"/>
        </w:rPr>
        <w:t>强化党对国土空间规划的全面领导</w:t>
      </w:r>
    </w:p>
    <w:p w14:paraId="648E00B4">
      <w:pPr>
        <w:widowControl/>
        <w:adjustRightInd w:val="0"/>
        <w:snapToGrid w:val="0"/>
        <w:ind w:firstLine="640"/>
        <w:rPr>
          <w:rFonts w:cs="Times New Roman"/>
        </w:rPr>
      </w:pPr>
      <w:r>
        <w:rPr>
          <w:rFonts w:cs="Times New Roman"/>
          <w:color w:val="000000"/>
          <w:lang w:bidi="ar"/>
        </w:rPr>
        <w:t>深入学习贯彻习近平新时代中国特色社会主义思想，深刻领悟</w:t>
      </w:r>
      <w:r>
        <w:rPr>
          <w:rFonts w:hint="eastAsia" w:cs="Times New Roman"/>
          <w:color w:val="000000"/>
          <w:lang w:bidi="ar"/>
        </w:rPr>
        <w:t>“</w:t>
      </w:r>
      <w:r>
        <w:rPr>
          <w:rFonts w:cs="Times New Roman"/>
          <w:color w:val="000000"/>
          <w:lang w:bidi="ar"/>
        </w:rPr>
        <w:t>两个确立</w:t>
      </w:r>
      <w:r>
        <w:rPr>
          <w:rFonts w:hint="eastAsia" w:cs="Times New Roman"/>
          <w:color w:val="000000"/>
          <w:lang w:bidi="ar"/>
        </w:rPr>
        <w:t>”</w:t>
      </w:r>
      <w:r>
        <w:rPr>
          <w:rFonts w:cs="Times New Roman"/>
          <w:color w:val="000000"/>
          <w:lang w:bidi="ar"/>
        </w:rPr>
        <w:t>的决定性意义，增强</w:t>
      </w:r>
      <w:r>
        <w:rPr>
          <w:rFonts w:hint="eastAsia" w:cs="Times New Roman"/>
          <w:color w:val="000000"/>
          <w:lang w:bidi="ar"/>
        </w:rPr>
        <w:t>“</w:t>
      </w:r>
      <w:r>
        <w:rPr>
          <w:rFonts w:cs="Times New Roman"/>
          <w:color w:val="000000"/>
          <w:lang w:bidi="ar"/>
        </w:rPr>
        <w:t>四个意识</w:t>
      </w:r>
      <w:r>
        <w:rPr>
          <w:rFonts w:hint="eastAsia" w:cs="Times New Roman"/>
          <w:color w:val="000000"/>
          <w:lang w:bidi="ar"/>
        </w:rPr>
        <w:t>”</w:t>
      </w:r>
      <w:r>
        <w:rPr>
          <w:rFonts w:cs="Times New Roman"/>
          <w:color w:val="000000"/>
          <w:lang w:bidi="ar"/>
        </w:rPr>
        <w:t>、坚定</w:t>
      </w:r>
      <w:r>
        <w:rPr>
          <w:rFonts w:hint="eastAsia" w:cs="Times New Roman"/>
          <w:color w:val="000000"/>
          <w:lang w:bidi="ar"/>
        </w:rPr>
        <w:t>“四</w:t>
      </w:r>
      <w:r>
        <w:rPr>
          <w:rFonts w:cs="Times New Roman"/>
          <w:color w:val="000000"/>
          <w:lang w:bidi="ar"/>
        </w:rPr>
        <w:t>个自信</w:t>
      </w:r>
      <w:r>
        <w:rPr>
          <w:rFonts w:hint="eastAsia" w:cs="Times New Roman"/>
          <w:color w:val="000000"/>
          <w:lang w:bidi="ar"/>
        </w:rPr>
        <w:t>”</w:t>
      </w:r>
      <w:r>
        <w:rPr>
          <w:rFonts w:cs="Times New Roman"/>
          <w:color w:val="000000"/>
          <w:lang w:bidi="ar"/>
        </w:rPr>
        <w:t>、做到</w:t>
      </w:r>
      <w:r>
        <w:rPr>
          <w:rFonts w:hint="eastAsia" w:cs="Times New Roman"/>
          <w:color w:val="000000"/>
          <w:lang w:bidi="ar"/>
        </w:rPr>
        <w:t>“</w:t>
      </w:r>
      <w:r>
        <w:rPr>
          <w:rFonts w:cs="Times New Roman"/>
          <w:color w:val="000000"/>
          <w:lang w:bidi="ar"/>
        </w:rPr>
        <w:t>两个维护</w:t>
      </w:r>
      <w:r>
        <w:rPr>
          <w:rFonts w:hint="eastAsia" w:cs="Times New Roman"/>
          <w:color w:val="000000"/>
          <w:lang w:bidi="ar"/>
        </w:rPr>
        <w:t>”</w:t>
      </w:r>
      <w:r>
        <w:rPr>
          <w:rFonts w:cs="Times New Roman"/>
          <w:color w:val="000000"/>
          <w:lang w:bidi="ar"/>
        </w:rPr>
        <w:t>，不断提高政治判断力、政治领悟力、政治执行力，充分发挥党总揽全局、协调各方的领导核心作用，把党的领导贯彻到国土空间规划编制实施全过程各领域各环节。</w:t>
      </w:r>
    </w:p>
    <w:p w14:paraId="7AC32B46">
      <w:pPr>
        <w:pStyle w:val="4"/>
        <w:numPr>
          <w:ilvl w:val="0"/>
          <w:numId w:val="0"/>
        </w:numPr>
        <w:ind w:left="640" w:leftChars="0"/>
        <w:rPr>
          <w:rFonts w:cs="Times New Roman"/>
        </w:rPr>
      </w:pPr>
      <w:r>
        <w:rPr>
          <w:rFonts w:hint="eastAsia" w:cs="Times New Roman"/>
          <w:lang w:val="en-US" w:eastAsia="zh-CN"/>
        </w:rPr>
        <w:t>10.1.2</w:t>
      </w:r>
      <w:r>
        <w:rPr>
          <w:rFonts w:cs="Times New Roman"/>
        </w:rPr>
        <w:t>落实地方党委和政府国土空间规划管理主体责任</w:t>
      </w:r>
    </w:p>
    <w:p w14:paraId="3B21EFED">
      <w:pPr>
        <w:widowControl/>
        <w:adjustRightInd w:val="0"/>
        <w:snapToGrid w:val="0"/>
        <w:ind w:firstLine="640"/>
        <w:rPr>
          <w:rFonts w:cs="Times New Roman"/>
        </w:rPr>
      </w:pPr>
      <w:r>
        <w:rPr>
          <w:rFonts w:cs="Times New Roman"/>
          <w:color w:val="000000"/>
          <w:lang w:bidi="ar"/>
        </w:rPr>
        <w:t>坚持</w:t>
      </w:r>
      <w:r>
        <w:rPr>
          <w:rFonts w:hint="eastAsia" w:cs="Times New Roman"/>
          <w:color w:val="000000"/>
          <w:lang w:bidi="ar"/>
        </w:rPr>
        <w:t>“多</w:t>
      </w:r>
      <w:r>
        <w:rPr>
          <w:rFonts w:cs="Times New Roman"/>
          <w:color w:val="000000"/>
          <w:lang w:bidi="ar"/>
        </w:rPr>
        <w:t>规合一</w:t>
      </w:r>
      <w:r>
        <w:rPr>
          <w:rFonts w:hint="eastAsia" w:cs="Times New Roman"/>
          <w:color w:val="000000"/>
          <w:lang w:bidi="ar"/>
        </w:rPr>
        <w:t>”</w:t>
      </w:r>
      <w:r>
        <w:rPr>
          <w:rFonts w:cs="Times New Roman"/>
          <w:color w:val="000000"/>
          <w:lang w:bidi="ar"/>
        </w:rPr>
        <w:t>，不在国土空间规划体系之外另设其他空间规划。强化规划严肃性，规划一经批准，任何部门和个人不得随意修改、违规变更。规划实施中的重大事项或重大调整，应及时按程序向上级党委政府请示报告。</w:t>
      </w:r>
    </w:p>
    <w:p w14:paraId="3D37F8B9">
      <w:pPr>
        <w:pStyle w:val="4"/>
        <w:numPr>
          <w:ilvl w:val="0"/>
          <w:numId w:val="0"/>
        </w:numPr>
        <w:ind w:left="640" w:leftChars="0"/>
        <w:rPr>
          <w:rFonts w:cs="Times New Roman"/>
        </w:rPr>
      </w:pPr>
      <w:r>
        <w:rPr>
          <w:rFonts w:hint="eastAsia" w:cs="Times New Roman"/>
          <w:lang w:val="en-US" w:eastAsia="zh-CN"/>
        </w:rPr>
        <w:t>10.1.3</w:t>
      </w:r>
      <w:r>
        <w:rPr>
          <w:rFonts w:cs="Times New Roman"/>
        </w:rPr>
        <w:t>加强部门协同联动</w:t>
      </w:r>
    </w:p>
    <w:p w14:paraId="67584C1E">
      <w:pPr>
        <w:widowControl/>
        <w:adjustRightInd w:val="0"/>
        <w:snapToGrid w:val="0"/>
        <w:ind w:firstLine="640"/>
        <w:rPr>
          <w:rFonts w:cs="Times New Roman"/>
        </w:rPr>
      </w:pPr>
      <w:r>
        <w:rPr>
          <w:rFonts w:cs="Times New Roman"/>
          <w:color w:val="000000"/>
          <w:lang w:bidi="ar"/>
        </w:rPr>
        <w:t>加强部门协同，进一步完善国土空间规划编制实施管理的配套措施，对镇国土空间规划编制实施管理重大问题进行统筹协调和决策，确保规划各项目标任务落地实施。</w:t>
      </w:r>
    </w:p>
    <w:p w14:paraId="7EE248EE">
      <w:pPr>
        <w:pStyle w:val="3"/>
        <w:rPr>
          <w:rFonts w:ascii="Times New Roman" w:hAnsi="Times New Roman" w:cs="Times New Roman"/>
        </w:rPr>
      </w:pPr>
      <w:bookmarkStart w:id="127" w:name="_Toc205557256"/>
      <w:bookmarkStart w:id="128" w:name="_Toc25887"/>
      <w:r>
        <w:rPr>
          <w:rFonts w:hint="eastAsia" w:ascii="Times New Roman" w:hAnsi="Times New Roman" w:cs="Times New Roman"/>
          <w:lang w:val="en-US" w:eastAsia="zh-CN"/>
        </w:rPr>
        <w:t>10.2</w:t>
      </w:r>
      <w:r>
        <w:rPr>
          <w:rFonts w:ascii="Times New Roman" w:hAnsi="Times New Roman" w:cs="Times New Roman"/>
        </w:rPr>
        <w:t xml:space="preserve"> 详细规划传导</w:t>
      </w:r>
      <w:bookmarkEnd w:id="127"/>
      <w:bookmarkEnd w:id="128"/>
    </w:p>
    <w:p w14:paraId="4684398D">
      <w:pPr>
        <w:pStyle w:val="4"/>
        <w:numPr>
          <w:ilvl w:val="0"/>
          <w:numId w:val="0"/>
        </w:numPr>
        <w:ind w:left="640" w:leftChars="0"/>
        <w:rPr>
          <w:rFonts w:cs="Times New Roman"/>
        </w:rPr>
      </w:pPr>
      <w:r>
        <w:rPr>
          <w:rFonts w:hint="eastAsia" w:cs="Times New Roman"/>
          <w:lang w:val="en-US" w:eastAsia="zh-CN"/>
        </w:rPr>
        <w:t>10.2.1</w:t>
      </w:r>
      <w:r>
        <w:rPr>
          <w:rFonts w:cs="Times New Roman"/>
        </w:rPr>
        <w:t>完善规划传导体系</w:t>
      </w:r>
    </w:p>
    <w:p w14:paraId="06351F4F">
      <w:pPr>
        <w:widowControl/>
        <w:adjustRightInd w:val="0"/>
        <w:snapToGrid w:val="0"/>
        <w:ind w:firstLine="640"/>
        <w:rPr>
          <w:rFonts w:cs="Times New Roman"/>
        </w:rPr>
      </w:pPr>
      <w:r>
        <w:rPr>
          <w:rFonts w:cs="Times New Roman"/>
          <w:color w:val="000000"/>
          <w:lang w:bidi="ar"/>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北甸子乡的空间发展格局、战略目标、城镇定位与发展方向、重大综合交通布局、重要公共服务与基础设施安排、规划分区深化细化、要素配置等内容导向，统筹安排各类用地结构和空间布局，合理优化镇域农业、生态、城镇空间格局，确保县、镇级规划双向衔接。相关专项规划要在总体规划的约束下编制，详细规划要遵循总体规划，不得违背总体规划强制性内容。</w:t>
      </w:r>
    </w:p>
    <w:p w14:paraId="67A65835">
      <w:pPr>
        <w:pStyle w:val="4"/>
        <w:numPr>
          <w:ilvl w:val="0"/>
          <w:numId w:val="0"/>
        </w:numPr>
        <w:ind w:left="640" w:leftChars="0"/>
        <w:rPr>
          <w:rFonts w:cs="Times New Roman"/>
        </w:rPr>
      </w:pPr>
      <w:r>
        <w:rPr>
          <w:rFonts w:hint="eastAsia" w:cs="Times New Roman"/>
          <w:lang w:val="en-US" w:eastAsia="zh-CN"/>
        </w:rPr>
        <w:t>10.2.2</w:t>
      </w:r>
      <w:r>
        <w:rPr>
          <w:rFonts w:cs="Times New Roman"/>
        </w:rPr>
        <w:t>详细规划传导</w:t>
      </w:r>
    </w:p>
    <w:p w14:paraId="7B68004F">
      <w:pPr>
        <w:widowControl/>
        <w:adjustRightInd w:val="0"/>
        <w:snapToGrid w:val="0"/>
        <w:ind w:firstLine="640"/>
        <w:rPr>
          <w:rFonts w:cs="Times New Roman"/>
          <w:lang w:bidi="ar"/>
        </w:rPr>
      </w:pPr>
      <w:r>
        <w:rPr>
          <w:rFonts w:cs="Times New Roman"/>
          <w:lang w:bidi="ar"/>
        </w:rPr>
        <w:t>落实上位规划划分的城乡详细规划单元，构建面向实施的详细规划编制体系，在乡中心区内通过</w:t>
      </w:r>
      <w:r>
        <w:rPr>
          <w:rFonts w:hint="eastAsia" w:cs="Times New Roman"/>
          <w:color w:val="000000"/>
          <w:lang w:bidi="ar"/>
        </w:rPr>
        <w:t>“</w:t>
      </w:r>
      <w:r>
        <w:rPr>
          <w:rFonts w:cs="Times New Roman"/>
          <w:lang w:bidi="ar"/>
        </w:rPr>
        <w:t>城镇单元</w:t>
      </w:r>
      <w:r>
        <w:rPr>
          <w:rFonts w:hint="eastAsia" w:cs="Times New Roman"/>
          <w:color w:val="000000"/>
          <w:lang w:bidi="ar"/>
        </w:rPr>
        <w:t>”</w:t>
      </w:r>
      <w:r>
        <w:rPr>
          <w:rFonts w:cs="Times New Roman"/>
          <w:lang w:bidi="ar"/>
        </w:rPr>
        <w:t>传导，编制详细规划，外围乡村地区通过</w:t>
      </w:r>
      <w:r>
        <w:rPr>
          <w:rFonts w:hint="eastAsia" w:cs="Times New Roman"/>
          <w:color w:val="000000"/>
          <w:lang w:bidi="ar"/>
        </w:rPr>
        <w:t>“乡村单元”</w:t>
      </w:r>
      <w:r>
        <w:rPr>
          <w:rFonts w:cs="Times New Roman"/>
          <w:lang w:bidi="ar"/>
        </w:rPr>
        <w:t>传导，编制村庄规划。结合详细规划单元划定，对既有详细规划编制情况进行评估，根据评估结果及时开展详细规划的新编和修编工作。</w:t>
      </w:r>
    </w:p>
    <w:p w14:paraId="22607E45">
      <w:pPr>
        <w:pStyle w:val="4"/>
        <w:numPr>
          <w:ilvl w:val="0"/>
          <w:numId w:val="0"/>
        </w:numPr>
        <w:ind w:left="640" w:leftChars="0"/>
        <w:rPr>
          <w:rFonts w:cs="Times New Roman"/>
        </w:rPr>
      </w:pPr>
      <w:r>
        <w:rPr>
          <w:rFonts w:hint="eastAsia" w:cs="Times New Roman"/>
          <w:lang w:val="en-US" w:eastAsia="zh-CN"/>
        </w:rPr>
        <w:t>10.2.3</w:t>
      </w:r>
      <w:r>
        <w:rPr>
          <w:rFonts w:cs="Times New Roman"/>
        </w:rPr>
        <w:t>城镇单元划分</w:t>
      </w:r>
    </w:p>
    <w:p w14:paraId="66C80B98">
      <w:pPr>
        <w:widowControl/>
        <w:adjustRightInd w:val="0"/>
        <w:snapToGrid w:val="0"/>
        <w:ind w:firstLine="640"/>
        <w:rPr>
          <w:rFonts w:cs="Times New Roman"/>
          <w:lang w:bidi="ar"/>
        </w:rPr>
      </w:pPr>
      <w:r>
        <w:rPr>
          <w:rFonts w:cs="Times New Roman"/>
          <w:lang w:bidi="ar"/>
        </w:rPr>
        <w:t>划分原则：单元边界划分以主导功能同一性、三大设施（公共服务设施、市政设施和安全设施）合理布局、分区完整性为原则，以特殊主导功能、铁路、城镇主干路、河流绿地、社区等为依据，做到乡中心区用地范围全覆盖。单元界限以行政区、社区等行政界线作为参照，结合自然界限、铁路、主要道路，以及乡镇功能与空间结构确定。</w:t>
      </w:r>
    </w:p>
    <w:p w14:paraId="2FF1F9D8">
      <w:pPr>
        <w:widowControl/>
        <w:adjustRightInd w:val="0"/>
        <w:snapToGrid w:val="0"/>
        <w:ind w:firstLine="640"/>
        <w:rPr>
          <w:rFonts w:cs="Times New Roman"/>
          <w:lang w:bidi="ar"/>
        </w:rPr>
      </w:pPr>
      <w:r>
        <w:rPr>
          <w:rFonts w:cs="Times New Roman"/>
          <w:lang w:bidi="ar"/>
        </w:rPr>
        <w:t>单元编码：单元码采用行政区英文字母缩写+阿拉伯数字排序的形式，如</w:t>
      </w:r>
      <w:r>
        <w:rPr>
          <w:rFonts w:hint="eastAsia" w:cs="Times New Roman"/>
          <w:lang w:bidi="ar"/>
        </w:rPr>
        <w:t>BDZX</w:t>
      </w:r>
      <w:r>
        <w:rPr>
          <w:rFonts w:cs="Times New Roman"/>
          <w:lang w:bidi="ar"/>
        </w:rPr>
        <w:t>CZ-01，即</w:t>
      </w:r>
      <w:r>
        <w:rPr>
          <w:rFonts w:hint="eastAsia" w:cs="Times New Roman"/>
          <w:lang w:bidi="ar"/>
        </w:rPr>
        <w:t>北甸子</w:t>
      </w:r>
      <w:r>
        <w:rPr>
          <w:rFonts w:cs="Times New Roman"/>
          <w:lang w:bidi="ar"/>
        </w:rPr>
        <w:t>乡1号城镇单元。</w:t>
      </w:r>
    </w:p>
    <w:p w14:paraId="494D100E">
      <w:pPr>
        <w:widowControl/>
        <w:adjustRightInd w:val="0"/>
        <w:snapToGrid w:val="0"/>
        <w:ind w:firstLine="640"/>
        <w:rPr>
          <w:rFonts w:cs="Times New Roman"/>
          <w:lang w:bidi="ar"/>
        </w:rPr>
      </w:pPr>
      <w:r>
        <w:rPr>
          <w:rFonts w:cs="Times New Roman"/>
          <w:lang w:bidi="ar"/>
        </w:rPr>
        <w:t>单元划分：</w:t>
      </w:r>
      <w:r>
        <w:rPr>
          <w:rFonts w:hint="eastAsia" w:cs="Times New Roman"/>
          <w:lang w:bidi="ar"/>
        </w:rPr>
        <w:t>北甸子</w:t>
      </w:r>
      <w:r>
        <w:rPr>
          <w:rFonts w:cs="Times New Roman"/>
          <w:lang w:bidi="ar"/>
        </w:rPr>
        <w:t>乡中心区共划分为1个城镇单元，单元规模不受硬性限制，为一般控制单元。</w:t>
      </w:r>
    </w:p>
    <w:p w14:paraId="24C77359">
      <w:pPr>
        <w:pStyle w:val="4"/>
        <w:numPr>
          <w:ilvl w:val="0"/>
          <w:numId w:val="0"/>
        </w:numPr>
        <w:ind w:left="640" w:leftChars="0"/>
        <w:rPr>
          <w:rFonts w:cs="Times New Roman"/>
        </w:rPr>
      </w:pPr>
      <w:r>
        <w:rPr>
          <w:rFonts w:hint="eastAsia" w:cs="Times New Roman"/>
          <w:lang w:val="en-US" w:eastAsia="zh-CN"/>
        </w:rPr>
        <w:t>10.2.4</w:t>
      </w:r>
      <w:r>
        <w:rPr>
          <w:rFonts w:cs="Times New Roman"/>
        </w:rPr>
        <w:t>乡村单元划分</w:t>
      </w:r>
    </w:p>
    <w:p w14:paraId="2834E3E5">
      <w:pPr>
        <w:ind w:firstLine="640"/>
        <w:rPr>
          <w:rFonts w:cs="Times New Roman"/>
        </w:rPr>
      </w:pPr>
      <w:r>
        <w:rPr>
          <w:rFonts w:cs="Times New Roman"/>
        </w:rPr>
        <w:t>划分原则：强化战略布局指引，突出指标管控。通过耕地保有量、建设用地规模等约束性指标，强化对资源总量、结构效率、空间管控底线的控制。</w:t>
      </w:r>
    </w:p>
    <w:p w14:paraId="31ADA25E">
      <w:pPr>
        <w:ind w:firstLine="640"/>
        <w:rPr>
          <w:rFonts w:cs="Times New Roman"/>
        </w:rPr>
      </w:pPr>
      <w:r>
        <w:rPr>
          <w:rFonts w:cs="Times New Roman"/>
        </w:rPr>
        <w:t>单元编码：采用行政区英文字母缩写+阿拉伯数字排序的形式，如</w:t>
      </w:r>
      <w:r>
        <w:rPr>
          <w:rFonts w:hint="eastAsia" w:cs="Times New Roman"/>
        </w:rPr>
        <w:t>BDZX</w:t>
      </w:r>
      <w:r>
        <w:rPr>
          <w:rFonts w:cs="Times New Roman"/>
        </w:rPr>
        <w:t>XC-01，即</w:t>
      </w:r>
      <w:r>
        <w:rPr>
          <w:rFonts w:hint="eastAsia" w:cs="Times New Roman"/>
          <w:lang w:bidi="ar"/>
        </w:rPr>
        <w:t>北甸子</w:t>
      </w:r>
      <w:r>
        <w:rPr>
          <w:rFonts w:cs="Times New Roman"/>
          <w:lang w:bidi="ar"/>
        </w:rPr>
        <w:t>乡</w:t>
      </w:r>
      <w:r>
        <w:rPr>
          <w:rFonts w:cs="Times New Roman"/>
        </w:rPr>
        <w:t>1号乡村单元。</w:t>
      </w:r>
    </w:p>
    <w:p w14:paraId="04C48038">
      <w:pPr>
        <w:widowControl/>
        <w:adjustRightInd w:val="0"/>
        <w:snapToGrid w:val="0"/>
        <w:ind w:firstLine="640"/>
        <w:rPr>
          <w:rFonts w:cs="Times New Roman"/>
          <w:lang w:bidi="ar"/>
        </w:rPr>
      </w:pPr>
      <w:r>
        <w:rPr>
          <w:rFonts w:cs="Times New Roman"/>
        </w:rPr>
        <w:t>单元划分：</w:t>
      </w:r>
      <w:r>
        <w:rPr>
          <w:rFonts w:hint="eastAsia" w:cs="Times New Roman"/>
          <w:lang w:bidi="ar"/>
        </w:rPr>
        <w:t>北甸子</w:t>
      </w:r>
      <w:r>
        <w:rPr>
          <w:rFonts w:cs="Times New Roman"/>
          <w:lang w:bidi="ar"/>
        </w:rPr>
        <w:t>乡</w:t>
      </w:r>
      <w:r>
        <w:rPr>
          <w:rFonts w:cs="Times New Roman"/>
        </w:rPr>
        <w:t>共划分为</w:t>
      </w:r>
      <w:r>
        <w:rPr>
          <w:rFonts w:hint="eastAsia" w:cs="Times New Roman"/>
        </w:rPr>
        <w:t>6</w:t>
      </w:r>
      <w:r>
        <w:rPr>
          <w:rFonts w:cs="Times New Roman"/>
        </w:rPr>
        <w:t>个乡村单元</w:t>
      </w:r>
      <w:r>
        <w:rPr>
          <w:rFonts w:cs="Times New Roman"/>
          <w:lang w:bidi="ar"/>
        </w:rPr>
        <w:t>。</w:t>
      </w:r>
    </w:p>
    <w:p w14:paraId="13714B39">
      <w:pPr>
        <w:pStyle w:val="4"/>
        <w:numPr>
          <w:ilvl w:val="0"/>
          <w:numId w:val="0"/>
        </w:numPr>
        <w:ind w:left="640" w:leftChars="0"/>
        <w:rPr>
          <w:rFonts w:cs="Times New Roman"/>
          <w:lang w:bidi="ar"/>
        </w:rPr>
      </w:pPr>
      <w:r>
        <w:rPr>
          <w:rFonts w:hint="eastAsia" w:cs="Times New Roman"/>
          <w:lang w:val="en-US" w:eastAsia="zh-CN"/>
        </w:rPr>
        <w:t>10.2.5</w:t>
      </w:r>
      <w:r>
        <w:rPr>
          <w:rFonts w:cs="Times New Roman"/>
        </w:rPr>
        <w:t>特殊单元划分</w:t>
      </w:r>
    </w:p>
    <w:p w14:paraId="47362ED9">
      <w:pPr>
        <w:widowControl/>
        <w:adjustRightInd w:val="0"/>
        <w:snapToGrid w:val="0"/>
        <w:ind w:firstLine="640"/>
        <w:rPr>
          <w:rFonts w:cs="Times New Roman"/>
        </w:rPr>
      </w:pPr>
      <w:r>
        <w:rPr>
          <w:rFonts w:hint="eastAsia" w:cs="Times New Roman"/>
          <w:lang w:bidi="ar"/>
        </w:rPr>
        <w:t>北甸子</w:t>
      </w:r>
      <w:r>
        <w:rPr>
          <w:rFonts w:cs="Times New Roman"/>
          <w:lang w:bidi="ar"/>
        </w:rPr>
        <w:t>乡域内涉及特殊单元</w:t>
      </w:r>
      <w:r>
        <w:rPr>
          <w:rFonts w:hint="eastAsia" w:cs="Times New Roman"/>
          <w:lang w:bidi="ar"/>
        </w:rPr>
        <w:t>1</w:t>
      </w:r>
      <w:r>
        <w:rPr>
          <w:rFonts w:cs="Times New Roman"/>
          <w:lang w:bidi="ar"/>
        </w:rPr>
        <w:t>处，为</w:t>
      </w:r>
      <w:r>
        <w:rPr>
          <w:rFonts w:hint="eastAsia" w:cs="Times New Roman"/>
          <w:lang w:bidi="ar"/>
        </w:rPr>
        <w:t>自然公园特殊</w:t>
      </w:r>
      <w:r>
        <w:rPr>
          <w:rFonts w:cs="Times New Roman"/>
          <w:lang w:bidi="ar"/>
        </w:rPr>
        <w:t>单元。衔接相关专项规划，明确对特殊管理对象的管控要求。</w:t>
      </w:r>
    </w:p>
    <w:p w14:paraId="14FF7341">
      <w:pPr>
        <w:pStyle w:val="3"/>
        <w:rPr>
          <w:rFonts w:ascii="Times New Roman" w:hAnsi="Times New Roman" w:cs="Times New Roman"/>
        </w:rPr>
      </w:pPr>
      <w:bookmarkStart w:id="129" w:name="_Toc28314"/>
      <w:bookmarkStart w:id="130" w:name="_Toc205557257"/>
      <w:r>
        <w:rPr>
          <w:rFonts w:hint="eastAsia" w:ascii="Times New Roman" w:hAnsi="Times New Roman" w:cs="Times New Roman"/>
          <w:lang w:val="en-US" w:eastAsia="zh-CN"/>
        </w:rPr>
        <w:t>10.3</w:t>
      </w:r>
      <w:r>
        <w:rPr>
          <w:rFonts w:ascii="Times New Roman" w:hAnsi="Times New Roman" w:cs="Times New Roman"/>
        </w:rPr>
        <w:t xml:space="preserve"> 近期建设</w:t>
      </w:r>
      <w:bookmarkEnd w:id="129"/>
      <w:bookmarkEnd w:id="130"/>
    </w:p>
    <w:p w14:paraId="400C06EF">
      <w:pPr>
        <w:pStyle w:val="4"/>
        <w:numPr>
          <w:ilvl w:val="0"/>
          <w:numId w:val="0"/>
        </w:numPr>
        <w:ind w:left="640" w:leftChars="0"/>
        <w:rPr>
          <w:rFonts w:cs="Times New Roman"/>
        </w:rPr>
      </w:pPr>
      <w:r>
        <w:rPr>
          <w:rFonts w:hint="eastAsia" w:cs="Times New Roman"/>
          <w:lang w:val="en-US" w:eastAsia="zh-CN"/>
        </w:rPr>
        <w:t>10.3.1</w:t>
      </w:r>
      <w:r>
        <w:rPr>
          <w:rFonts w:cs="Times New Roman"/>
        </w:rPr>
        <w:t>近期重点行动计划</w:t>
      </w:r>
    </w:p>
    <w:p w14:paraId="3AE0B344">
      <w:pPr>
        <w:adjustRightInd w:val="0"/>
        <w:snapToGrid w:val="0"/>
        <w:ind w:firstLine="640"/>
        <w:rPr>
          <w:rFonts w:cs="Times New Roman"/>
          <w:color w:val="000000"/>
          <w:szCs w:val="32"/>
          <w:lang w:bidi="ar"/>
        </w:rPr>
      </w:pPr>
      <w:r>
        <w:rPr>
          <w:rFonts w:cs="Times New Roman"/>
          <w:color w:val="000000"/>
          <w:szCs w:val="32"/>
          <w:lang w:bidi="ar"/>
        </w:rPr>
        <w:t>以国土空间规划为引领，坚持“生态优先、绿色发展、功能完善、特色鲜明”的原则，推动乡中心区城镇建设高质量发展。通过城镇更新与建设、优化空间布局、完善基础设施、提升公共服务、强化产业支撑等措施，打造宜居宜业宜游生态旅游城镇。</w:t>
      </w:r>
    </w:p>
    <w:p w14:paraId="4D30E17E">
      <w:pPr>
        <w:adjustRightInd w:val="0"/>
        <w:snapToGrid w:val="0"/>
        <w:ind w:firstLine="640"/>
        <w:rPr>
          <w:rFonts w:cs="Times New Roman"/>
          <w:color w:val="000000"/>
          <w:szCs w:val="32"/>
          <w:lang w:bidi="ar"/>
        </w:rPr>
      </w:pPr>
      <w:r>
        <w:rPr>
          <w:rFonts w:cs="Times New Roman"/>
          <w:color w:val="000000"/>
          <w:szCs w:val="32"/>
          <w:lang w:bidi="ar"/>
        </w:rPr>
        <w:t>——城镇更新与建设</w:t>
      </w:r>
    </w:p>
    <w:p w14:paraId="5F509B57">
      <w:pPr>
        <w:adjustRightInd w:val="0"/>
        <w:snapToGrid w:val="0"/>
        <w:ind w:firstLine="640"/>
        <w:rPr>
          <w:rFonts w:cs="Times New Roman"/>
          <w:color w:val="000000"/>
          <w:szCs w:val="32"/>
          <w:lang w:bidi="ar"/>
        </w:rPr>
      </w:pPr>
      <w:r>
        <w:rPr>
          <w:rFonts w:cs="Times New Roman"/>
          <w:color w:val="000000"/>
          <w:szCs w:val="32"/>
          <w:lang w:bidi="ar"/>
        </w:rPr>
        <w:t>对老旧住宅区和商业街区进行风貌整治，统一建筑风格，提升街区品质。升级旅游服务设施，提升旅游服务水平。增加公共绿地面积，建设更多绿地景观园，提升乡中心区绿化覆盖率。对沿街建筑进行立面改造，统一风格，美化乡中心区环境。引入智慧城市管理系统，实现旅游信息智能化管理，包括智慧导览、智慧停车、智慧安防等功能。</w:t>
      </w:r>
    </w:p>
    <w:p w14:paraId="1E04B85B">
      <w:pPr>
        <w:adjustRightInd w:val="0"/>
        <w:snapToGrid w:val="0"/>
        <w:ind w:firstLine="640"/>
        <w:rPr>
          <w:rFonts w:cs="Times New Roman"/>
          <w:color w:val="000000"/>
          <w:szCs w:val="32"/>
          <w:lang w:bidi="ar"/>
        </w:rPr>
      </w:pPr>
      <w:r>
        <w:rPr>
          <w:rFonts w:cs="Times New Roman"/>
          <w:color w:val="000000"/>
          <w:szCs w:val="32"/>
          <w:lang w:bidi="ar"/>
        </w:rPr>
        <w:t>——基础设施改造</w:t>
      </w:r>
    </w:p>
    <w:p w14:paraId="45F75D9A">
      <w:pPr>
        <w:adjustRightInd w:val="0"/>
        <w:snapToGrid w:val="0"/>
        <w:ind w:firstLine="640"/>
        <w:rPr>
          <w:rFonts w:cs="Times New Roman"/>
          <w:color w:val="000000"/>
          <w:szCs w:val="32"/>
          <w:lang w:bidi="ar"/>
        </w:rPr>
      </w:pPr>
      <w:r>
        <w:rPr>
          <w:rFonts w:cs="Times New Roman"/>
          <w:color w:val="000000"/>
          <w:szCs w:val="32"/>
          <w:lang w:bidi="ar"/>
        </w:rPr>
        <w:t>对乡中心区内主要道路进行拓宽和硬化，提升道路等级，确保交通顺畅。加强公共交通设施建设，提高居民出行便利性。对乡中心区内的给排水管网进行全面检修和升级，解决排水不畅、水质不佳等问题。特别是要对洗浴排污、冷热水管网进行重点改造，提高水质综合合格率。加强水利设施建设和管理维护工作力度，提高防洪排涝能力和水资源利用效率。加强饮用水源地保护和供水设施建设，确保居民饮水安全。推进信息化建设，提升政府服务效率和居民生活质量。加强互联网、大数据、云计算等新技术在政务、民生等领域的应用。</w:t>
      </w:r>
    </w:p>
    <w:p w14:paraId="7CF06348">
      <w:pPr>
        <w:adjustRightInd w:val="0"/>
        <w:snapToGrid w:val="0"/>
        <w:ind w:firstLine="640"/>
        <w:rPr>
          <w:rFonts w:cs="Times New Roman"/>
          <w:color w:val="000000"/>
          <w:szCs w:val="32"/>
          <w:lang w:bidi="ar"/>
        </w:rPr>
      </w:pPr>
      <w:r>
        <w:rPr>
          <w:rFonts w:cs="Times New Roman"/>
          <w:color w:val="000000"/>
          <w:szCs w:val="32"/>
          <w:lang w:bidi="ar"/>
        </w:rPr>
        <w:t>——公共服务提升</w:t>
      </w:r>
    </w:p>
    <w:p w14:paraId="05E515A4">
      <w:pPr>
        <w:adjustRightInd w:val="0"/>
        <w:snapToGrid w:val="0"/>
        <w:ind w:firstLine="640"/>
        <w:rPr>
          <w:rFonts w:cs="Times New Roman"/>
          <w:color w:val="000000"/>
          <w:szCs w:val="32"/>
          <w:lang w:bidi="ar"/>
        </w:rPr>
      </w:pPr>
      <w:r>
        <w:rPr>
          <w:rFonts w:cs="Times New Roman"/>
          <w:color w:val="000000"/>
          <w:szCs w:val="32"/>
          <w:lang w:bidi="ar"/>
        </w:rPr>
        <w:t>加大教育医疗投入力度，改善教育医疗设施条件和服务水平。加强师资力量建设和医疗队伍建设，提高教育教学质量和医疗服务水平。加强文化体育设施建设和管理维护工作力度，丰富居民文化生活和精神文化生活，组织开展各类文化体育活动和体育赛事活动。</w:t>
      </w:r>
    </w:p>
    <w:p w14:paraId="6B23008D">
      <w:pPr>
        <w:adjustRightInd w:val="0"/>
        <w:snapToGrid w:val="0"/>
        <w:ind w:firstLine="640"/>
        <w:rPr>
          <w:rFonts w:cs="Times New Roman"/>
          <w:color w:val="000000"/>
          <w:szCs w:val="32"/>
          <w:lang w:bidi="ar"/>
        </w:rPr>
      </w:pPr>
      <w:r>
        <w:rPr>
          <w:rFonts w:cs="Times New Roman"/>
          <w:color w:val="000000"/>
          <w:szCs w:val="32"/>
          <w:lang w:bidi="ar"/>
        </w:rPr>
        <w:t>——防灾减灾基础设施建设</w:t>
      </w:r>
    </w:p>
    <w:p w14:paraId="67EE7961">
      <w:pPr>
        <w:adjustRightInd w:val="0"/>
        <w:snapToGrid w:val="0"/>
        <w:ind w:firstLine="640"/>
        <w:rPr>
          <w:rFonts w:cs="Times New Roman"/>
          <w:color w:val="000000"/>
          <w:szCs w:val="32"/>
          <w:lang w:bidi="ar"/>
        </w:rPr>
      </w:pPr>
      <w:r>
        <w:rPr>
          <w:rFonts w:cs="Times New Roman"/>
          <w:color w:val="000000"/>
          <w:szCs w:val="32"/>
          <w:lang w:bidi="ar"/>
        </w:rPr>
        <w:t>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旅游应急救援机制。</w:t>
      </w:r>
    </w:p>
    <w:p w14:paraId="79E8C41E">
      <w:pPr>
        <w:adjustRightInd w:val="0"/>
        <w:snapToGrid w:val="0"/>
        <w:ind w:firstLine="640"/>
        <w:rPr>
          <w:rFonts w:cs="Times New Roman"/>
          <w:color w:val="000000"/>
          <w:szCs w:val="32"/>
          <w:lang w:bidi="ar"/>
        </w:rPr>
      </w:pPr>
      <w:r>
        <w:rPr>
          <w:rFonts w:cs="Times New Roman"/>
          <w:color w:val="000000"/>
          <w:szCs w:val="32"/>
          <w:lang w:bidi="ar"/>
        </w:rPr>
        <w:t>——开展国土综合整治和生态修复</w:t>
      </w:r>
    </w:p>
    <w:p w14:paraId="65FB895D">
      <w:pPr>
        <w:adjustRightInd w:val="0"/>
        <w:snapToGrid w:val="0"/>
        <w:ind w:firstLine="640"/>
        <w:rPr>
          <w:rFonts w:cs="Times New Roman"/>
          <w:color w:val="000000"/>
          <w:szCs w:val="32"/>
          <w:lang w:bidi="ar"/>
        </w:rPr>
      </w:pPr>
      <w:r>
        <w:rPr>
          <w:rFonts w:cs="Times New Roman"/>
          <w:color w:val="000000"/>
          <w:szCs w:val="32"/>
          <w:lang w:bidi="ar"/>
        </w:rPr>
        <w:t>结合发展现状，近期主要安排高标准农田建设、农村生态环境修复、森林生态修复、水土流失生态修复、土壤污染生态修复、水环境和水生态修复、湿地生态修复、矿山生态修复。至2025年，北甸子乡耕地质量进一步提升，农村建设用地逐步集约，生态环境质量不断优化，山水林田湖草沙得到系统治理，人与自然和谐共生。</w:t>
      </w:r>
    </w:p>
    <w:p w14:paraId="45F56B4F">
      <w:pPr>
        <w:pStyle w:val="4"/>
        <w:numPr>
          <w:ilvl w:val="0"/>
          <w:numId w:val="0"/>
        </w:numPr>
        <w:ind w:left="640" w:leftChars="0"/>
        <w:rPr>
          <w:rFonts w:cs="Times New Roman"/>
        </w:rPr>
      </w:pPr>
      <w:r>
        <w:rPr>
          <w:rFonts w:hint="eastAsia" w:cs="Times New Roman"/>
          <w:lang w:val="en-US" w:eastAsia="zh-CN"/>
        </w:rPr>
        <w:t>10.3.2</w:t>
      </w:r>
      <w:r>
        <w:rPr>
          <w:rFonts w:cs="Times New Roman"/>
        </w:rPr>
        <w:t>近期重点项目空间保障</w:t>
      </w:r>
    </w:p>
    <w:p w14:paraId="027E960C">
      <w:pPr>
        <w:widowControl/>
        <w:adjustRightInd w:val="0"/>
        <w:snapToGrid w:val="0"/>
        <w:ind w:firstLine="640"/>
        <w:rPr>
          <w:rFonts w:cs="Times New Roman"/>
          <w:lang w:bidi="ar"/>
        </w:rPr>
      </w:pPr>
      <w:r>
        <w:rPr>
          <w:rFonts w:cs="Times New Roman"/>
          <w:color w:val="000000"/>
          <w:lang w:bidi="ar"/>
        </w:rPr>
        <w:t>落实国民经济社会发展规划项目建设安排，与各部门年度工作计划和项目安排相衔接，综合各部门和地区发展诉求，建立规划重点项目清单。按照“项目跟着规划走，要素跟着项目走”原则，优先保障重大项目用地供给</w:t>
      </w:r>
      <w:r>
        <w:rPr>
          <w:rFonts w:cs="Times New Roman"/>
          <w:lang w:bidi="ar"/>
        </w:rPr>
        <w:t>。</w:t>
      </w:r>
    </w:p>
    <w:p w14:paraId="4CBB019A">
      <w:pPr>
        <w:adjustRightInd w:val="0"/>
        <w:snapToGrid w:val="0"/>
        <w:spacing w:line="600" w:lineRule="atLeast"/>
        <w:ind w:firstLine="0" w:firstLineChars="0"/>
        <w:jc w:val="center"/>
        <w:outlineLvl w:val="2"/>
        <w:rPr>
          <w:rFonts w:eastAsia="黑体" w:cs="Times New Roman"/>
          <w:sz w:val="28"/>
          <w:szCs w:val="21"/>
        </w:rPr>
      </w:pPr>
      <w:r>
        <w:rPr>
          <w:rFonts w:eastAsia="黑体" w:cs="Times New Roman"/>
          <w:sz w:val="28"/>
          <w:szCs w:val="21"/>
        </w:rPr>
        <w:t>表9 重点建设项目安排表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1603"/>
        <w:gridCol w:w="5765"/>
      </w:tblGrid>
      <w:tr w14:paraId="670C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059EC428">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项目大类</w:t>
            </w:r>
          </w:p>
        </w:tc>
        <w:tc>
          <w:tcPr>
            <w:tcW w:w="940" w:type="pct"/>
            <w:vAlign w:val="center"/>
          </w:tcPr>
          <w:p w14:paraId="19360EB2">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项目中类</w:t>
            </w:r>
          </w:p>
        </w:tc>
        <w:tc>
          <w:tcPr>
            <w:tcW w:w="3380" w:type="pct"/>
            <w:vAlign w:val="center"/>
          </w:tcPr>
          <w:p w14:paraId="4FE46891">
            <w:pPr>
              <w:spacing w:line="240" w:lineRule="auto"/>
              <w:ind w:firstLine="0" w:firstLineChars="0"/>
              <w:jc w:val="center"/>
              <w:rPr>
                <w:rFonts w:cs="Times New Roman"/>
                <w:b/>
                <w:bCs/>
                <w:kern w:val="0"/>
                <w:sz w:val="21"/>
                <w:szCs w:val="20"/>
                <w:lang w:bidi="zh-CN"/>
              </w:rPr>
            </w:pPr>
            <w:r>
              <w:rPr>
                <w:rFonts w:cs="Times New Roman"/>
                <w:b/>
                <w:bCs/>
                <w:kern w:val="0"/>
                <w:sz w:val="21"/>
                <w:szCs w:val="20"/>
                <w:lang w:bidi="zh-CN"/>
              </w:rPr>
              <w:t>项目名称</w:t>
            </w:r>
          </w:p>
        </w:tc>
      </w:tr>
      <w:tr w14:paraId="51D1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767A97BA">
            <w:pPr>
              <w:spacing w:line="240" w:lineRule="auto"/>
              <w:ind w:firstLine="0" w:firstLineChars="0"/>
              <w:jc w:val="center"/>
              <w:rPr>
                <w:rFonts w:cs="Times New Roman"/>
                <w:kern w:val="0"/>
                <w:sz w:val="21"/>
                <w:szCs w:val="21"/>
              </w:rPr>
            </w:pPr>
            <w:r>
              <w:rPr>
                <w:rFonts w:cs="Times New Roman"/>
                <w:kern w:val="0"/>
                <w:sz w:val="21"/>
                <w:szCs w:val="21"/>
              </w:rPr>
              <w:t>交通</w:t>
            </w:r>
          </w:p>
        </w:tc>
        <w:tc>
          <w:tcPr>
            <w:tcW w:w="940" w:type="pct"/>
            <w:vAlign w:val="center"/>
          </w:tcPr>
          <w:p w14:paraId="52B7348F">
            <w:pPr>
              <w:spacing w:line="240" w:lineRule="auto"/>
              <w:ind w:firstLine="0" w:firstLineChars="0"/>
              <w:jc w:val="center"/>
              <w:rPr>
                <w:rFonts w:cs="Times New Roman"/>
                <w:kern w:val="0"/>
                <w:sz w:val="21"/>
                <w:szCs w:val="21"/>
              </w:rPr>
            </w:pPr>
            <w:r>
              <w:rPr>
                <w:rFonts w:cs="Times New Roman"/>
                <w:kern w:val="0"/>
                <w:sz w:val="21"/>
                <w:szCs w:val="21"/>
              </w:rPr>
              <w:t>公路</w:t>
            </w:r>
          </w:p>
        </w:tc>
        <w:tc>
          <w:tcPr>
            <w:tcW w:w="3380" w:type="pct"/>
            <w:vAlign w:val="center"/>
          </w:tcPr>
          <w:p w14:paraId="0A723D3D">
            <w:pPr>
              <w:spacing w:line="240" w:lineRule="auto"/>
              <w:ind w:firstLine="0" w:firstLineChars="0"/>
              <w:rPr>
                <w:rFonts w:cs="Times New Roman"/>
                <w:kern w:val="0"/>
                <w:sz w:val="21"/>
                <w:szCs w:val="21"/>
              </w:rPr>
            </w:pPr>
            <w:r>
              <w:rPr>
                <w:rFonts w:hint="eastAsia" w:cs="Times New Roman"/>
                <w:kern w:val="0"/>
                <w:sz w:val="21"/>
                <w:szCs w:val="21"/>
              </w:rPr>
              <w:t>二北线西古城子至北甸子改扩建工程</w:t>
            </w:r>
          </w:p>
        </w:tc>
      </w:tr>
      <w:tr w14:paraId="26EC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0BBEC4D0">
            <w:pPr>
              <w:spacing w:line="240" w:lineRule="auto"/>
              <w:ind w:firstLine="0" w:firstLineChars="0"/>
              <w:jc w:val="center"/>
              <w:rPr>
                <w:rFonts w:cs="Times New Roman"/>
                <w:kern w:val="0"/>
                <w:sz w:val="21"/>
                <w:szCs w:val="21"/>
              </w:rPr>
            </w:pPr>
            <w:r>
              <w:rPr>
                <w:rFonts w:cs="Times New Roman"/>
                <w:kern w:val="0"/>
                <w:sz w:val="21"/>
                <w:szCs w:val="21"/>
              </w:rPr>
              <w:t>水利</w:t>
            </w:r>
          </w:p>
        </w:tc>
        <w:tc>
          <w:tcPr>
            <w:tcW w:w="940" w:type="pct"/>
            <w:vAlign w:val="center"/>
          </w:tcPr>
          <w:p w14:paraId="67603414">
            <w:pPr>
              <w:spacing w:line="240" w:lineRule="auto"/>
              <w:ind w:firstLine="0" w:firstLineChars="0"/>
              <w:jc w:val="center"/>
              <w:rPr>
                <w:rFonts w:cs="Times New Roman"/>
                <w:kern w:val="0"/>
                <w:sz w:val="21"/>
                <w:szCs w:val="21"/>
              </w:rPr>
            </w:pPr>
            <w:r>
              <w:rPr>
                <w:rFonts w:cs="Times New Roman"/>
                <w:kern w:val="0"/>
                <w:sz w:val="21"/>
                <w:szCs w:val="21"/>
              </w:rPr>
              <w:t>河道治理</w:t>
            </w:r>
          </w:p>
        </w:tc>
        <w:tc>
          <w:tcPr>
            <w:tcW w:w="3380" w:type="pct"/>
            <w:vAlign w:val="center"/>
          </w:tcPr>
          <w:p w14:paraId="780F6145">
            <w:pPr>
              <w:spacing w:line="240" w:lineRule="auto"/>
              <w:ind w:firstLine="0" w:firstLineChars="0"/>
              <w:rPr>
                <w:rFonts w:cs="Times New Roman"/>
                <w:kern w:val="0"/>
                <w:sz w:val="21"/>
                <w:szCs w:val="21"/>
              </w:rPr>
            </w:pPr>
            <w:r>
              <w:rPr>
                <w:rFonts w:hint="eastAsia" w:cs="Times New Roman"/>
                <w:kern w:val="0"/>
                <w:sz w:val="21"/>
                <w:szCs w:val="21"/>
              </w:rPr>
              <w:t>北甸子乡湾龙背河道治理工程项目</w:t>
            </w:r>
          </w:p>
        </w:tc>
      </w:tr>
      <w:tr w14:paraId="730D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5DB2B6E4">
            <w:pPr>
              <w:spacing w:line="240" w:lineRule="auto"/>
              <w:ind w:firstLine="0" w:firstLineChars="0"/>
              <w:jc w:val="center"/>
              <w:rPr>
                <w:rFonts w:cs="Times New Roman"/>
                <w:kern w:val="0"/>
                <w:sz w:val="21"/>
                <w:szCs w:val="21"/>
              </w:rPr>
            </w:pPr>
            <w:r>
              <w:rPr>
                <w:rFonts w:cs="Times New Roman"/>
                <w:kern w:val="0"/>
                <w:sz w:val="21"/>
                <w:szCs w:val="21"/>
              </w:rPr>
              <w:t>能源</w:t>
            </w:r>
          </w:p>
        </w:tc>
        <w:tc>
          <w:tcPr>
            <w:tcW w:w="940" w:type="pct"/>
            <w:vMerge w:val="restart"/>
            <w:vAlign w:val="center"/>
          </w:tcPr>
          <w:p w14:paraId="25C3D998">
            <w:pPr>
              <w:spacing w:line="240" w:lineRule="auto"/>
              <w:ind w:firstLine="0" w:firstLineChars="0"/>
              <w:jc w:val="center"/>
              <w:rPr>
                <w:rFonts w:cs="Times New Roman"/>
                <w:kern w:val="0"/>
                <w:sz w:val="21"/>
                <w:szCs w:val="21"/>
              </w:rPr>
            </w:pPr>
            <w:r>
              <w:rPr>
                <w:rFonts w:cs="Times New Roman"/>
                <w:kern w:val="0"/>
                <w:sz w:val="21"/>
                <w:szCs w:val="21"/>
              </w:rPr>
              <w:t>电力</w:t>
            </w:r>
          </w:p>
        </w:tc>
        <w:tc>
          <w:tcPr>
            <w:tcW w:w="3380" w:type="pct"/>
            <w:vAlign w:val="center"/>
          </w:tcPr>
          <w:p w14:paraId="206BD5CB">
            <w:pPr>
              <w:spacing w:line="240" w:lineRule="auto"/>
              <w:ind w:firstLine="0" w:firstLineChars="0"/>
              <w:rPr>
                <w:rFonts w:cs="Times New Roman"/>
                <w:kern w:val="0"/>
                <w:sz w:val="21"/>
                <w:szCs w:val="21"/>
              </w:rPr>
            </w:pPr>
            <w:r>
              <w:rPr>
                <w:rFonts w:hint="eastAsia" w:cs="Times New Roman"/>
                <w:kern w:val="0"/>
                <w:sz w:val="21"/>
                <w:szCs w:val="21"/>
              </w:rPr>
              <w:t>北甸子66KV输变电工程</w:t>
            </w:r>
          </w:p>
        </w:tc>
      </w:tr>
      <w:tr w14:paraId="0827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396D9A9A">
            <w:pPr>
              <w:spacing w:line="240" w:lineRule="auto"/>
              <w:ind w:firstLine="0" w:firstLineChars="0"/>
              <w:jc w:val="center"/>
              <w:rPr>
                <w:rFonts w:cs="Times New Roman"/>
                <w:kern w:val="0"/>
                <w:sz w:val="21"/>
                <w:szCs w:val="21"/>
              </w:rPr>
            </w:pPr>
          </w:p>
        </w:tc>
        <w:tc>
          <w:tcPr>
            <w:tcW w:w="940" w:type="pct"/>
            <w:vMerge w:val="continue"/>
            <w:vAlign w:val="center"/>
          </w:tcPr>
          <w:p w14:paraId="3AEE8BC7">
            <w:pPr>
              <w:spacing w:line="240" w:lineRule="auto"/>
              <w:ind w:firstLine="0" w:firstLineChars="0"/>
              <w:jc w:val="center"/>
              <w:rPr>
                <w:rFonts w:cs="Times New Roman"/>
                <w:kern w:val="0"/>
                <w:sz w:val="21"/>
                <w:szCs w:val="21"/>
              </w:rPr>
            </w:pPr>
          </w:p>
        </w:tc>
        <w:tc>
          <w:tcPr>
            <w:tcW w:w="3380" w:type="pct"/>
            <w:vAlign w:val="center"/>
          </w:tcPr>
          <w:p w14:paraId="6BC4BA95">
            <w:pPr>
              <w:spacing w:line="240" w:lineRule="auto"/>
              <w:ind w:firstLine="0" w:firstLineChars="0"/>
              <w:rPr>
                <w:rFonts w:cs="Times New Roman"/>
                <w:kern w:val="0"/>
                <w:sz w:val="21"/>
                <w:szCs w:val="21"/>
              </w:rPr>
            </w:pPr>
            <w:r>
              <w:rPr>
                <w:rFonts w:hint="eastAsia" w:cs="Times New Roman"/>
                <w:kern w:val="0"/>
                <w:sz w:val="21"/>
                <w:szCs w:val="21"/>
              </w:rPr>
              <w:t>友谊村光伏发电建设项目</w:t>
            </w:r>
          </w:p>
        </w:tc>
      </w:tr>
      <w:tr w14:paraId="232A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14:paraId="01CDB970">
            <w:pPr>
              <w:spacing w:line="240" w:lineRule="auto"/>
              <w:ind w:firstLine="0" w:firstLineChars="0"/>
              <w:jc w:val="center"/>
              <w:rPr>
                <w:rFonts w:cs="Times New Roman"/>
                <w:kern w:val="0"/>
                <w:sz w:val="21"/>
                <w:szCs w:val="21"/>
              </w:rPr>
            </w:pPr>
            <w:r>
              <w:rPr>
                <w:rFonts w:cs="Times New Roman"/>
                <w:kern w:val="0"/>
                <w:sz w:val="21"/>
                <w:szCs w:val="21"/>
              </w:rPr>
              <w:t>工矿</w:t>
            </w:r>
          </w:p>
        </w:tc>
        <w:tc>
          <w:tcPr>
            <w:tcW w:w="940" w:type="pct"/>
            <w:vAlign w:val="center"/>
          </w:tcPr>
          <w:p w14:paraId="169B57EF">
            <w:pPr>
              <w:spacing w:line="240" w:lineRule="auto"/>
              <w:ind w:firstLine="0" w:firstLineChars="0"/>
              <w:jc w:val="center"/>
              <w:rPr>
                <w:rFonts w:cs="Times New Roman"/>
                <w:kern w:val="0"/>
                <w:sz w:val="21"/>
                <w:szCs w:val="21"/>
              </w:rPr>
            </w:pPr>
            <w:r>
              <w:rPr>
                <w:rFonts w:cs="Times New Roman"/>
                <w:kern w:val="0"/>
                <w:sz w:val="21"/>
                <w:szCs w:val="21"/>
              </w:rPr>
              <w:t>矿山生态修复</w:t>
            </w:r>
          </w:p>
        </w:tc>
        <w:tc>
          <w:tcPr>
            <w:tcW w:w="3380" w:type="pct"/>
            <w:vAlign w:val="center"/>
          </w:tcPr>
          <w:p w14:paraId="7E944CC1">
            <w:pPr>
              <w:spacing w:line="240" w:lineRule="auto"/>
              <w:ind w:firstLine="0" w:firstLineChars="0"/>
              <w:rPr>
                <w:rFonts w:cs="Times New Roman"/>
                <w:kern w:val="0"/>
                <w:sz w:val="21"/>
                <w:szCs w:val="21"/>
              </w:rPr>
            </w:pPr>
            <w:r>
              <w:rPr>
                <w:rFonts w:hint="eastAsia" w:cs="Times New Roman"/>
                <w:kern w:val="0"/>
                <w:sz w:val="21"/>
                <w:szCs w:val="21"/>
              </w:rPr>
              <w:t>北甸子乡石墨矿项目</w:t>
            </w:r>
          </w:p>
        </w:tc>
      </w:tr>
      <w:tr w14:paraId="308E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43F5C075">
            <w:pPr>
              <w:spacing w:line="240" w:lineRule="auto"/>
              <w:ind w:firstLine="0" w:firstLineChars="0"/>
              <w:jc w:val="center"/>
              <w:rPr>
                <w:rFonts w:cs="Times New Roman"/>
                <w:kern w:val="0"/>
                <w:sz w:val="21"/>
                <w:szCs w:val="21"/>
              </w:rPr>
            </w:pPr>
            <w:r>
              <w:rPr>
                <w:rFonts w:hint="eastAsia" w:cs="Times New Roman"/>
                <w:kern w:val="0"/>
                <w:sz w:val="21"/>
                <w:szCs w:val="21"/>
              </w:rPr>
              <w:t>乡村振兴</w:t>
            </w:r>
          </w:p>
        </w:tc>
        <w:tc>
          <w:tcPr>
            <w:tcW w:w="940" w:type="pct"/>
            <w:vMerge w:val="restart"/>
            <w:vAlign w:val="center"/>
          </w:tcPr>
          <w:p w14:paraId="6EA83B77">
            <w:pPr>
              <w:spacing w:line="240" w:lineRule="auto"/>
              <w:ind w:firstLine="0" w:firstLineChars="0"/>
              <w:jc w:val="center"/>
              <w:rPr>
                <w:rFonts w:cs="Times New Roman"/>
                <w:kern w:val="0"/>
                <w:sz w:val="21"/>
                <w:szCs w:val="21"/>
              </w:rPr>
            </w:pPr>
            <w:r>
              <w:rPr>
                <w:rFonts w:hint="eastAsia" w:cs="Times New Roman"/>
                <w:kern w:val="0"/>
                <w:sz w:val="21"/>
                <w:szCs w:val="21"/>
              </w:rPr>
              <w:t>环境</w:t>
            </w:r>
            <w:r>
              <w:rPr>
                <w:rFonts w:cs="Times New Roman"/>
                <w:kern w:val="0"/>
                <w:sz w:val="21"/>
                <w:szCs w:val="21"/>
              </w:rPr>
              <w:t>整治</w:t>
            </w:r>
          </w:p>
        </w:tc>
        <w:tc>
          <w:tcPr>
            <w:tcW w:w="3380" w:type="pct"/>
            <w:vAlign w:val="center"/>
          </w:tcPr>
          <w:p w14:paraId="48E3339C">
            <w:pPr>
              <w:spacing w:line="240" w:lineRule="auto"/>
              <w:ind w:firstLine="0" w:firstLineChars="0"/>
              <w:rPr>
                <w:rFonts w:cs="Times New Roman"/>
                <w:kern w:val="0"/>
                <w:sz w:val="21"/>
                <w:szCs w:val="21"/>
              </w:rPr>
            </w:pPr>
            <w:r>
              <w:rPr>
                <w:rFonts w:hint="eastAsia" w:cs="Times New Roman"/>
                <w:kern w:val="0"/>
                <w:sz w:val="21"/>
                <w:szCs w:val="21"/>
              </w:rPr>
              <w:t>新农村人居环境提升建设项目</w:t>
            </w:r>
          </w:p>
        </w:tc>
      </w:tr>
      <w:tr w14:paraId="5ACB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6A6629D3">
            <w:pPr>
              <w:spacing w:line="240" w:lineRule="auto"/>
              <w:ind w:firstLine="0" w:firstLineChars="0"/>
              <w:jc w:val="center"/>
              <w:rPr>
                <w:rFonts w:cs="Times New Roman"/>
                <w:kern w:val="0"/>
                <w:sz w:val="21"/>
                <w:szCs w:val="21"/>
              </w:rPr>
            </w:pPr>
          </w:p>
        </w:tc>
        <w:tc>
          <w:tcPr>
            <w:tcW w:w="940" w:type="pct"/>
            <w:vMerge w:val="continue"/>
            <w:vAlign w:val="center"/>
          </w:tcPr>
          <w:p w14:paraId="6B3D66AA">
            <w:pPr>
              <w:spacing w:line="240" w:lineRule="auto"/>
              <w:ind w:firstLine="0" w:firstLineChars="0"/>
              <w:jc w:val="center"/>
              <w:rPr>
                <w:rFonts w:cs="Times New Roman"/>
                <w:kern w:val="0"/>
                <w:sz w:val="21"/>
                <w:szCs w:val="21"/>
              </w:rPr>
            </w:pPr>
          </w:p>
        </w:tc>
        <w:tc>
          <w:tcPr>
            <w:tcW w:w="3380" w:type="pct"/>
            <w:vAlign w:val="center"/>
          </w:tcPr>
          <w:p w14:paraId="3B84286D">
            <w:pPr>
              <w:spacing w:line="240" w:lineRule="auto"/>
              <w:ind w:firstLine="0" w:firstLineChars="0"/>
              <w:rPr>
                <w:rFonts w:cs="Times New Roman"/>
                <w:kern w:val="0"/>
                <w:sz w:val="21"/>
                <w:szCs w:val="21"/>
              </w:rPr>
            </w:pPr>
            <w:r>
              <w:rPr>
                <w:rFonts w:hint="eastAsia" w:cs="Times New Roman"/>
                <w:kern w:val="0"/>
                <w:sz w:val="21"/>
                <w:szCs w:val="21"/>
              </w:rPr>
              <w:t>友谊村漫水桥建设项目</w:t>
            </w:r>
          </w:p>
        </w:tc>
      </w:tr>
      <w:tr w14:paraId="0A36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65E02D3E">
            <w:pPr>
              <w:spacing w:line="240" w:lineRule="auto"/>
              <w:ind w:firstLine="0" w:firstLineChars="0"/>
              <w:jc w:val="center"/>
              <w:rPr>
                <w:rFonts w:cs="Times New Roman"/>
                <w:kern w:val="0"/>
                <w:sz w:val="21"/>
                <w:szCs w:val="21"/>
              </w:rPr>
            </w:pPr>
          </w:p>
        </w:tc>
        <w:tc>
          <w:tcPr>
            <w:tcW w:w="940" w:type="pct"/>
            <w:vMerge w:val="continue"/>
            <w:vAlign w:val="center"/>
          </w:tcPr>
          <w:p w14:paraId="08FAA88C">
            <w:pPr>
              <w:spacing w:line="240" w:lineRule="auto"/>
              <w:ind w:firstLine="0" w:firstLineChars="0"/>
              <w:jc w:val="center"/>
              <w:rPr>
                <w:rFonts w:cs="Times New Roman"/>
                <w:kern w:val="0"/>
                <w:sz w:val="21"/>
                <w:szCs w:val="21"/>
              </w:rPr>
            </w:pPr>
          </w:p>
        </w:tc>
        <w:tc>
          <w:tcPr>
            <w:tcW w:w="3380" w:type="pct"/>
            <w:vAlign w:val="center"/>
          </w:tcPr>
          <w:p w14:paraId="565CCD32">
            <w:pPr>
              <w:spacing w:line="240" w:lineRule="auto"/>
              <w:ind w:firstLine="0" w:firstLineChars="0"/>
              <w:rPr>
                <w:rFonts w:cs="Times New Roman"/>
                <w:kern w:val="0"/>
                <w:sz w:val="21"/>
                <w:szCs w:val="21"/>
              </w:rPr>
            </w:pPr>
            <w:r>
              <w:rPr>
                <w:rFonts w:hint="eastAsia" w:cs="Times New Roman"/>
                <w:kern w:val="0"/>
                <w:sz w:val="21"/>
                <w:szCs w:val="21"/>
              </w:rPr>
              <w:t>配合县移民局进行湾龙背村拦河坝、大牛沟村田间作业路项目，</w:t>
            </w:r>
          </w:p>
        </w:tc>
      </w:tr>
      <w:tr w14:paraId="7ED3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7BDB8B61">
            <w:pPr>
              <w:spacing w:line="240" w:lineRule="auto"/>
              <w:ind w:firstLine="0" w:firstLineChars="0"/>
              <w:jc w:val="center"/>
              <w:rPr>
                <w:rFonts w:cs="Times New Roman"/>
                <w:kern w:val="0"/>
                <w:sz w:val="21"/>
                <w:szCs w:val="21"/>
              </w:rPr>
            </w:pPr>
          </w:p>
        </w:tc>
        <w:tc>
          <w:tcPr>
            <w:tcW w:w="940" w:type="pct"/>
            <w:vMerge w:val="continue"/>
            <w:vAlign w:val="center"/>
          </w:tcPr>
          <w:p w14:paraId="5A38D4F4">
            <w:pPr>
              <w:spacing w:line="240" w:lineRule="auto"/>
              <w:ind w:firstLine="0" w:firstLineChars="0"/>
              <w:jc w:val="center"/>
              <w:rPr>
                <w:rFonts w:cs="Times New Roman"/>
                <w:kern w:val="0"/>
                <w:sz w:val="21"/>
                <w:szCs w:val="21"/>
              </w:rPr>
            </w:pPr>
          </w:p>
        </w:tc>
        <w:tc>
          <w:tcPr>
            <w:tcW w:w="3380" w:type="pct"/>
            <w:vAlign w:val="center"/>
          </w:tcPr>
          <w:p w14:paraId="51729304">
            <w:pPr>
              <w:spacing w:line="240" w:lineRule="auto"/>
              <w:ind w:firstLine="0" w:firstLineChars="0"/>
              <w:rPr>
                <w:rFonts w:hint="eastAsia" w:eastAsia="仿宋_GB2312" w:cs="Times New Roman"/>
                <w:kern w:val="0"/>
                <w:sz w:val="21"/>
                <w:szCs w:val="21"/>
                <w:lang w:val="en-US" w:eastAsia="zh-CN"/>
              </w:rPr>
            </w:pPr>
            <w:r>
              <w:rPr>
                <w:rFonts w:hint="eastAsia" w:cs="Times New Roman"/>
                <w:kern w:val="0"/>
                <w:sz w:val="21"/>
                <w:szCs w:val="21"/>
              </w:rPr>
              <w:t>北甸子村八组姜家街供水工程维修养护项</w:t>
            </w:r>
            <w:r>
              <w:rPr>
                <w:rFonts w:hint="eastAsia" w:cs="Times New Roman"/>
                <w:kern w:val="0"/>
                <w:sz w:val="21"/>
                <w:szCs w:val="21"/>
                <w:lang w:val="en-US" w:eastAsia="zh-CN"/>
              </w:rPr>
              <w:t>目</w:t>
            </w:r>
          </w:p>
        </w:tc>
      </w:tr>
      <w:tr w14:paraId="3B04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3A9C4F68">
            <w:pPr>
              <w:spacing w:line="240" w:lineRule="auto"/>
              <w:ind w:firstLine="0" w:firstLineChars="0"/>
              <w:jc w:val="center"/>
              <w:rPr>
                <w:rFonts w:cs="Times New Roman"/>
                <w:kern w:val="0"/>
                <w:sz w:val="21"/>
                <w:szCs w:val="21"/>
              </w:rPr>
            </w:pPr>
          </w:p>
        </w:tc>
        <w:tc>
          <w:tcPr>
            <w:tcW w:w="940" w:type="pct"/>
            <w:vMerge w:val="continue"/>
            <w:vAlign w:val="center"/>
          </w:tcPr>
          <w:p w14:paraId="44B4B0E5">
            <w:pPr>
              <w:spacing w:line="240" w:lineRule="auto"/>
              <w:ind w:firstLine="0" w:firstLineChars="0"/>
              <w:jc w:val="center"/>
              <w:rPr>
                <w:rFonts w:cs="Times New Roman"/>
                <w:kern w:val="0"/>
                <w:sz w:val="21"/>
                <w:szCs w:val="21"/>
              </w:rPr>
            </w:pPr>
          </w:p>
        </w:tc>
        <w:tc>
          <w:tcPr>
            <w:tcW w:w="3380" w:type="pct"/>
            <w:vAlign w:val="center"/>
          </w:tcPr>
          <w:p w14:paraId="5E70BD77">
            <w:pPr>
              <w:spacing w:line="240" w:lineRule="auto"/>
              <w:ind w:firstLine="0" w:firstLineChars="0"/>
              <w:rPr>
                <w:rFonts w:cs="Times New Roman"/>
                <w:kern w:val="0"/>
                <w:sz w:val="21"/>
                <w:szCs w:val="21"/>
              </w:rPr>
            </w:pPr>
            <w:r>
              <w:rPr>
                <w:rFonts w:hint="eastAsia" w:cs="Times New Roman"/>
                <w:kern w:val="0"/>
                <w:sz w:val="21"/>
                <w:szCs w:val="21"/>
              </w:rPr>
              <w:t>北甸子村三组老华家沟里农村供水工程维修养护项目</w:t>
            </w:r>
          </w:p>
        </w:tc>
      </w:tr>
      <w:tr w14:paraId="14BF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restart"/>
            <w:vAlign w:val="center"/>
          </w:tcPr>
          <w:p w14:paraId="5A4D5538">
            <w:pPr>
              <w:spacing w:line="240" w:lineRule="auto"/>
              <w:ind w:firstLine="0" w:firstLineChars="0"/>
              <w:jc w:val="center"/>
              <w:rPr>
                <w:rFonts w:cs="Times New Roman"/>
                <w:kern w:val="0"/>
                <w:sz w:val="21"/>
                <w:szCs w:val="21"/>
              </w:rPr>
            </w:pPr>
            <w:r>
              <w:rPr>
                <w:rFonts w:cs="Times New Roman"/>
                <w:kern w:val="0"/>
                <w:sz w:val="21"/>
                <w:szCs w:val="21"/>
              </w:rPr>
              <w:t>产业</w:t>
            </w:r>
          </w:p>
        </w:tc>
        <w:tc>
          <w:tcPr>
            <w:tcW w:w="940" w:type="pct"/>
            <w:vMerge w:val="restart"/>
            <w:vAlign w:val="center"/>
          </w:tcPr>
          <w:p w14:paraId="41E925FC">
            <w:pPr>
              <w:spacing w:line="240" w:lineRule="auto"/>
              <w:ind w:firstLine="0" w:firstLineChars="0"/>
              <w:jc w:val="center"/>
              <w:rPr>
                <w:rFonts w:hint="eastAsia" w:eastAsia="仿宋_GB2312" w:cs="Times New Roman"/>
                <w:kern w:val="0"/>
                <w:sz w:val="21"/>
                <w:szCs w:val="21"/>
                <w:lang w:eastAsia="zh-CN"/>
              </w:rPr>
            </w:pPr>
            <w:r>
              <w:rPr>
                <w:rFonts w:hint="eastAsia" w:cs="Times New Roman"/>
                <w:kern w:val="0"/>
                <w:sz w:val="21"/>
                <w:szCs w:val="21"/>
                <w:lang w:val="en-US" w:eastAsia="zh-CN"/>
              </w:rPr>
              <w:t>乡村振兴</w:t>
            </w:r>
          </w:p>
        </w:tc>
        <w:tc>
          <w:tcPr>
            <w:tcW w:w="3380" w:type="pct"/>
            <w:vAlign w:val="center"/>
          </w:tcPr>
          <w:p w14:paraId="31C3F6C8">
            <w:pPr>
              <w:spacing w:line="240" w:lineRule="auto"/>
              <w:ind w:firstLine="0" w:firstLineChars="0"/>
              <w:rPr>
                <w:rFonts w:cs="Times New Roman"/>
                <w:kern w:val="0"/>
                <w:sz w:val="21"/>
                <w:szCs w:val="21"/>
              </w:rPr>
            </w:pPr>
            <w:r>
              <w:rPr>
                <w:rFonts w:hint="eastAsia" w:cs="Times New Roman"/>
                <w:kern w:val="0"/>
                <w:sz w:val="21"/>
                <w:szCs w:val="21"/>
              </w:rPr>
              <w:t>桓仁隆阳农业发展有限公司水田开发及有机稻米种植加工项目，</w:t>
            </w:r>
          </w:p>
        </w:tc>
      </w:tr>
      <w:tr w14:paraId="720F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5A58DBC2">
            <w:pPr>
              <w:spacing w:line="240" w:lineRule="auto"/>
              <w:ind w:firstLine="0" w:firstLineChars="0"/>
              <w:jc w:val="center"/>
              <w:rPr>
                <w:rFonts w:cs="Times New Roman"/>
                <w:kern w:val="0"/>
                <w:sz w:val="21"/>
                <w:szCs w:val="21"/>
              </w:rPr>
            </w:pPr>
          </w:p>
        </w:tc>
        <w:tc>
          <w:tcPr>
            <w:tcW w:w="940" w:type="pct"/>
            <w:vMerge w:val="continue"/>
            <w:vAlign w:val="center"/>
          </w:tcPr>
          <w:p w14:paraId="61907894">
            <w:pPr>
              <w:spacing w:line="240" w:lineRule="auto"/>
              <w:ind w:firstLine="0" w:firstLineChars="0"/>
              <w:jc w:val="center"/>
              <w:rPr>
                <w:rFonts w:cs="Times New Roman"/>
                <w:kern w:val="0"/>
                <w:sz w:val="21"/>
                <w:szCs w:val="21"/>
              </w:rPr>
            </w:pPr>
          </w:p>
        </w:tc>
        <w:tc>
          <w:tcPr>
            <w:tcW w:w="3380" w:type="pct"/>
            <w:vAlign w:val="center"/>
          </w:tcPr>
          <w:p w14:paraId="3E69B560">
            <w:pPr>
              <w:spacing w:line="240" w:lineRule="auto"/>
              <w:ind w:firstLine="0" w:firstLineChars="0"/>
              <w:rPr>
                <w:rFonts w:cs="Times New Roman"/>
                <w:kern w:val="0"/>
                <w:sz w:val="21"/>
                <w:szCs w:val="21"/>
              </w:rPr>
            </w:pPr>
            <w:r>
              <w:rPr>
                <w:rFonts w:hint="eastAsia" w:cs="Times New Roman"/>
                <w:kern w:val="0"/>
                <w:sz w:val="21"/>
                <w:szCs w:val="21"/>
              </w:rPr>
              <w:t>张裕冰酒酒庄优化生产提高效能技术改造项目</w:t>
            </w:r>
          </w:p>
        </w:tc>
      </w:tr>
      <w:tr w14:paraId="779A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3FBC11B1">
            <w:pPr>
              <w:spacing w:line="240" w:lineRule="auto"/>
              <w:ind w:firstLine="0" w:firstLineChars="0"/>
              <w:jc w:val="center"/>
              <w:rPr>
                <w:rFonts w:cs="Times New Roman"/>
                <w:kern w:val="0"/>
                <w:sz w:val="21"/>
                <w:szCs w:val="21"/>
              </w:rPr>
            </w:pPr>
          </w:p>
        </w:tc>
        <w:tc>
          <w:tcPr>
            <w:tcW w:w="940" w:type="pct"/>
            <w:vMerge w:val="continue"/>
            <w:vAlign w:val="center"/>
          </w:tcPr>
          <w:p w14:paraId="352A916D">
            <w:pPr>
              <w:spacing w:line="240" w:lineRule="auto"/>
              <w:ind w:firstLine="0" w:firstLineChars="0"/>
              <w:jc w:val="center"/>
              <w:rPr>
                <w:rFonts w:cs="Times New Roman"/>
                <w:kern w:val="0"/>
                <w:sz w:val="21"/>
                <w:szCs w:val="21"/>
              </w:rPr>
            </w:pPr>
          </w:p>
        </w:tc>
        <w:tc>
          <w:tcPr>
            <w:tcW w:w="3380" w:type="pct"/>
            <w:vAlign w:val="center"/>
          </w:tcPr>
          <w:p w14:paraId="321FAB7F">
            <w:pPr>
              <w:spacing w:line="240" w:lineRule="auto"/>
              <w:ind w:firstLine="0" w:firstLineChars="0"/>
              <w:rPr>
                <w:rFonts w:cs="Times New Roman"/>
                <w:kern w:val="0"/>
                <w:sz w:val="21"/>
                <w:szCs w:val="21"/>
              </w:rPr>
            </w:pPr>
            <w:r>
              <w:rPr>
                <w:rFonts w:hint="eastAsia" w:cs="Times New Roman"/>
                <w:kern w:val="0"/>
                <w:sz w:val="21"/>
                <w:szCs w:val="21"/>
              </w:rPr>
              <w:t>隆阳农业2024年有机稻米种植及附属设施建设项目</w:t>
            </w:r>
            <w:r>
              <w:rPr>
                <w:rFonts w:cs="Times New Roman"/>
                <w:kern w:val="0"/>
                <w:sz w:val="21"/>
                <w:szCs w:val="21"/>
              </w:rPr>
              <w:t xml:space="preserve"> </w:t>
            </w:r>
          </w:p>
        </w:tc>
      </w:tr>
      <w:tr w14:paraId="7F5C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2BB488A2">
            <w:pPr>
              <w:spacing w:line="240" w:lineRule="auto"/>
              <w:ind w:firstLine="0" w:firstLineChars="0"/>
              <w:jc w:val="center"/>
              <w:rPr>
                <w:rFonts w:cs="Times New Roman"/>
                <w:kern w:val="0"/>
                <w:sz w:val="21"/>
                <w:szCs w:val="21"/>
              </w:rPr>
            </w:pPr>
          </w:p>
        </w:tc>
        <w:tc>
          <w:tcPr>
            <w:tcW w:w="940" w:type="pct"/>
            <w:vMerge w:val="continue"/>
            <w:vAlign w:val="center"/>
          </w:tcPr>
          <w:p w14:paraId="3B5D50A8">
            <w:pPr>
              <w:spacing w:line="240" w:lineRule="auto"/>
              <w:ind w:firstLine="0" w:firstLineChars="0"/>
              <w:jc w:val="center"/>
              <w:rPr>
                <w:rFonts w:cs="Times New Roman"/>
                <w:kern w:val="0"/>
                <w:sz w:val="21"/>
                <w:szCs w:val="21"/>
              </w:rPr>
            </w:pPr>
          </w:p>
        </w:tc>
        <w:tc>
          <w:tcPr>
            <w:tcW w:w="3380" w:type="pct"/>
            <w:vAlign w:val="center"/>
          </w:tcPr>
          <w:p w14:paraId="1542D51E">
            <w:pPr>
              <w:spacing w:line="240" w:lineRule="auto"/>
              <w:ind w:firstLine="0" w:firstLineChars="0"/>
              <w:rPr>
                <w:rFonts w:cs="Times New Roman"/>
                <w:kern w:val="0"/>
                <w:sz w:val="21"/>
                <w:szCs w:val="21"/>
              </w:rPr>
            </w:pPr>
            <w:r>
              <w:rPr>
                <w:rFonts w:hint="eastAsia" w:cs="Times New Roman"/>
                <w:kern w:val="0"/>
                <w:sz w:val="21"/>
                <w:szCs w:val="21"/>
              </w:rPr>
              <w:t>北甸子村长投福源药业合作项目，</w:t>
            </w:r>
          </w:p>
        </w:tc>
      </w:tr>
      <w:tr w14:paraId="0B85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1A012DCA">
            <w:pPr>
              <w:spacing w:line="240" w:lineRule="auto"/>
              <w:ind w:firstLine="0" w:firstLineChars="0"/>
              <w:jc w:val="center"/>
              <w:rPr>
                <w:rFonts w:cs="Times New Roman"/>
                <w:kern w:val="0"/>
                <w:sz w:val="21"/>
                <w:szCs w:val="21"/>
              </w:rPr>
            </w:pPr>
          </w:p>
        </w:tc>
        <w:tc>
          <w:tcPr>
            <w:tcW w:w="940" w:type="pct"/>
            <w:vMerge w:val="continue"/>
            <w:vAlign w:val="center"/>
          </w:tcPr>
          <w:p w14:paraId="05C1CFDB">
            <w:pPr>
              <w:spacing w:line="240" w:lineRule="auto"/>
              <w:ind w:firstLine="0" w:firstLineChars="0"/>
              <w:jc w:val="center"/>
              <w:rPr>
                <w:rFonts w:cs="Times New Roman"/>
                <w:kern w:val="0"/>
                <w:sz w:val="21"/>
                <w:szCs w:val="21"/>
              </w:rPr>
            </w:pPr>
          </w:p>
        </w:tc>
        <w:tc>
          <w:tcPr>
            <w:tcW w:w="3380" w:type="pct"/>
            <w:vAlign w:val="center"/>
          </w:tcPr>
          <w:p w14:paraId="68E8DA2C">
            <w:pPr>
              <w:spacing w:line="240" w:lineRule="auto"/>
              <w:ind w:firstLine="0" w:firstLineChars="0"/>
              <w:rPr>
                <w:rFonts w:cs="Times New Roman"/>
                <w:kern w:val="0"/>
                <w:sz w:val="21"/>
                <w:szCs w:val="21"/>
              </w:rPr>
            </w:pPr>
            <w:r>
              <w:rPr>
                <w:rFonts w:hint="eastAsia" w:cs="Times New Roman"/>
                <w:kern w:val="0"/>
                <w:sz w:val="21"/>
                <w:szCs w:val="21"/>
              </w:rPr>
              <w:t>湾龙背村冰葡萄产业基地改造项目</w:t>
            </w:r>
          </w:p>
        </w:tc>
      </w:tr>
      <w:tr w14:paraId="5E66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35EAC303">
            <w:pPr>
              <w:spacing w:line="240" w:lineRule="auto"/>
              <w:ind w:firstLine="0" w:firstLineChars="0"/>
              <w:jc w:val="center"/>
              <w:rPr>
                <w:rFonts w:cs="Times New Roman"/>
                <w:kern w:val="0"/>
                <w:sz w:val="21"/>
                <w:szCs w:val="21"/>
              </w:rPr>
            </w:pPr>
          </w:p>
        </w:tc>
        <w:tc>
          <w:tcPr>
            <w:tcW w:w="940" w:type="pct"/>
            <w:vMerge w:val="restart"/>
            <w:vAlign w:val="center"/>
          </w:tcPr>
          <w:p w14:paraId="0FA78CAC">
            <w:pPr>
              <w:spacing w:line="240" w:lineRule="auto"/>
              <w:ind w:firstLine="0" w:firstLineChars="0"/>
              <w:jc w:val="center"/>
              <w:rPr>
                <w:rFonts w:hint="eastAsia" w:eastAsia="仿宋_GB2312" w:cs="Times New Roman"/>
                <w:kern w:val="0"/>
                <w:sz w:val="21"/>
                <w:szCs w:val="21"/>
                <w:lang w:eastAsia="zh-CN"/>
              </w:rPr>
            </w:pPr>
            <w:r>
              <w:rPr>
                <w:rFonts w:hint="eastAsia" w:cs="Times New Roman"/>
                <w:kern w:val="0"/>
                <w:sz w:val="21"/>
                <w:szCs w:val="21"/>
                <w:lang w:val="en-US" w:eastAsia="zh-CN"/>
              </w:rPr>
              <w:t>旅游服务</w:t>
            </w:r>
          </w:p>
        </w:tc>
        <w:tc>
          <w:tcPr>
            <w:tcW w:w="3380" w:type="pct"/>
            <w:vAlign w:val="center"/>
          </w:tcPr>
          <w:p w14:paraId="1148319C">
            <w:pPr>
              <w:spacing w:line="240" w:lineRule="auto"/>
              <w:ind w:firstLine="0" w:firstLineChars="0"/>
              <w:rPr>
                <w:rFonts w:cs="Times New Roman"/>
                <w:kern w:val="0"/>
                <w:sz w:val="21"/>
                <w:szCs w:val="21"/>
              </w:rPr>
            </w:pPr>
            <w:r>
              <w:rPr>
                <w:rFonts w:hint="eastAsia" w:cs="Times New Roman"/>
                <w:kern w:val="0"/>
                <w:sz w:val="21"/>
                <w:szCs w:val="21"/>
              </w:rPr>
              <w:t>北甸子乡冰酒小镇建设项目</w:t>
            </w:r>
          </w:p>
        </w:tc>
      </w:tr>
      <w:tr w14:paraId="0DC2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Merge w:val="continue"/>
            <w:vAlign w:val="center"/>
          </w:tcPr>
          <w:p w14:paraId="5BC8946D">
            <w:pPr>
              <w:spacing w:line="240" w:lineRule="auto"/>
              <w:ind w:firstLine="0" w:firstLineChars="0"/>
              <w:jc w:val="center"/>
              <w:rPr>
                <w:rFonts w:cs="Times New Roman"/>
                <w:kern w:val="0"/>
                <w:sz w:val="21"/>
                <w:szCs w:val="21"/>
              </w:rPr>
            </w:pPr>
          </w:p>
        </w:tc>
        <w:tc>
          <w:tcPr>
            <w:tcW w:w="940" w:type="pct"/>
            <w:vMerge w:val="continue"/>
            <w:vAlign w:val="center"/>
          </w:tcPr>
          <w:p w14:paraId="21A0DF2E">
            <w:pPr>
              <w:spacing w:line="240" w:lineRule="auto"/>
              <w:ind w:firstLine="0" w:firstLineChars="0"/>
              <w:jc w:val="center"/>
              <w:rPr>
                <w:rFonts w:cs="Times New Roman"/>
                <w:kern w:val="0"/>
                <w:sz w:val="21"/>
                <w:szCs w:val="21"/>
              </w:rPr>
            </w:pPr>
          </w:p>
        </w:tc>
        <w:tc>
          <w:tcPr>
            <w:tcW w:w="3380" w:type="pct"/>
            <w:vAlign w:val="center"/>
          </w:tcPr>
          <w:p w14:paraId="1677035C">
            <w:pPr>
              <w:spacing w:line="240" w:lineRule="auto"/>
              <w:ind w:firstLine="0" w:firstLineChars="0"/>
              <w:rPr>
                <w:rFonts w:cs="Times New Roman"/>
                <w:kern w:val="0"/>
                <w:sz w:val="21"/>
                <w:szCs w:val="21"/>
              </w:rPr>
            </w:pPr>
            <w:r>
              <w:rPr>
                <w:rFonts w:hint="eastAsia" w:cs="Times New Roman"/>
                <w:kern w:val="0"/>
                <w:sz w:val="21"/>
                <w:szCs w:val="21"/>
              </w:rPr>
              <w:t>北甸子乡葡萄观光园建设项目</w:t>
            </w:r>
          </w:p>
        </w:tc>
      </w:tr>
    </w:tbl>
    <w:p w14:paraId="4EE8F835">
      <w:pPr>
        <w:pStyle w:val="3"/>
        <w:adjustRightInd w:val="0"/>
        <w:snapToGrid w:val="0"/>
        <w:rPr>
          <w:rFonts w:cs="Times New Roman"/>
          <w:color w:val="000000"/>
          <w:szCs w:val="32"/>
          <w:lang w:bidi="ar"/>
        </w:rPr>
      </w:pPr>
      <w:bookmarkStart w:id="131" w:name="_Toc205557258"/>
      <w:bookmarkStart w:id="132" w:name="_Toc175064698"/>
      <w:bookmarkStart w:id="133" w:name="_Toc22754"/>
      <w:r>
        <w:rPr>
          <w:rFonts w:hint="eastAsia" w:ascii="Times New Roman" w:hAnsi="Times New Roman" w:cs="Times New Roman"/>
          <w:lang w:val="en-US" w:eastAsia="zh-CN"/>
        </w:rPr>
        <w:t>10.4</w:t>
      </w:r>
      <w:r>
        <w:rPr>
          <w:rFonts w:ascii="Times New Roman" w:hAnsi="Times New Roman" w:cs="Times New Roman"/>
        </w:rPr>
        <w:t xml:space="preserve"> “一张图”建设与实施监督</w:t>
      </w:r>
      <w:bookmarkEnd w:id="131"/>
      <w:bookmarkEnd w:id="132"/>
      <w:bookmarkEnd w:id="133"/>
    </w:p>
    <w:p w14:paraId="7824A5C7">
      <w:pPr>
        <w:pStyle w:val="4"/>
        <w:numPr>
          <w:ilvl w:val="0"/>
          <w:numId w:val="0"/>
        </w:numPr>
        <w:ind w:left="640" w:leftChars="0"/>
        <w:rPr>
          <w:rFonts w:hint="default" w:ascii="Times New Roman" w:hAnsi="Times New Roman" w:cs="Times New Roman"/>
          <w:color w:val="auto"/>
          <w:szCs w:val="32"/>
          <w:highlight w:val="none"/>
          <w:lang w:bidi="ar"/>
        </w:rPr>
      </w:pPr>
      <w:r>
        <w:rPr>
          <w:rFonts w:hint="eastAsia" w:cs="Times New Roman"/>
          <w:lang w:val="en-US" w:eastAsia="zh-CN"/>
        </w:rPr>
        <w:t>10.4.1</w:t>
      </w:r>
      <w:r>
        <w:rPr>
          <w:rFonts w:hint="default" w:cs="Times New Roman"/>
        </w:rPr>
        <w:t>强化国土空间规划“一张图”管理</w:t>
      </w:r>
    </w:p>
    <w:p w14:paraId="0D4C5E2F">
      <w:pPr>
        <w:jc w:val="left"/>
        <w:rPr>
          <w:rFonts w:hint="eastAsia"/>
        </w:rPr>
      </w:pPr>
      <w:r>
        <w:rPr>
          <w:rFonts w:hint="eastAsia" w:ascii="Times New Roman" w:hAnsi="Times New Roman" w:cs="仿宋_GB2312"/>
          <w:color w:val="auto"/>
          <w:szCs w:val="32"/>
          <w:highlight w:val="none"/>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657EF570">
      <w:pPr>
        <w:pStyle w:val="4"/>
        <w:numPr>
          <w:ilvl w:val="0"/>
          <w:numId w:val="0"/>
        </w:numPr>
        <w:ind w:left="640" w:leftChars="0"/>
        <w:rPr>
          <w:rFonts w:hint="default" w:cs="Times New Roman"/>
        </w:rPr>
      </w:pPr>
      <w:r>
        <w:rPr>
          <w:rFonts w:hint="eastAsia" w:cs="Times New Roman"/>
          <w:lang w:val="en-US" w:eastAsia="zh-CN"/>
        </w:rPr>
        <w:t>10.4.2</w:t>
      </w:r>
      <w:r>
        <w:rPr>
          <w:rFonts w:hint="default" w:cs="Times New Roman"/>
        </w:rPr>
        <w:t>完善社会监督机制</w:t>
      </w:r>
    </w:p>
    <w:p w14:paraId="4C98CB43">
      <w:r>
        <w:rPr>
          <w:rFonts w:hint="eastAsia"/>
        </w:rPr>
        <w:t>完善社会监督机制，鼓励公众积极参与规划的实施和监督。利用各级国土空间规划“一张图”实施监督系统，实现对乡镇总规的精准实施、实时监测、及时预警、定期评估。</w:t>
      </w:r>
    </w:p>
    <w:p w14:paraId="2F69D669">
      <w:pPr>
        <w:adjustRightInd w:val="0"/>
        <w:snapToGrid w:val="0"/>
        <w:ind w:firstLine="640"/>
        <w:rPr>
          <w:rFonts w:cs="Times New Roman"/>
          <w:color w:val="000000"/>
          <w:szCs w:val="32"/>
          <w:lang w:bidi="ar"/>
        </w:rPr>
      </w:pPr>
    </w:p>
    <w:sectPr>
      <w:footerReference r:id="rId12" w:type="default"/>
      <w:pgSz w:w="11906" w:h="16838"/>
      <w:pgMar w:top="1440" w:right="1797" w:bottom="1440"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93B1A">
    <w:pPr>
      <w:pStyle w:val="9"/>
      <w:ind w:firstLine="360"/>
      <w:jc w:val="center"/>
      <w:rPr>
        <w:rFonts w:hint="eastAsia"/>
      </w:rPr>
    </w:pPr>
  </w:p>
  <w:p w14:paraId="6AB03A2F">
    <w:pPr>
      <w:pStyle w:val="9"/>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2AA85">
    <w:pPr>
      <w:pStyle w:val="9"/>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641B">
    <w:pPr>
      <w:pStyle w:val="9"/>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F3926D6">
        <w:pPr>
          <w:pStyle w:val="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E97E22A">
    <w:pPr>
      <w:pStyle w:val="9"/>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2157074"/>
    </w:sdtPr>
    <w:sdtContent>
      <w:p w14:paraId="45F324AC">
        <w:pPr>
          <w:pStyle w:val="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4E257DA">
    <w:pPr>
      <w:pStyle w:val="9"/>
      <w:ind w:firstLine="0" w:firstLineChars="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936E0">
    <w:pPr>
      <w:pStyle w:val="10"/>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CD108">
    <w:pPr>
      <w:pStyle w:val="10"/>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0E316">
    <w:pPr>
      <w:pStyle w:val="1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43FE2"/>
    <w:multiLevelType w:val="singleLevel"/>
    <w:tmpl w:val="CB743FE2"/>
    <w:lvl w:ilvl="0" w:tentative="0">
      <w:start w:val="1"/>
      <w:numFmt w:val="decimal"/>
      <w:pStyle w:val="7"/>
      <w:suff w:val="space"/>
      <w:lvlText w:val="专栏%1"/>
      <w:lvlJc w:val="left"/>
      <w:pPr>
        <w:tabs>
          <w:tab w:val="left" w:pos="5530"/>
        </w:tabs>
      </w:pPr>
      <w:rPr>
        <w:rFonts w:hint="default" w:ascii="黑体" w:hAnsi="黑体" w:eastAsia="黑体" w:cs="仿宋"/>
        <w:b w:val="0"/>
        <w:bCs/>
        <w:color w:val="auto"/>
        <w:sz w:val="30"/>
        <w:szCs w:val="24"/>
      </w:rPr>
    </w:lvl>
  </w:abstractNum>
  <w:abstractNum w:abstractNumId="1">
    <w:nsid w:val="03A7CAE2"/>
    <w:multiLevelType w:val="singleLevel"/>
    <w:tmpl w:val="03A7CAE2"/>
    <w:lvl w:ilvl="0" w:tentative="0">
      <w:start w:val="2"/>
      <w:numFmt w:val="decimal"/>
      <w:suff w:val="space"/>
      <w:lvlText w:val="第%1章"/>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kNTUxMDE1MDRmY2Q3YzRiODc3ZjcxYmJkNTg5NDEifQ=="/>
  </w:docVars>
  <w:rsids>
    <w:rsidRoot w:val="001C0E5E"/>
    <w:rsid w:val="00001FC3"/>
    <w:rsid w:val="00003CCA"/>
    <w:rsid w:val="000074C1"/>
    <w:rsid w:val="0002072F"/>
    <w:rsid w:val="00022B12"/>
    <w:rsid w:val="00022F7A"/>
    <w:rsid w:val="00025FCC"/>
    <w:rsid w:val="0003005A"/>
    <w:rsid w:val="00031192"/>
    <w:rsid w:val="00031970"/>
    <w:rsid w:val="00037E7C"/>
    <w:rsid w:val="00037EAE"/>
    <w:rsid w:val="00055D9A"/>
    <w:rsid w:val="00057CC3"/>
    <w:rsid w:val="00064A58"/>
    <w:rsid w:val="00070A1C"/>
    <w:rsid w:val="00077CB9"/>
    <w:rsid w:val="00081B1A"/>
    <w:rsid w:val="00082AB3"/>
    <w:rsid w:val="00084D49"/>
    <w:rsid w:val="00094828"/>
    <w:rsid w:val="000A5615"/>
    <w:rsid w:val="000A7224"/>
    <w:rsid w:val="000B3590"/>
    <w:rsid w:val="000B69A8"/>
    <w:rsid w:val="000C0F2A"/>
    <w:rsid w:val="000C17B9"/>
    <w:rsid w:val="000C2F2E"/>
    <w:rsid w:val="000C5F2D"/>
    <w:rsid w:val="000C686C"/>
    <w:rsid w:val="000C6E55"/>
    <w:rsid w:val="000D181B"/>
    <w:rsid w:val="000D5B51"/>
    <w:rsid w:val="000D6C45"/>
    <w:rsid w:val="000D7FB5"/>
    <w:rsid w:val="000E2F5F"/>
    <w:rsid w:val="000E338F"/>
    <w:rsid w:val="000E61E6"/>
    <w:rsid w:val="000E7035"/>
    <w:rsid w:val="000E7F94"/>
    <w:rsid w:val="000F332C"/>
    <w:rsid w:val="000F4833"/>
    <w:rsid w:val="00102517"/>
    <w:rsid w:val="00103A83"/>
    <w:rsid w:val="0010482B"/>
    <w:rsid w:val="00111C52"/>
    <w:rsid w:val="00117B4A"/>
    <w:rsid w:val="00122868"/>
    <w:rsid w:val="00135583"/>
    <w:rsid w:val="00142A9B"/>
    <w:rsid w:val="00143DC8"/>
    <w:rsid w:val="00147A69"/>
    <w:rsid w:val="001535E3"/>
    <w:rsid w:val="00153C89"/>
    <w:rsid w:val="00155787"/>
    <w:rsid w:val="00157ECA"/>
    <w:rsid w:val="0016038E"/>
    <w:rsid w:val="001638A5"/>
    <w:rsid w:val="001723E2"/>
    <w:rsid w:val="00184764"/>
    <w:rsid w:val="00184DB4"/>
    <w:rsid w:val="00185482"/>
    <w:rsid w:val="00187EFC"/>
    <w:rsid w:val="0019192C"/>
    <w:rsid w:val="001B2481"/>
    <w:rsid w:val="001B5B21"/>
    <w:rsid w:val="001C0E5E"/>
    <w:rsid w:val="001C31EF"/>
    <w:rsid w:val="001E2866"/>
    <w:rsid w:val="001E663B"/>
    <w:rsid w:val="001F0F9C"/>
    <w:rsid w:val="001F6F00"/>
    <w:rsid w:val="00202760"/>
    <w:rsid w:val="00203B7C"/>
    <w:rsid w:val="00205D04"/>
    <w:rsid w:val="00207115"/>
    <w:rsid w:val="00211C35"/>
    <w:rsid w:val="00214CF0"/>
    <w:rsid w:val="00217C75"/>
    <w:rsid w:val="00227375"/>
    <w:rsid w:val="002306DA"/>
    <w:rsid w:val="00230B1D"/>
    <w:rsid w:val="00230D0D"/>
    <w:rsid w:val="00233F65"/>
    <w:rsid w:val="00241D9A"/>
    <w:rsid w:val="002451A2"/>
    <w:rsid w:val="00245EDB"/>
    <w:rsid w:val="00260153"/>
    <w:rsid w:val="00263A07"/>
    <w:rsid w:val="00266DE6"/>
    <w:rsid w:val="00270BB9"/>
    <w:rsid w:val="00271F11"/>
    <w:rsid w:val="00280769"/>
    <w:rsid w:val="00285EA1"/>
    <w:rsid w:val="00290E58"/>
    <w:rsid w:val="0029630B"/>
    <w:rsid w:val="002A1A0A"/>
    <w:rsid w:val="002A4982"/>
    <w:rsid w:val="002A68DD"/>
    <w:rsid w:val="002B0964"/>
    <w:rsid w:val="002C0A61"/>
    <w:rsid w:val="002C0A99"/>
    <w:rsid w:val="002D10A9"/>
    <w:rsid w:val="002E3568"/>
    <w:rsid w:val="002E419E"/>
    <w:rsid w:val="002E4B70"/>
    <w:rsid w:val="002E50D4"/>
    <w:rsid w:val="002E668F"/>
    <w:rsid w:val="002F368C"/>
    <w:rsid w:val="002F3FF7"/>
    <w:rsid w:val="002F4002"/>
    <w:rsid w:val="002F54E3"/>
    <w:rsid w:val="002F5505"/>
    <w:rsid w:val="002F5634"/>
    <w:rsid w:val="00300916"/>
    <w:rsid w:val="003011C6"/>
    <w:rsid w:val="00307AD5"/>
    <w:rsid w:val="003126C0"/>
    <w:rsid w:val="00316E30"/>
    <w:rsid w:val="00322A7A"/>
    <w:rsid w:val="00325794"/>
    <w:rsid w:val="00333E3F"/>
    <w:rsid w:val="00334414"/>
    <w:rsid w:val="00342EB7"/>
    <w:rsid w:val="0035199A"/>
    <w:rsid w:val="00351EC4"/>
    <w:rsid w:val="0035298B"/>
    <w:rsid w:val="00352EE7"/>
    <w:rsid w:val="003542BF"/>
    <w:rsid w:val="00354340"/>
    <w:rsid w:val="00354A6C"/>
    <w:rsid w:val="00357373"/>
    <w:rsid w:val="00357FBE"/>
    <w:rsid w:val="00360776"/>
    <w:rsid w:val="00363255"/>
    <w:rsid w:val="00371F20"/>
    <w:rsid w:val="00372006"/>
    <w:rsid w:val="00373B95"/>
    <w:rsid w:val="0037427F"/>
    <w:rsid w:val="00374DFB"/>
    <w:rsid w:val="0038350B"/>
    <w:rsid w:val="00384FD2"/>
    <w:rsid w:val="003907A1"/>
    <w:rsid w:val="0039272E"/>
    <w:rsid w:val="0039577D"/>
    <w:rsid w:val="00396B02"/>
    <w:rsid w:val="003A2CDE"/>
    <w:rsid w:val="003A4B38"/>
    <w:rsid w:val="003A578B"/>
    <w:rsid w:val="003A6260"/>
    <w:rsid w:val="003A6A51"/>
    <w:rsid w:val="003B00D8"/>
    <w:rsid w:val="003B1397"/>
    <w:rsid w:val="003B1764"/>
    <w:rsid w:val="003B1A90"/>
    <w:rsid w:val="003B2C8A"/>
    <w:rsid w:val="003B35C9"/>
    <w:rsid w:val="003B70AF"/>
    <w:rsid w:val="003C4D3B"/>
    <w:rsid w:val="003D2E3D"/>
    <w:rsid w:val="003D4A2D"/>
    <w:rsid w:val="003E0CEB"/>
    <w:rsid w:val="003E12CD"/>
    <w:rsid w:val="003E1DA7"/>
    <w:rsid w:val="00403B8C"/>
    <w:rsid w:val="0040493D"/>
    <w:rsid w:val="00407E49"/>
    <w:rsid w:val="00410049"/>
    <w:rsid w:val="00410434"/>
    <w:rsid w:val="004110B5"/>
    <w:rsid w:val="00411307"/>
    <w:rsid w:val="00411D48"/>
    <w:rsid w:val="00412AE9"/>
    <w:rsid w:val="004145C4"/>
    <w:rsid w:val="004165D2"/>
    <w:rsid w:val="004211F2"/>
    <w:rsid w:val="00423C5E"/>
    <w:rsid w:val="0042674E"/>
    <w:rsid w:val="004321CB"/>
    <w:rsid w:val="00437141"/>
    <w:rsid w:val="004403F8"/>
    <w:rsid w:val="0044089B"/>
    <w:rsid w:val="00451BCA"/>
    <w:rsid w:val="00456128"/>
    <w:rsid w:val="004610D1"/>
    <w:rsid w:val="004709B3"/>
    <w:rsid w:val="004730C2"/>
    <w:rsid w:val="004732E9"/>
    <w:rsid w:val="00474E37"/>
    <w:rsid w:val="00474EF0"/>
    <w:rsid w:val="004751C2"/>
    <w:rsid w:val="00493CBF"/>
    <w:rsid w:val="004A05C2"/>
    <w:rsid w:val="004A3B61"/>
    <w:rsid w:val="004A673A"/>
    <w:rsid w:val="004B79CE"/>
    <w:rsid w:val="004C61AB"/>
    <w:rsid w:val="004C6C3B"/>
    <w:rsid w:val="004D4842"/>
    <w:rsid w:val="004D67FC"/>
    <w:rsid w:val="004F0534"/>
    <w:rsid w:val="004F0AF5"/>
    <w:rsid w:val="004F353A"/>
    <w:rsid w:val="004F35B2"/>
    <w:rsid w:val="004F3641"/>
    <w:rsid w:val="004F3F1A"/>
    <w:rsid w:val="004F7815"/>
    <w:rsid w:val="005056C6"/>
    <w:rsid w:val="00505CC8"/>
    <w:rsid w:val="00505E74"/>
    <w:rsid w:val="00512738"/>
    <w:rsid w:val="00514CAC"/>
    <w:rsid w:val="005220A9"/>
    <w:rsid w:val="00524EBE"/>
    <w:rsid w:val="00527D33"/>
    <w:rsid w:val="0053516F"/>
    <w:rsid w:val="0054002C"/>
    <w:rsid w:val="0054494A"/>
    <w:rsid w:val="005467AC"/>
    <w:rsid w:val="00546D69"/>
    <w:rsid w:val="005506FD"/>
    <w:rsid w:val="00560B3F"/>
    <w:rsid w:val="00560FDC"/>
    <w:rsid w:val="0057287C"/>
    <w:rsid w:val="005747AD"/>
    <w:rsid w:val="005805B1"/>
    <w:rsid w:val="00582D31"/>
    <w:rsid w:val="005838BD"/>
    <w:rsid w:val="00584BBA"/>
    <w:rsid w:val="00590733"/>
    <w:rsid w:val="005938A1"/>
    <w:rsid w:val="00594494"/>
    <w:rsid w:val="005947F5"/>
    <w:rsid w:val="005A24DD"/>
    <w:rsid w:val="005A45E7"/>
    <w:rsid w:val="005B03DB"/>
    <w:rsid w:val="005B0714"/>
    <w:rsid w:val="005B613F"/>
    <w:rsid w:val="005B7511"/>
    <w:rsid w:val="005C62FF"/>
    <w:rsid w:val="005C6CDE"/>
    <w:rsid w:val="005C7A48"/>
    <w:rsid w:val="005D71F5"/>
    <w:rsid w:val="005E4E62"/>
    <w:rsid w:val="005E7F23"/>
    <w:rsid w:val="005F2AB6"/>
    <w:rsid w:val="005F44A1"/>
    <w:rsid w:val="005F6CE7"/>
    <w:rsid w:val="0060036A"/>
    <w:rsid w:val="00605C51"/>
    <w:rsid w:val="006068C8"/>
    <w:rsid w:val="00607D00"/>
    <w:rsid w:val="006102A7"/>
    <w:rsid w:val="00612EC3"/>
    <w:rsid w:val="00620546"/>
    <w:rsid w:val="006212DE"/>
    <w:rsid w:val="00622F52"/>
    <w:rsid w:val="00624DDC"/>
    <w:rsid w:val="00630308"/>
    <w:rsid w:val="00634140"/>
    <w:rsid w:val="00640245"/>
    <w:rsid w:val="00640A6A"/>
    <w:rsid w:val="00643405"/>
    <w:rsid w:val="0064419B"/>
    <w:rsid w:val="00652C04"/>
    <w:rsid w:val="006748B5"/>
    <w:rsid w:val="0067629D"/>
    <w:rsid w:val="00680438"/>
    <w:rsid w:val="006825E2"/>
    <w:rsid w:val="006867F2"/>
    <w:rsid w:val="00695434"/>
    <w:rsid w:val="00696139"/>
    <w:rsid w:val="00697FAC"/>
    <w:rsid w:val="006A726E"/>
    <w:rsid w:val="006A7613"/>
    <w:rsid w:val="006B00E8"/>
    <w:rsid w:val="006B1932"/>
    <w:rsid w:val="006B322A"/>
    <w:rsid w:val="006B4B5C"/>
    <w:rsid w:val="006B6C91"/>
    <w:rsid w:val="006B77D9"/>
    <w:rsid w:val="006C4275"/>
    <w:rsid w:val="006D0318"/>
    <w:rsid w:val="006D7F1A"/>
    <w:rsid w:val="006E38B1"/>
    <w:rsid w:val="006E3BEC"/>
    <w:rsid w:val="006E75D2"/>
    <w:rsid w:val="006E7845"/>
    <w:rsid w:val="006E7AAB"/>
    <w:rsid w:val="007065AF"/>
    <w:rsid w:val="00710C67"/>
    <w:rsid w:val="00710E27"/>
    <w:rsid w:val="00723F44"/>
    <w:rsid w:val="0072475B"/>
    <w:rsid w:val="007269A1"/>
    <w:rsid w:val="00735DD0"/>
    <w:rsid w:val="007404EF"/>
    <w:rsid w:val="00741935"/>
    <w:rsid w:val="00746E28"/>
    <w:rsid w:val="00755E3E"/>
    <w:rsid w:val="00757DFD"/>
    <w:rsid w:val="00761A9A"/>
    <w:rsid w:val="00764819"/>
    <w:rsid w:val="00772D48"/>
    <w:rsid w:val="00774049"/>
    <w:rsid w:val="0077422B"/>
    <w:rsid w:val="00775F40"/>
    <w:rsid w:val="007863E4"/>
    <w:rsid w:val="0079019D"/>
    <w:rsid w:val="00792659"/>
    <w:rsid w:val="0079452B"/>
    <w:rsid w:val="00796C1B"/>
    <w:rsid w:val="007A0974"/>
    <w:rsid w:val="007A5463"/>
    <w:rsid w:val="007A649E"/>
    <w:rsid w:val="007B128C"/>
    <w:rsid w:val="007B1981"/>
    <w:rsid w:val="007C3FD3"/>
    <w:rsid w:val="007C5AF9"/>
    <w:rsid w:val="007D1014"/>
    <w:rsid w:val="007E2962"/>
    <w:rsid w:val="007E4DCE"/>
    <w:rsid w:val="007F016B"/>
    <w:rsid w:val="007F4D77"/>
    <w:rsid w:val="007F5054"/>
    <w:rsid w:val="008011CC"/>
    <w:rsid w:val="00801E86"/>
    <w:rsid w:val="00810515"/>
    <w:rsid w:val="008107D5"/>
    <w:rsid w:val="00810D0D"/>
    <w:rsid w:val="00811484"/>
    <w:rsid w:val="008265F6"/>
    <w:rsid w:val="00832200"/>
    <w:rsid w:val="00832647"/>
    <w:rsid w:val="00832E39"/>
    <w:rsid w:val="008334FA"/>
    <w:rsid w:val="00833B8D"/>
    <w:rsid w:val="00834FE3"/>
    <w:rsid w:val="00842EB3"/>
    <w:rsid w:val="00856FF7"/>
    <w:rsid w:val="00870077"/>
    <w:rsid w:val="008768BD"/>
    <w:rsid w:val="00880B0F"/>
    <w:rsid w:val="008910F6"/>
    <w:rsid w:val="008A0B77"/>
    <w:rsid w:val="008A1876"/>
    <w:rsid w:val="008B13C5"/>
    <w:rsid w:val="008B431C"/>
    <w:rsid w:val="008C346E"/>
    <w:rsid w:val="008C41CD"/>
    <w:rsid w:val="008C4476"/>
    <w:rsid w:val="008C5EE2"/>
    <w:rsid w:val="008D2040"/>
    <w:rsid w:val="008D4B1D"/>
    <w:rsid w:val="008D5E15"/>
    <w:rsid w:val="008E13FF"/>
    <w:rsid w:val="008E17C9"/>
    <w:rsid w:val="008E2E4E"/>
    <w:rsid w:val="008F151D"/>
    <w:rsid w:val="008F1CFC"/>
    <w:rsid w:val="00904171"/>
    <w:rsid w:val="009054BA"/>
    <w:rsid w:val="00906C1F"/>
    <w:rsid w:val="00906EF1"/>
    <w:rsid w:val="0091770E"/>
    <w:rsid w:val="00924C10"/>
    <w:rsid w:val="009264C4"/>
    <w:rsid w:val="009354CF"/>
    <w:rsid w:val="00936C1B"/>
    <w:rsid w:val="00937AC9"/>
    <w:rsid w:val="0094170C"/>
    <w:rsid w:val="009426AA"/>
    <w:rsid w:val="0094336D"/>
    <w:rsid w:val="00950B3D"/>
    <w:rsid w:val="009653BC"/>
    <w:rsid w:val="00966DA5"/>
    <w:rsid w:val="0097205F"/>
    <w:rsid w:val="00973386"/>
    <w:rsid w:val="00981250"/>
    <w:rsid w:val="00985D45"/>
    <w:rsid w:val="0098686C"/>
    <w:rsid w:val="00995E56"/>
    <w:rsid w:val="00996B6E"/>
    <w:rsid w:val="009A0D95"/>
    <w:rsid w:val="009B15CE"/>
    <w:rsid w:val="009B2CE0"/>
    <w:rsid w:val="009B76DF"/>
    <w:rsid w:val="009C13BF"/>
    <w:rsid w:val="009C2DF6"/>
    <w:rsid w:val="009C684F"/>
    <w:rsid w:val="009D5F1B"/>
    <w:rsid w:val="009E141E"/>
    <w:rsid w:val="009E33F5"/>
    <w:rsid w:val="009E420B"/>
    <w:rsid w:val="009E7181"/>
    <w:rsid w:val="009F03E9"/>
    <w:rsid w:val="009F55BF"/>
    <w:rsid w:val="009F5D6E"/>
    <w:rsid w:val="00A01FD2"/>
    <w:rsid w:val="00A02BD0"/>
    <w:rsid w:val="00A04C5A"/>
    <w:rsid w:val="00A13EBB"/>
    <w:rsid w:val="00A147DD"/>
    <w:rsid w:val="00A27674"/>
    <w:rsid w:val="00A36F3D"/>
    <w:rsid w:val="00A41413"/>
    <w:rsid w:val="00A43459"/>
    <w:rsid w:val="00A507BD"/>
    <w:rsid w:val="00A54DC0"/>
    <w:rsid w:val="00A74F2D"/>
    <w:rsid w:val="00A84A6C"/>
    <w:rsid w:val="00A873AE"/>
    <w:rsid w:val="00A90D92"/>
    <w:rsid w:val="00A9406F"/>
    <w:rsid w:val="00AA26F3"/>
    <w:rsid w:val="00AA3296"/>
    <w:rsid w:val="00AA3BB1"/>
    <w:rsid w:val="00AA44B2"/>
    <w:rsid w:val="00AA6210"/>
    <w:rsid w:val="00AB1AEF"/>
    <w:rsid w:val="00AB4626"/>
    <w:rsid w:val="00AB4B3C"/>
    <w:rsid w:val="00AC1142"/>
    <w:rsid w:val="00AE09B7"/>
    <w:rsid w:val="00AE3205"/>
    <w:rsid w:val="00AF46F6"/>
    <w:rsid w:val="00AF6F8D"/>
    <w:rsid w:val="00B01059"/>
    <w:rsid w:val="00B031FD"/>
    <w:rsid w:val="00B04B2E"/>
    <w:rsid w:val="00B071A2"/>
    <w:rsid w:val="00B0799D"/>
    <w:rsid w:val="00B23A12"/>
    <w:rsid w:val="00B25F99"/>
    <w:rsid w:val="00B2672B"/>
    <w:rsid w:val="00B306B0"/>
    <w:rsid w:val="00B308F6"/>
    <w:rsid w:val="00B3177A"/>
    <w:rsid w:val="00B3645E"/>
    <w:rsid w:val="00B4021C"/>
    <w:rsid w:val="00B4452E"/>
    <w:rsid w:val="00B45B0C"/>
    <w:rsid w:val="00B47975"/>
    <w:rsid w:val="00B50C60"/>
    <w:rsid w:val="00B51E97"/>
    <w:rsid w:val="00B52500"/>
    <w:rsid w:val="00B53DC1"/>
    <w:rsid w:val="00B632F9"/>
    <w:rsid w:val="00B65C27"/>
    <w:rsid w:val="00B65D12"/>
    <w:rsid w:val="00B66AA2"/>
    <w:rsid w:val="00B71211"/>
    <w:rsid w:val="00B75BF0"/>
    <w:rsid w:val="00B76925"/>
    <w:rsid w:val="00B81C43"/>
    <w:rsid w:val="00B845F5"/>
    <w:rsid w:val="00B84EC5"/>
    <w:rsid w:val="00B93D2E"/>
    <w:rsid w:val="00BA1256"/>
    <w:rsid w:val="00BA1E28"/>
    <w:rsid w:val="00BA6E2E"/>
    <w:rsid w:val="00BB1287"/>
    <w:rsid w:val="00BB4D6A"/>
    <w:rsid w:val="00BD10AD"/>
    <w:rsid w:val="00BD21BA"/>
    <w:rsid w:val="00BD73BB"/>
    <w:rsid w:val="00BF4097"/>
    <w:rsid w:val="00C031CE"/>
    <w:rsid w:val="00C04ACB"/>
    <w:rsid w:val="00C04F14"/>
    <w:rsid w:val="00C0593B"/>
    <w:rsid w:val="00C17A89"/>
    <w:rsid w:val="00C2089C"/>
    <w:rsid w:val="00C20EE0"/>
    <w:rsid w:val="00C20F71"/>
    <w:rsid w:val="00C22E93"/>
    <w:rsid w:val="00C24F5C"/>
    <w:rsid w:val="00C25217"/>
    <w:rsid w:val="00C410E9"/>
    <w:rsid w:val="00C423EF"/>
    <w:rsid w:val="00C44E8B"/>
    <w:rsid w:val="00C453CE"/>
    <w:rsid w:val="00C62264"/>
    <w:rsid w:val="00C62B08"/>
    <w:rsid w:val="00C67EF4"/>
    <w:rsid w:val="00C705D6"/>
    <w:rsid w:val="00C80C19"/>
    <w:rsid w:val="00C83534"/>
    <w:rsid w:val="00C83B31"/>
    <w:rsid w:val="00C849D7"/>
    <w:rsid w:val="00C90C14"/>
    <w:rsid w:val="00C91CB0"/>
    <w:rsid w:val="00C93107"/>
    <w:rsid w:val="00CA36CF"/>
    <w:rsid w:val="00CA66E7"/>
    <w:rsid w:val="00CB19C1"/>
    <w:rsid w:val="00CB4285"/>
    <w:rsid w:val="00CD5C1C"/>
    <w:rsid w:val="00CD5ECA"/>
    <w:rsid w:val="00CE708D"/>
    <w:rsid w:val="00CF2592"/>
    <w:rsid w:val="00CF4A34"/>
    <w:rsid w:val="00D0051D"/>
    <w:rsid w:val="00D038B8"/>
    <w:rsid w:val="00D07132"/>
    <w:rsid w:val="00D07875"/>
    <w:rsid w:val="00D100EE"/>
    <w:rsid w:val="00D10432"/>
    <w:rsid w:val="00D30462"/>
    <w:rsid w:val="00D352F1"/>
    <w:rsid w:val="00D56770"/>
    <w:rsid w:val="00D5720D"/>
    <w:rsid w:val="00D62E38"/>
    <w:rsid w:val="00D63662"/>
    <w:rsid w:val="00D648F2"/>
    <w:rsid w:val="00D66651"/>
    <w:rsid w:val="00D670FB"/>
    <w:rsid w:val="00D731DD"/>
    <w:rsid w:val="00D77D8A"/>
    <w:rsid w:val="00D81471"/>
    <w:rsid w:val="00D835B6"/>
    <w:rsid w:val="00D835C2"/>
    <w:rsid w:val="00D84386"/>
    <w:rsid w:val="00D848B9"/>
    <w:rsid w:val="00D848C8"/>
    <w:rsid w:val="00D9282C"/>
    <w:rsid w:val="00D9313E"/>
    <w:rsid w:val="00D97F0C"/>
    <w:rsid w:val="00DB042F"/>
    <w:rsid w:val="00DB2959"/>
    <w:rsid w:val="00DB5965"/>
    <w:rsid w:val="00DB6C4C"/>
    <w:rsid w:val="00DC1CF2"/>
    <w:rsid w:val="00DC25D5"/>
    <w:rsid w:val="00DC61F7"/>
    <w:rsid w:val="00DD3248"/>
    <w:rsid w:val="00DD52AB"/>
    <w:rsid w:val="00DD5D12"/>
    <w:rsid w:val="00DF03DD"/>
    <w:rsid w:val="00E01371"/>
    <w:rsid w:val="00E040EA"/>
    <w:rsid w:val="00E1263D"/>
    <w:rsid w:val="00E15C4E"/>
    <w:rsid w:val="00E2230B"/>
    <w:rsid w:val="00E25203"/>
    <w:rsid w:val="00E30B61"/>
    <w:rsid w:val="00E3342C"/>
    <w:rsid w:val="00E372D8"/>
    <w:rsid w:val="00E462D7"/>
    <w:rsid w:val="00E521A9"/>
    <w:rsid w:val="00E52870"/>
    <w:rsid w:val="00E542C3"/>
    <w:rsid w:val="00E6146B"/>
    <w:rsid w:val="00E6513B"/>
    <w:rsid w:val="00E65C2C"/>
    <w:rsid w:val="00E669E1"/>
    <w:rsid w:val="00E67F21"/>
    <w:rsid w:val="00E7460B"/>
    <w:rsid w:val="00E82FAB"/>
    <w:rsid w:val="00E86A1C"/>
    <w:rsid w:val="00E87D41"/>
    <w:rsid w:val="00E92F24"/>
    <w:rsid w:val="00E953B3"/>
    <w:rsid w:val="00EA002F"/>
    <w:rsid w:val="00EA245E"/>
    <w:rsid w:val="00EA28B8"/>
    <w:rsid w:val="00EA520A"/>
    <w:rsid w:val="00EA573A"/>
    <w:rsid w:val="00EA5866"/>
    <w:rsid w:val="00EA7027"/>
    <w:rsid w:val="00EB3388"/>
    <w:rsid w:val="00EC624A"/>
    <w:rsid w:val="00EC6CCC"/>
    <w:rsid w:val="00EC7D05"/>
    <w:rsid w:val="00ED3DDE"/>
    <w:rsid w:val="00ED691F"/>
    <w:rsid w:val="00EE4C13"/>
    <w:rsid w:val="00EE6883"/>
    <w:rsid w:val="00EE75D5"/>
    <w:rsid w:val="00EE7E13"/>
    <w:rsid w:val="00EF05C1"/>
    <w:rsid w:val="00EF57D9"/>
    <w:rsid w:val="00F02065"/>
    <w:rsid w:val="00F10737"/>
    <w:rsid w:val="00F14610"/>
    <w:rsid w:val="00F17870"/>
    <w:rsid w:val="00F231C9"/>
    <w:rsid w:val="00F31244"/>
    <w:rsid w:val="00F31717"/>
    <w:rsid w:val="00F317E8"/>
    <w:rsid w:val="00F338DC"/>
    <w:rsid w:val="00F413D3"/>
    <w:rsid w:val="00F4572F"/>
    <w:rsid w:val="00F51122"/>
    <w:rsid w:val="00F5267E"/>
    <w:rsid w:val="00F61F09"/>
    <w:rsid w:val="00F70C61"/>
    <w:rsid w:val="00F8248D"/>
    <w:rsid w:val="00F842DB"/>
    <w:rsid w:val="00F9439A"/>
    <w:rsid w:val="00F950B1"/>
    <w:rsid w:val="00FA0CF9"/>
    <w:rsid w:val="00FB0AA8"/>
    <w:rsid w:val="00FB2003"/>
    <w:rsid w:val="00FB336D"/>
    <w:rsid w:val="00FB5F8D"/>
    <w:rsid w:val="00FC0DDA"/>
    <w:rsid w:val="00FE2793"/>
    <w:rsid w:val="00FE38D8"/>
    <w:rsid w:val="00FF1492"/>
    <w:rsid w:val="00FF30A5"/>
    <w:rsid w:val="00FF4B27"/>
    <w:rsid w:val="00FF5BD9"/>
    <w:rsid w:val="00FF5E33"/>
    <w:rsid w:val="00FF64A0"/>
    <w:rsid w:val="045F6B9B"/>
    <w:rsid w:val="08BC50F9"/>
    <w:rsid w:val="0AF10769"/>
    <w:rsid w:val="0D5F15C6"/>
    <w:rsid w:val="11132FF6"/>
    <w:rsid w:val="117532E4"/>
    <w:rsid w:val="159266A5"/>
    <w:rsid w:val="15AF132D"/>
    <w:rsid w:val="16E73D9E"/>
    <w:rsid w:val="18127B38"/>
    <w:rsid w:val="1B1F6C2C"/>
    <w:rsid w:val="1DB00010"/>
    <w:rsid w:val="1DD618BD"/>
    <w:rsid w:val="24DE1A6B"/>
    <w:rsid w:val="2B4C2D15"/>
    <w:rsid w:val="2DC76D15"/>
    <w:rsid w:val="2FEE5D4A"/>
    <w:rsid w:val="311A7D55"/>
    <w:rsid w:val="322C25CB"/>
    <w:rsid w:val="343D31C7"/>
    <w:rsid w:val="357F7587"/>
    <w:rsid w:val="35F22A9F"/>
    <w:rsid w:val="3981B833"/>
    <w:rsid w:val="3A5C5FF0"/>
    <w:rsid w:val="3AD341CE"/>
    <w:rsid w:val="3CAD4591"/>
    <w:rsid w:val="3D08103A"/>
    <w:rsid w:val="3DAC5CA6"/>
    <w:rsid w:val="421D7172"/>
    <w:rsid w:val="43ED48A1"/>
    <w:rsid w:val="44B55F77"/>
    <w:rsid w:val="4741374E"/>
    <w:rsid w:val="4A972463"/>
    <w:rsid w:val="52215E90"/>
    <w:rsid w:val="54773F23"/>
    <w:rsid w:val="547B3A4E"/>
    <w:rsid w:val="56630F13"/>
    <w:rsid w:val="5712706A"/>
    <w:rsid w:val="58D3766D"/>
    <w:rsid w:val="592E65D1"/>
    <w:rsid w:val="5A494B51"/>
    <w:rsid w:val="5EFE665F"/>
    <w:rsid w:val="5F381638"/>
    <w:rsid w:val="61613D65"/>
    <w:rsid w:val="63297636"/>
    <w:rsid w:val="67D059A1"/>
    <w:rsid w:val="6A1231B1"/>
    <w:rsid w:val="6F1C418A"/>
    <w:rsid w:val="70815CCE"/>
    <w:rsid w:val="70930DA5"/>
    <w:rsid w:val="73659E37"/>
    <w:rsid w:val="7935FC26"/>
    <w:rsid w:val="7BEF502F"/>
    <w:rsid w:val="7C011543"/>
    <w:rsid w:val="7C370474"/>
    <w:rsid w:val="7CCA7F60"/>
    <w:rsid w:val="7E84044E"/>
    <w:rsid w:val="7ED96A44"/>
    <w:rsid w:val="7FFA14C4"/>
    <w:rsid w:val="7FFFCE7E"/>
    <w:rsid w:val="EBFFEF52"/>
    <w:rsid w:val="FEF5B55C"/>
    <w:rsid w:val="FFFDDF8B"/>
    <w:rsid w:val="FFFF6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next w:val="1"/>
    <w:link w:val="22"/>
    <w:qFormat/>
    <w:uiPriority w:val="9"/>
    <w:pPr>
      <w:keepNext/>
      <w:keepLines/>
      <w:pageBreakBefore/>
      <w:spacing w:before="100" w:beforeLines="100" w:after="100" w:afterLines="100"/>
      <w:jc w:val="center"/>
      <w:outlineLvl w:val="0"/>
    </w:pPr>
    <w:rPr>
      <w:rFonts w:ascii="方正小标宋简体" w:hAnsi="黑体" w:eastAsia="方正小标宋简体" w:cs="黑体"/>
      <w:color w:val="000000"/>
      <w:kern w:val="2"/>
      <w:sz w:val="36"/>
      <w:szCs w:val="22"/>
      <w:lang w:val="en-US" w:eastAsia="zh-CN" w:bidi="ar-SA"/>
    </w:rPr>
  </w:style>
  <w:style w:type="paragraph" w:styleId="3">
    <w:name w:val="heading 2"/>
    <w:basedOn w:val="1"/>
    <w:next w:val="1"/>
    <w:link w:val="23"/>
    <w:unhideWhenUsed/>
    <w:qFormat/>
    <w:uiPriority w:val="9"/>
    <w:pPr>
      <w:keepNext/>
      <w:keepLines/>
      <w:spacing w:before="120" w:after="120"/>
      <w:jc w:val="left"/>
      <w:outlineLvl w:val="1"/>
    </w:pPr>
    <w:rPr>
      <w:rFonts w:ascii="黑体" w:hAnsi="黑体" w:eastAsia="黑体" w:cs="黑体"/>
      <w:color w:val="000000"/>
      <w:kern w:val="2"/>
      <w:sz w:val="32"/>
      <w:szCs w:val="22"/>
      <w:lang w:val="en-US" w:eastAsia="zh-CN" w:bidi="ar-SA"/>
    </w:rPr>
  </w:style>
  <w:style w:type="paragraph" w:styleId="4">
    <w:name w:val="heading 3"/>
    <w:basedOn w:val="5"/>
    <w:next w:val="1"/>
    <w:link w:val="24"/>
    <w:unhideWhenUsed/>
    <w:qFormat/>
    <w:uiPriority w:val="9"/>
    <w:pPr>
      <w:keepNext/>
      <w:keepLines/>
      <w:spacing w:before="120" w:after="120"/>
      <w:outlineLvl w:val="2"/>
    </w:pPr>
    <w:rPr>
      <w:rFonts w:eastAsia="楷体_GB2312"/>
      <w:bCs/>
      <w:szCs w:val="32"/>
    </w:rPr>
  </w:style>
  <w:style w:type="paragraph" w:styleId="6">
    <w:name w:val="heading 4"/>
    <w:basedOn w:val="1"/>
    <w:next w:val="1"/>
    <w:link w:val="27"/>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34"/>
    <w:pPr>
      <w:ind w:firstLine="420"/>
    </w:pPr>
  </w:style>
  <w:style w:type="paragraph" w:styleId="7">
    <w:name w:val="caption"/>
    <w:basedOn w:val="1"/>
    <w:next w:val="1"/>
    <w:qFormat/>
    <w:uiPriority w:val="35"/>
    <w:pPr>
      <w:numPr>
        <w:ilvl w:val="0"/>
        <w:numId w:val="1"/>
      </w:numPr>
      <w:tabs>
        <w:tab w:val="left" w:pos="0"/>
      </w:tabs>
      <w:spacing w:line="500" w:lineRule="exact"/>
      <w:ind w:firstLine="0" w:firstLineChars="0"/>
      <w:jc w:val="center"/>
    </w:pPr>
    <w:rPr>
      <w:rFonts w:ascii="黑体" w:hAnsi="黑体" w:eastAsia="黑体" w:cs="黑体"/>
      <w:sz w:val="28"/>
      <w:szCs w:val="30"/>
    </w:rPr>
  </w:style>
  <w:style w:type="paragraph" w:styleId="8">
    <w:name w:val="annotation text"/>
    <w:basedOn w:val="1"/>
    <w:link w:val="25"/>
    <w:unhideWhenUsed/>
    <w:qFormat/>
    <w:uiPriority w:val="99"/>
    <w:pPr>
      <w:jc w:val="left"/>
    </w:pPr>
  </w:style>
  <w:style w:type="paragraph" w:styleId="9">
    <w:name w:val="footer"/>
    <w:basedOn w:val="1"/>
    <w:link w:val="30"/>
    <w:unhideWhenUsed/>
    <w:qFormat/>
    <w:uiPriority w:val="99"/>
    <w:pPr>
      <w:widowControl/>
      <w:tabs>
        <w:tab w:val="center" w:pos="4153"/>
        <w:tab w:val="right" w:pos="8306"/>
      </w:tabs>
      <w:adjustRightInd w:val="0"/>
      <w:snapToGrid w:val="0"/>
      <w:spacing w:line="240" w:lineRule="auto"/>
    </w:pPr>
    <w:rPr>
      <w:rFonts w:ascii="仿宋_GB2312" w:hAnsi="仿宋" w:cs="仿宋"/>
      <w:color w:val="000000"/>
      <w:sz w:val="18"/>
      <w:szCs w:val="18"/>
    </w:rPr>
  </w:style>
  <w:style w:type="paragraph" w:styleId="10">
    <w:name w:val="header"/>
    <w:basedOn w:val="1"/>
    <w:link w:val="31"/>
    <w:unhideWhenUsed/>
    <w:qFormat/>
    <w:uiPriority w:val="99"/>
    <w:pPr>
      <w:widowControl/>
      <w:pBdr>
        <w:bottom w:val="single" w:color="auto" w:sz="6" w:space="1"/>
      </w:pBdr>
      <w:tabs>
        <w:tab w:val="center" w:pos="4153"/>
        <w:tab w:val="right" w:pos="8306"/>
      </w:tabs>
      <w:adjustRightInd w:val="0"/>
      <w:snapToGrid w:val="0"/>
      <w:spacing w:line="240" w:lineRule="auto"/>
      <w:jc w:val="center"/>
    </w:pPr>
    <w:rPr>
      <w:rFonts w:ascii="仿宋_GB2312" w:hAnsi="仿宋" w:cs="仿宋"/>
      <w:color w:val="000000"/>
      <w:sz w:val="18"/>
      <w:szCs w:val="18"/>
    </w:rPr>
  </w:style>
  <w:style w:type="paragraph" w:styleId="11">
    <w:name w:val="toc 1"/>
    <w:basedOn w:val="1"/>
    <w:next w:val="1"/>
    <w:unhideWhenUsed/>
    <w:qFormat/>
    <w:uiPriority w:val="39"/>
    <w:pPr>
      <w:tabs>
        <w:tab w:val="right" w:leader="dot" w:pos="8302"/>
      </w:tabs>
      <w:ind w:firstLine="640" w:firstLineChars="0"/>
    </w:pPr>
    <w:rPr>
      <w:rFonts w:eastAsia="黑体" w:asciiTheme="majorHAnsi" w:hAnsiTheme="majorHAnsi"/>
    </w:rPr>
  </w:style>
  <w:style w:type="paragraph" w:styleId="12">
    <w:name w:val="toc 2"/>
    <w:basedOn w:val="1"/>
    <w:next w:val="1"/>
    <w:unhideWhenUsed/>
    <w:qFormat/>
    <w:uiPriority w:val="39"/>
    <w:pPr>
      <w:ind w:left="200" w:leftChars="200"/>
    </w:pPr>
  </w:style>
  <w:style w:type="paragraph" w:styleId="13">
    <w:name w:val="Normal (Web)"/>
    <w:basedOn w:val="1"/>
    <w:unhideWhenUsed/>
    <w:qFormat/>
    <w:uiPriority w:val="99"/>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4">
    <w:name w:val="annotation subject"/>
    <w:basedOn w:val="8"/>
    <w:next w:val="8"/>
    <w:link w:val="26"/>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customStyle="1" w:styleId="20">
    <w:name w:val="封面"/>
    <w:basedOn w:val="1"/>
    <w:link w:val="21"/>
    <w:qFormat/>
    <w:uiPriority w:val="0"/>
    <w:pPr>
      <w:ind w:firstLine="640"/>
      <w:jc w:val="center"/>
    </w:pPr>
    <w:rPr>
      <w:rFonts w:eastAsia="方正小标宋简体"/>
      <w:sz w:val="52"/>
    </w:rPr>
  </w:style>
  <w:style w:type="character" w:customStyle="1" w:styleId="21">
    <w:name w:val="封面 字符"/>
    <w:basedOn w:val="17"/>
    <w:link w:val="20"/>
    <w:qFormat/>
    <w:uiPriority w:val="0"/>
    <w:rPr>
      <w:rFonts w:ascii="Times New Roman" w:hAnsi="Times New Roman" w:eastAsia="方正小标宋简体"/>
      <w:sz w:val="52"/>
    </w:rPr>
  </w:style>
  <w:style w:type="character" w:customStyle="1" w:styleId="22">
    <w:name w:val="标题 1 字符"/>
    <w:basedOn w:val="17"/>
    <w:link w:val="2"/>
    <w:qFormat/>
    <w:uiPriority w:val="9"/>
    <w:rPr>
      <w:rFonts w:ascii="方正小标宋简体" w:hAnsi="黑体" w:eastAsia="方正小标宋简体" w:cs="黑体"/>
      <w:color w:val="000000"/>
      <w:sz w:val="36"/>
    </w:rPr>
  </w:style>
  <w:style w:type="character" w:customStyle="1" w:styleId="23">
    <w:name w:val="标题 2 字符"/>
    <w:basedOn w:val="17"/>
    <w:link w:val="3"/>
    <w:qFormat/>
    <w:uiPriority w:val="9"/>
    <w:rPr>
      <w:rFonts w:ascii="黑体" w:hAnsi="黑体" w:eastAsia="黑体" w:cs="黑体"/>
      <w:color w:val="000000"/>
      <w:sz w:val="32"/>
    </w:rPr>
  </w:style>
  <w:style w:type="character" w:customStyle="1" w:styleId="24">
    <w:name w:val="标题 3 字符"/>
    <w:basedOn w:val="17"/>
    <w:link w:val="4"/>
    <w:qFormat/>
    <w:uiPriority w:val="9"/>
    <w:rPr>
      <w:rFonts w:ascii="Times New Roman" w:hAnsi="Times New Roman" w:eastAsia="楷体_GB2312"/>
      <w:bCs/>
      <w:sz w:val="32"/>
      <w:szCs w:val="32"/>
    </w:rPr>
  </w:style>
  <w:style w:type="character" w:customStyle="1" w:styleId="25">
    <w:name w:val="批注文字 字符"/>
    <w:basedOn w:val="17"/>
    <w:link w:val="8"/>
    <w:qFormat/>
    <w:uiPriority w:val="99"/>
    <w:rPr>
      <w:rFonts w:ascii="Times New Roman" w:hAnsi="Times New Roman" w:eastAsia="仿宋_GB2312"/>
      <w:sz w:val="32"/>
    </w:rPr>
  </w:style>
  <w:style w:type="character" w:customStyle="1" w:styleId="26">
    <w:name w:val="批注主题 字符"/>
    <w:basedOn w:val="25"/>
    <w:link w:val="14"/>
    <w:semiHidden/>
    <w:qFormat/>
    <w:uiPriority w:val="99"/>
    <w:rPr>
      <w:rFonts w:ascii="Times New Roman" w:hAnsi="Times New Roman" w:eastAsia="仿宋_GB2312"/>
      <w:b/>
      <w:bCs/>
      <w:sz w:val="32"/>
    </w:rPr>
  </w:style>
  <w:style w:type="character" w:customStyle="1" w:styleId="27">
    <w:name w:val="标题 4 字符"/>
    <w:basedOn w:val="17"/>
    <w:link w:val="6"/>
    <w:qFormat/>
    <w:uiPriority w:val="9"/>
    <w:rPr>
      <w:rFonts w:asciiTheme="majorHAnsi" w:hAnsiTheme="majorHAnsi" w:eastAsiaTheme="majorEastAsia" w:cstheme="majorBidi"/>
      <w:b/>
      <w:bCs/>
      <w:sz w:val="28"/>
      <w:szCs w:val="28"/>
    </w:rPr>
  </w:style>
  <w:style w:type="table" w:customStyle="1" w:styleId="28">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29">
    <w:name w:val="Table Paragraph"/>
    <w:basedOn w:val="1"/>
    <w:qFormat/>
    <w:uiPriority w:val="1"/>
    <w:pPr>
      <w:spacing w:line="240" w:lineRule="auto"/>
      <w:ind w:firstLine="0" w:firstLineChars="0"/>
      <w:jc w:val="left"/>
    </w:pPr>
    <w:rPr>
      <w:rFonts w:asciiTheme="minorHAnsi" w:hAnsiTheme="minorHAnsi" w:eastAsiaTheme="minorEastAsia"/>
      <w:kern w:val="0"/>
      <w:sz w:val="22"/>
      <w:lang w:eastAsia="en-US"/>
    </w:rPr>
  </w:style>
  <w:style w:type="character" w:customStyle="1" w:styleId="30">
    <w:name w:val="页脚 字符"/>
    <w:basedOn w:val="17"/>
    <w:link w:val="9"/>
    <w:qFormat/>
    <w:uiPriority w:val="99"/>
    <w:rPr>
      <w:rFonts w:ascii="仿宋_GB2312" w:hAnsi="仿宋" w:eastAsia="仿宋_GB2312" w:cs="仿宋"/>
      <w:color w:val="000000"/>
      <w:sz w:val="18"/>
      <w:szCs w:val="18"/>
    </w:rPr>
  </w:style>
  <w:style w:type="character" w:customStyle="1" w:styleId="31">
    <w:name w:val="页眉 字符"/>
    <w:basedOn w:val="17"/>
    <w:link w:val="10"/>
    <w:qFormat/>
    <w:uiPriority w:val="99"/>
    <w:rPr>
      <w:rFonts w:ascii="仿宋_GB2312" w:hAnsi="仿宋" w:eastAsia="仿宋_GB2312" w:cs="仿宋"/>
      <w:color w:val="000000"/>
      <w:sz w:val="18"/>
      <w:szCs w:val="18"/>
    </w:rPr>
  </w:style>
  <w:style w:type="paragraph" w:customStyle="1" w:styleId="32">
    <w:name w:val="font7"/>
    <w:basedOn w:val="1"/>
    <w:qFormat/>
    <w:uiPriority w:val="0"/>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33">
    <w:name w:val="专栏正文"/>
    <w:basedOn w:val="1"/>
    <w:link w:val="34"/>
    <w:qFormat/>
    <w:uiPriority w:val="0"/>
    <w:pPr>
      <w:widowControl/>
      <w:adjustRightInd w:val="0"/>
      <w:snapToGrid w:val="0"/>
      <w:spacing w:line="240" w:lineRule="auto"/>
      <w:jc w:val="left"/>
    </w:pPr>
    <w:rPr>
      <w:sz w:val="24"/>
      <w:szCs w:val="20"/>
    </w:rPr>
  </w:style>
  <w:style w:type="character" w:customStyle="1" w:styleId="34">
    <w:name w:val="专栏正文 字符"/>
    <w:basedOn w:val="17"/>
    <w:link w:val="33"/>
    <w:qFormat/>
    <w:uiPriority w:val="0"/>
    <w:rPr>
      <w:rFonts w:ascii="Times New Roman" w:hAnsi="Times New Roman" w:eastAsia="仿宋_GB2312"/>
      <w:sz w:val="24"/>
      <w:szCs w:val="20"/>
    </w:rPr>
  </w:style>
  <w:style w:type="table" w:customStyle="1" w:styleId="35">
    <w:name w:val="网格型1"/>
    <w:basedOn w:val="15"/>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font11"/>
    <w:basedOn w:val="17"/>
    <w:qFormat/>
    <w:uiPriority w:val="0"/>
    <w:rPr>
      <w:rFonts w:hint="eastAsia" w:ascii="仿宋" w:hAnsi="仿宋" w:eastAsia="仿宋" w:cs="仿宋"/>
      <w:b/>
      <w:bCs/>
      <w:color w:val="000000"/>
      <w:sz w:val="21"/>
      <w:szCs w:val="21"/>
      <w:u w:val="none"/>
    </w:rPr>
  </w:style>
  <w:style w:type="character" w:customStyle="1" w:styleId="37">
    <w:name w:val="font21"/>
    <w:basedOn w:val="17"/>
    <w:qFormat/>
    <w:uiPriority w:val="0"/>
    <w:rPr>
      <w:rFonts w:hint="eastAsia" w:ascii="仿宋" w:hAnsi="仿宋" w:eastAsia="仿宋" w:cs="仿宋"/>
      <w:color w:val="000000"/>
      <w:sz w:val="21"/>
      <w:szCs w:val="21"/>
      <w:u w:val="none"/>
    </w:rPr>
  </w:style>
  <w:style w:type="paragraph" w:customStyle="1" w:styleId="38">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character" w:customStyle="1" w:styleId="39">
    <w:name w:val="font41"/>
    <w:basedOn w:val="17"/>
    <w:qFormat/>
    <w:uiPriority w:val="0"/>
    <w:rPr>
      <w:rFonts w:hint="eastAsia" w:ascii="仿宋_GB2312" w:eastAsia="仿宋_GB2312" w:cs="仿宋_GB2312"/>
      <w:color w:val="000000"/>
      <w:sz w:val="20"/>
      <w:szCs w:val="20"/>
      <w:u w:val="none"/>
    </w:rPr>
  </w:style>
  <w:style w:type="paragraph" w:customStyle="1" w:styleId="40">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1">
    <w:name w:val="font0"/>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2"/>
    </w:rPr>
  </w:style>
  <w:style w:type="paragraph" w:customStyle="1" w:styleId="42">
    <w:name w:val="font1"/>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43">
    <w:name w:val="font2"/>
    <w:basedOn w:val="1"/>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1"/>
      <w:szCs w:val="21"/>
    </w:rPr>
  </w:style>
  <w:style w:type="paragraph" w:customStyle="1" w:styleId="44">
    <w:name w:val="font3"/>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45">
    <w:name w:val="font4"/>
    <w:basedOn w:val="1"/>
    <w:qFormat/>
    <w:uiPriority w:val="0"/>
    <w:pPr>
      <w:widowControl/>
      <w:spacing w:before="100" w:beforeAutospacing="1" w:after="100" w:afterAutospacing="1" w:line="240" w:lineRule="auto"/>
      <w:ind w:firstLine="0" w:firstLineChars="0"/>
      <w:jc w:val="left"/>
    </w:pPr>
    <w:rPr>
      <w:rFonts w:ascii="仿宋_GB2312" w:hAnsi="宋体" w:cs="宋体"/>
      <w:color w:val="FF0000"/>
      <w:kern w:val="0"/>
      <w:sz w:val="20"/>
      <w:szCs w:val="20"/>
    </w:rPr>
  </w:style>
  <w:style w:type="paragraph" w:customStyle="1" w:styleId="46">
    <w:name w:val="font5"/>
    <w:basedOn w:val="1"/>
    <w:qFormat/>
    <w:uiPriority w:val="0"/>
    <w:pPr>
      <w:widowControl/>
      <w:spacing w:before="100" w:beforeAutospacing="1" w:after="100" w:afterAutospacing="1" w:line="240" w:lineRule="auto"/>
      <w:ind w:firstLine="0" w:firstLineChars="0"/>
      <w:jc w:val="left"/>
    </w:pPr>
    <w:rPr>
      <w:rFonts w:ascii="黑体" w:hAnsi="黑体" w:eastAsia="黑体" w:cs="宋体"/>
      <w:color w:val="000000"/>
      <w:kern w:val="0"/>
      <w:sz w:val="24"/>
      <w:szCs w:val="24"/>
    </w:rPr>
  </w:style>
  <w:style w:type="paragraph" w:customStyle="1" w:styleId="47">
    <w:name w:val="et2"/>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8">
    <w:name w:val="et3"/>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9">
    <w:name w:val="et4"/>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0">
    <w:name w:val="et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1">
    <w:name w:val="et6"/>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2">
    <w:name w:val="et7"/>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3">
    <w:name w:val="et8"/>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4">
    <w:name w:val="et9"/>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仿宋" w:hAnsi="仿宋" w:eastAsia="仿宋" w:cs="宋体"/>
      <w:kern w:val="0"/>
      <w:sz w:val="21"/>
      <w:szCs w:val="21"/>
    </w:rPr>
  </w:style>
  <w:style w:type="paragraph" w:customStyle="1" w:styleId="55">
    <w:name w:val="et10"/>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pPr>
    <w:rPr>
      <w:rFonts w:ascii="仿宋" w:hAnsi="仿宋" w:eastAsia="仿宋" w:cs="宋体"/>
      <w:kern w:val="0"/>
      <w:sz w:val="21"/>
      <w:szCs w:val="21"/>
    </w:rPr>
  </w:style>
  <w:style w:type="paragraph" w:customStyle="1" w:styleId="56">
    <w:name w:val="et11"/>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7">
    <w:name w:val="et13"/>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8">
    <w:name w:val="et14"/>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FF0000"/>
      <w:kern w:val="0"/>
      <w:sz w:val="20"/>
      <w:szCs w:val="20"/>
    </w:rPr>
  </w:style>
  <w:style w:type="paragraph" w:customStyle="1" w:styleId="59">
    <w:name w:val="et1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left"/>
    </w:pPr>
    <w:rPr>
      <w:rFonts w:ascii="仿宋" w:hAnsi="仿宋" w:eastAsia="仿宋" w:cs="宋体"/>
      <w:kern w:val="0"/>
      <w:sz w:val="21"/>
      <w:szCs w:val="21"/>
    </w:rPr>
  </w:style>
  <w:style w:type="paragraph" w:customStyle="1" w:styleId="60">
    <w:name w:val="et16"/>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黑体" w:hAnsi="黑体" w:eastAsia="黑体" w:cs="宋体"/>
      <w:color w:val="000000"/>
      <w:kern w:val="0"/>
      <w:sz w:val="24"/>
      <w:szCs w:val="24"/>
    </w:rPr>
  </w:style>
  <w:style w:type="character" w:customStyle="1" w:styleId="61">
    <w:name w:val="font31"/>
    <w:basedOn w:val="17"/>
    <w:qFormat/>
    <w:uiPriority w:val="0"/>
    <w:rPr>
      <w:rFonts w:hint="eastAsia" w:ascii="仿宋_GB2312" w:eastAsia="仿宋_GB2312"/>
      <w:color w:val="000000"/>
      <w:sz w:val="20"/>
      <w:szCs w:val="20"/>
      <w:u w:val="none"/>
    </w:rPr>
  </w:style>
  <w:style w:type="paragraph" w:customStyle="1" w:styleId="62">
    <w:name w:val="Revision"/>
    <w:hidden/>
    <w:unhideWhenUsed/>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90</Pages>
  <Words>6807</Words>
  <Characters>7205</Characters>
  <Lines>1404</Lines>
  <Paragraphs>1197</Paragraphs>
  <TotalTime>0</TotalTime>
  <ScaleCrop>false</ScaleCrop>
  <LinksUpToDate>false</LinksUpToDate>
  <CharactersWithSpaces>7334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2024-12-07T08:27:00Z</dcterms:created>
  <dc:creator>zxn</dc:creator>
  <cp:lastModifiedBy>杨起</cp:lastModifiedBy>
  <cp:lastPrinted>2025-08-08T06:55:00Z</cp:lastPrinted>
  <dcterms:modified xsi:type="dcterms:W3CDTF">2026-03-24T07:12:15Z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88A023C35005D9E1011A6A6710060E07</vt:lpwstr>
  </property>
  <property fmtid="{D5CDD505-2E9C-101B-9397-08002B2CF9AE}" pid="4" name="KSOTemplateDocerSaveRecord">
    <vt:lpwstr>eyJoZGlkIjoiOGQzMDYwYTU2NDdjMDE1YjIxNmRiZGU2ZDFkZmVlNmYiLCJ1c2VySWQiOiIxNDkzNjE0MzUyIn0=</vt:lpwstr>
  </property>
</Properties>
</file>