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2022年桓仁县公开重大政策和重点项目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绩效执行结果情况说明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一是优先保障“三保”支出。</w:t>
      </w:r>
      <w:r>
        <w:rPr>
          <w:rFonts w:hint="eastAsia" w:ascii="仿宋_GB2312" w:hAnsi="仿宋" w:eastAsia="仿宋_GB2312" w:cs="仿宋"/>
          <w:sz w:val="32"/>
          <w:szCs w:val="32"/>
        </w:rPr>
        <w:t>科学调度资金，</w:t>
      </w:r>
      <w:r>
        <w:rPr>
          <w:rStyle w:val="5"/>
          <w:rFonts w:hint="eastAsia" w:ascii="仿宋_GB2312" w:hAnsi="Times New Roman" w:cs="Times New Roman"/>
          <w:color w:val="000000"/>
          <w:sz w:val="32"/>
        </w:rPr>
        <w:t>坚决贯彻落实省市政府和财政部门下达的“三保”工作任务。“三保”支出</w:t>
      </w:r>
      <w:r>
        <w:rPr>
          <w:rStyle w:val="5"/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  <w:t>181,873</w:t>
      </w:r>
      <w:r>
        <w:rPr>
          <w:rStyle w:val="5"/>
          <w:rFonts w:hint="eastAsia" w:ascii="仿宋_GB2312" w:hAnsi="Times New Roman" w:cs="Times New Roman"/>
          <w:color w:val="auto"/>
          <w:sz w:val="32"/>
        </w:rPr>
        <w:t>万元，</w:t>
      </w:r>
      <w:r>
        <w:rPr>
          <w:rStyle w:val="5"/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其中：保基本民生95,272万元、保工资73,853万元、保运转12,748万元，“</w:t>
      </w:r>
      <w:r>
        <w:rPr>
          <w:rStyle w:val="5"/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  <w:t>三保”支出保障有力，确保</w:t>
      </w:r>
      <w:r>
        <w:rPr>
          <w:rStyle w:val="5"/>
          <w:rFonts w:hint="eastAsia" w:ascii="仿宋_GB2312" w:hAnsi="Times New Roman" w:cs="Times New Roman"/>
          <w:color w:val="000000"/>
          <w:sz w:val="32"/>
        </w:rPr>
        <w:t>了工资及时足额发放，基本保障了机构运转</w:t>
      </w:r>
      <w:r>
        <w:rPr>
          <w:rFonts w:hint="eastAsia" w:ascii="仿宋_GB2312" w:hAnsi="仿宋" w:eastAsia="仿宋_GB2312" w:cs="仿宋"/>
          <w:sz w:val="32"/>
          <w:szCs w:val="32"/>
        </w:rPr>
        <w:t>和重点民生支出需求。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全面落实增值税留抵退等组合式税费支持政策。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全面落实组合式税费支持政策。全年减税降费25,550万元，其中：增值税留抵退税19,599万元、新增减税降费3,665万元、缓税缓费2,286万元。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财税部门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共同推进国家重大政策落地见效，进一步优化营商环境，激发市场发展主体活力。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是助力企业加快发展。</w:t>
      </w:r>
      <w:r>
        <w:rPr>
          <w:rFonts w:hint="eastAsia" w:ascii="仿宋_GB2312" w:hAnsi="仿宋" w:eastAsia="仿宋_GB2312" w:cs="仿宋"/>
          <w:sz w:val="32"/>
          <w:szCs w:val="32"/>
        </w:rPr>
        <w:t>安排产业发展资金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3,560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万元，</w:t>
      </w:r>
      <w:r>
        <w:rPr>
          <w:rFonts w:hint="eastAsia" w:ascii="仿宋_GB2312" w:hAnsi="仿宋" w:eastAsia="仿宋_GB2312" w:cs="仿宋"/>
          <w:sz w:val="32"/>
          <w:szCs w:val="32"/>
        </w:rPr>
        <w:t>支持重点企业恢复生产发展，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为</w:t>
      </w:r>
      <w:r>
        <w:rPr>
          <w:rFonts w:hint="eastAsia" w:ascii="仿宋_GB2312" w:hAnsi="仿宋" w:eastAsia="仿宋_GB2312" w:cs="仿宋"/>
          <w:sz w:val="32"/>
          <w:szCs w:val="32"/>
        </w:rPr>
        <w:t>培植税源，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帮助</w:t>
      </w:r>
      <w:r>
        <w:rPr>
          <w:rFonts w:hint="eastAsia" w:ascii="仿宋_GB2312" w:hAnsi="仿宋" w:eastAsia="仿宋_GB2312" w:cs="仿宋"/>
          <w:sz w:val="32"/>
          <w:szCs w:val="32"/>
        </w:rPr>
        <w:t>企业渡过难关、平稳发展提供坚实支撑。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是加强生态环保投入力度。</w:t>
      </w:r>
      <w:r>
        <w:rPr>
          <w:rFonts w:hint="eastAsia" w:ascii="仿宋_GB2312" w:hAnsi="仿宋" w:eastAsia="仿宋_GB2312" w:cs="仿宋"/>
          <w:sz w:val="32"/>
          <w:szCs w:val="32"/>
        </w:rPr>
        <w:t>安排资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金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6,849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万元，</w:t>
      </w:r>
      <w:r>
        <w:rPr>
          <w:rFonts w:hint="eastAsia" w:ascii="仿宋_GB2312" w:hAnsi="仿宋" w:eastAsia="仿宋_GB2312" w:cs="仿宋"/>
          <w:sz w:val="32"/>
          <w:szCs w:val="32"/>
        </w:rPr>
        <w:t>重点开展环境保护和污染治理，开展城乡环卫一体化，持续改善空气和水环境质量，巩固重点生态功能区建设成果。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是全面落实中央财政直达资金工作。</w:t>
      </w:r>
      <w:r>
        <w:rPr>
          <w:rFonts w:hint="eastAsia" w:ascii="仿宋_GB2312" w:hAnsi="仿宋" w:eastAsia="仿宋_GB2312" w:cs="仿宋"/>
          <w:sz w:val="32"/>
          <w:szCs w:val="32"/>
        </w:rPr>
        <w:t>收到上级直达资金指标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73,498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元，指标下达进度100%，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当年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拨付资金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62,279万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元，拨付进</w:t>
      </w:r>
      <w:r>
        <w:rPr>
          <w:rFonts w:hint="eastAsia" w:ascii="仿宋_GB2312" w:hAnsi="仿宋" w:eastAsia="仿宋_GB2312" w:cs="仿宋"/>
          <w:sz w:val="32"/>
          <w:szCs w:val="32"/>
        </w:rPr>
        <w:t>度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84.7</w:t>
      </w:r>
      <w:r>
        <w:rPr>
          <w:rFonts w:hint="eastAsia" w:ascii="仿宋_GB2312" w:hAnsi="仿宋" w:eastAsia="仿宋_GB2312" w:cs="仿宋"/>
          <w:sz w:val="32"/>
          <w:szCs w:val="32"/>
        </w:rPr>
        <w:t>%。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中央资金直达基层、直接惠企利民。县财政局切实加强资金管理使用，把宝贵的资金使用到最困难的地方、最急需的领域，充分发挥了中央直达资金使用效益。</w:t>
      </w:r>
      <w:bookmarkStart w:id="0" w:name="_GoBack"/>
      <w:bookmarkEnd w:id="0"/>
    </w:p>
    <w:sectPr>
      <w:pgSz w:w="11906" w:h="16838"/>
      <w:pgMar w:top="1270" w:right="1293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MjNkOWVhNzMxYzdjZDBkYWY4ZWFjOGMwMzkxYzAifQ=="/>
  </w:docVars>
  <w:rsids>
    <w:rsidRoot w:val="00000000"/>
    <w:rsid w:val="022F1D77"/>
    <w:rsid w:val="02BC2FB5"/>
    <w:rsid w:val="05EA0C6D"/>
    <w:rsid w:val="08ED423F"/>
    <w:rsid w:val="09FA536A"/>
    <w:rsid w:val="0E9F6F26"/>
    <w:rsid w:val="12555A81"/>
    <w:rsid w:val="235021D1"/>
    <w:rsid w:val="2D654973"/>
    <w:rsid w:val="32582851"/>
    <w:rsid w:val="33826FA9"/>
    <w:rsid w:val="34551E0D"/>
    <w:rsid w:val="355D7A33"/>
    <w:rsid w:val="36705660"/>
    <w:rsid w:val="37F039D3"/>
    <w:rsid w:val="384635F3"/>
    <w:rsid w:val="38B92017"/>
    <w:rsid w:val="38D34E4A"/>
    <w:rsid w:val="3A5F5C5F"/>
    <w:rsid w:val="3C213496"/>
    <w:rsid w:val="411374C6"/>
    <w:rsid w:val="48CB3DCC"/>
    <w:rsid w:val="4AAF4A20"/>
    <w:rsid w:val="4EE07EA5"/>
    <w:rsid w:val="4F50502B"/>
    <w:rsid w:val="574929DF"/>
    <w:rsid w:val="57E60F8B"/>
    <w:rsid w:val="5AEA6A34"/>
    <w:rsid w:val="5C7F48CC"/>
    <w:rsid w:val="5EBE445A"/>
    <w:rsid w:val="614C0CAD"/>
    <w:rsid w:val="658A7C77"/>
    <w:rsid w:val="67FF0F45"/>
    <w:rsid w:val="6A2353BE"/>
    <w:rsid w:val="6BEB3E64"/>
    <w:rsid w:val="6CDA7FDD"/>
    <w:rsid w:val="6EFC1D3A"/>
    <w:rsid w:val="703D260A"/>
    <w:rsid w:val="713D761F"/>
    <w:rsid w:val="763B5B08"/>
    <w:rsid w:val="7ADB139D"/>
    <w:rsid w:val="7D8555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Verdana" w:hAnsi="Verdana" w:eastAsia="仿宋_GB2312"/>
      <w:kern w:val="0"/>
      <w:sz w:val="28"/>
      <w:szCs w:val="20"/>
      <w:lang w:eastAsia="en-US"/>
    </w:rPr>
  </w:style>
  <w:style w:type="character" w:customStyle="1" w:styleId="5">
    <w:name w:val="NormalCharacter"/>
    <w:link w:val="6"/>
    <w:semiHidden/>
    <w:qFormat/>
    <w:uiPriority w:val="0"/>
    <w:rPr>
      <w:rFonts w:ascii="Calibri" w:hAnsi="Calibri" w:eastAsia="仿宋_GB2312"/>
      <w:sz w:val="36"/>
      <w:szCs w:val="32"/>
    </w:rPr>
  </w:style>
  <w:style w:type="paragraph" w:customStyle="1" w:styleId="6">
    <w:name w:val="UserStyle_1"/>
    <w:basedOn w:val="1"/>
    <w:link w:val="5"/>
    <w:qFormat/>
    <w:uiPriority w:val="0"/>
    <w:pPr>
      <w:widowControl/>
      <w:spacing w:after="160" w:line="240" w:lineRule="exact"/>
      <w:jc w:val="left"/>
      <w:textAlignment w:val="baseline"/>
    </w:pPr>
    <w:rPr>
      <w:rFonts w:ascii="Calibri" w:hAnsi="Calibri" w:eastAsia="仿宋_GB2312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553</Characters>
  <Lines>0</Lines>
  <Paragraphs>0</Paragraphs>
  <ScaleCrop>false</ScaleCrop>
  <LinksUpToDate>false</LinksUpToDate>
  <CharactersWithSpaces>554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2022-09-06T10:51:00Z</dcterms:created>
  <dc:creator>Administrator</dc:creator>
  <cp:lastModifiedBy>Administrator</cp:lastModifiedBy>
  <cp:lastPrinted>2023-08-07T07:03:39Z</cp:lastPrinted>
  <dcterms:modified xsi:type="dcterms:W3CDTF">2023-08-07T08:00:40Z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  <property fmtid="{D5CDD505-2E9C-101B-9397-08002B2CF9AE}" pid="3" name="ICV">
    <vt:lpwstr>3174E6728E904310AAC57E8FDEEF59E7</vt:lpwstr>
  </property>
</Properties>
</file>