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普通高中维系整个教学正常进行项目</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教育局</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eastAsia="宋体"/>
                <w:color w:val="000000"/>
                <w:lang w:val="en-US" w:eastAsia="zh-CN"/>
              </w:rPr>
            </w:pPr>
            <w:r>
              <w:rPr>
                <w:rFonts w:hint="eastAsia"/>
                <w:color w:val="000000"/>
                <w:lang w:val="en-US" w:eastAsia="zh-CN"/>
              </w:rPr>
              <w:t>第一高级中学</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both"/>
              <w:rPr>
                <w:rFonts w:hint="default" w:eastAsia="宋体"/>
                <w:color w:val="000000"/>
                <w:lang w:val="en-US" w:eastAsia="zh-CN"/>
              </w:rPr>
            </w:pPr>
            <w:r>
              <w:rPr>
                <w:color w:val="000000"/>
              </w:rPr>
              <w:t>　</w:t>
            </w:r>
            <w:r>
              <w:rPr>
                <w:rFonts w:hint="eastAsia"/>
                <w:color w:val="000000"/>
                <w:lang w:val="en-US" w:eastAsia="zh-CN"/>
              </w:rPr>
              <w:t>493.9</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493.9</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493.9</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493.9</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493.9</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493.9</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lang w:val="en-US" w:eastAsia="zh-CN"/>
              </w:rPr>
            </w:pPr>
            <w:r>
              <w:rPr>
                <w:rFonts w:hint="eastAsia"/>
                <w:color w:val="000000"/>
                <w:lang w:val="en-US" w:eastAsia="zh-CN"/>
              </w:rPr>
              <w:t>维系教学正常运转</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教学正常运转</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教职工人数</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firstLine="308" w:firstLineChars="0"/>
              <w:jc w:val="left"/>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368"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ind w:firstLine="263" w:firstLineChars="0"/>
              <w:jc w:val="left"/>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widowControl/>
              <w:jc w:val="center"/>
              <w:rPr>
                <w:rFonts w:eastAsia="仿宋_GB2312"/>
                <w:szCs w:val="21"/>
              </w:rPr>
            </w:pPr>
            <w:r>
              <w:rPr>
                <w:rFonts w:eastAsia="仿宋_GB2312"/>
                <w:szCs w:val="21"/>
              </w:rPr>
              <w:t>“≥”</w:t>
            </w:r>
          </w:p>
          <w:p>
            <w:pPr>
              <w:bidi w:val="0"/>
              <w:ind w:firstLine="293" w:firstLineChars="0"/>
              <w:jc w:val="left"/>
              <w:rPr>
                <w:lang w:val="en-US" w:eastAsia="zh-CN"/>
              </w:rPr>
            </w:pPr>
          </w:p>
          <w:p>
            <w:pPr>
              <w:widowControl/>
              <w:jc w:val="center"/>
              <w:rPr>
                <w:rFonts w:eastAsia="仿宋_GB2312"/>
                <w:szCs w:val="21"/>
              </w:rPr>
            </w:pPr>
            <w:r>
              <w:rPr>
                <w:rFonts w:eastAsia="仿宋_GB2312"/>
                <w:szCs w:val="21"/>
              </w:rPr>
              <w:t>“≥”</w:t>
            </w:r>
          </w:p>
          <w:p>
            <w:pPr>
              <w:bidi w:val="0"/>
              <w:ind w:firstLine="263" w:firstLineChars="0"/>
              <w:jc w:val="left"/>
              <w:rPr>
                <w:rFonts w:ascii="Times New Roman" w:hAnsi="Times New Roman" w:eastAsia="宋体" w:cs="Times New Roman"/>
                <w:kern w:val="2"/>
                <w:sz w:val="21"/>
                <w:szCs w:val="24"/>
                <w:lang w:val="en-US" w:eastAsia="zh-CN" w:bidi="ar-SA"/>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233</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人</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233</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8</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8</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学生人数</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2239</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人</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2239</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8</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8</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享受人数准确率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资金拨付及时率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both"/>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教职工补助标准</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1.23</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万元/年</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1.23</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8</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8</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学生补助标准</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0.09</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万元/年</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0.09</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8</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8</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教职工满意度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学生满意度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bookmarkStart w:id="0" w:name="_GoBack"/>
            <w:bookmarkEnd w:id="0"/>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0E47D81"/>
    <w:rsid w:val="07226FF6"/>
    <w:rsid w:val="2230273B"/>
    <w:rsid w:val="248B350F"/>
    <w:rsid w:val="268D436B"/>
    <w:rsid w:val="2DA04623"/>
    <w:rsid w:val="342B1D46"/>
    <w:rsid w:val="420251F6"/>
    <w:rsid w:val="47A23706"/>
    <w:rsid w:val="60810FC5"/>
    <w:rsid w:val="61DC62AA"/>
    <w:rsid w:val="65660CAD"/>
    <w:rsid w:val="6DFD1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1034</Words>
  <Characters>1175</Characters>
  <Lines>0</Lines>
  <Paragraphs>0</Paragraphs>
  <TotalTime>1</TotalTime>
  <ScaleCrop>false</ScaleCrop>
  <LinksUpToDate>false</LinksUpToDate>
  <CharactersWithSpaces>1698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2022-12-29T08:00:23Z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72230727C1164634A9CABC4B16FE89E5</vt:lpwstr>
  </property>
</Properties>
</file>