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276" w:type="dxa"/>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noWrap w:val="0"/>
            <w:tcMar>
              <w:top w:w="15" w:type="dxa"/>
              <w:left w:w="15" w:type="dxa"/>
              <w:bottom w:w="0" w:type="dxa"/>
              <w:right w:w="15" w:type="dxa"/>
            </w:tcMar>
            <w:vAlign w:val="center"/>
          </w:tcPr>
          <w:p>
            <w:pPr>
              <w:spacing w:line="600" w:lineRule="exact"/>
              <w:rPr>
                <w:rFonts w:eastAsia="黑体"/>
                <w:bCs/>
                <w:color w:val="000000"/>
                <w:sz w:val="32"/>
                <w:szCs w:val="32"/>
              </w:rPr>
            </w:pPr>
            <w:r>
              <w:rPr>
                <w:rFonts w:eastAsia="黑体"/>
                <w:bCs/>
                <w:color w:val="000000"/>
                <w:sz w:val="32"/>
                <w:szCs w:val="32"/>
              </w:rPr>
              <w:t>附件</w:t>
            </w:r>
            <w:r>
              <w:rPr>
                <w:rFonts w:hint="eastAsia" w:eastAsia="黑体"/>
                <w:bCs/>
                <w:color w:val="000000"/>
                <w:sz w:val="32"/>
                <w:szCs w:val="32"/>
                <w:lang w:val="en-US" w:eastAsia="zh-CN"/>
              </w:rPr>
              <w:t>1</w:t>
            </w:r>
          </w:p>
          <w:p>
            <w:pPr>
              <w:jc w:val="center"/>
              <w:rPr>
                <w:rFonts w:hint="eastAsia" w:ascii="宋体" w:hAnsi="宋体" w:eastAsia="宋体" w:cs="宋体"/>
                <w:b/>
                <w:bCs/>
                <w:sz w:val="44"/>
                <w:szCs w:val="44"/>
                <w:lang w:eastAsia="zh-CN"/>
              </w:rPr>
            </w:pPr>
            <w:r>
              <w:rPr>
                <w:rFonts w:hint="eastAsia" w:ascii="宋体" w:hAnsi="宋体" w:cs="宋体"/>
                <w:b/>
                <w:bCs/>
                <w:sz w:val="44"/>
                <w:szCs w:val="44"/>
                <w:lang w:val="en-US" w:eastAsia="zh-CN"/>
              </w:rPr>
              <w:t>县</w:t>
            </w:r>
            <w:r>
              <w:rPr>
                <w:rFonts w:hint="eastAsia" w:ascii="宋体" w:hAnsi="宋体" w:eastAsia="宋体" w:cs="宋体"/>
                <w:b/>
                <w:bCs/>
                <w:sz w:val="44"/>
                <w:szCs w:val="44"/>
              </w:rPr>
              <w:t xml:space="preserve">本级预算项目绩效目标自评表 </w:t>
            </w:r>
          </w:p>
          <w:p>
            <w:pPr>
              <w:jc w:val="center"/>
              <w:rPr>
                <w:sz w:val="40"/>
                <w:szCs w:val="40"/>
              </w:rPr>
            </w:pPr>
            <w:r>
              <w:rPr>
                <w:color w:val="000000"/>
                <w:sz w:val="32"/>
                <w:szCs w:val="32"/>
              </w:rPr>
              <w:t>（</w:t>
            </w:r>
            <w:r>
              <w:rPr>
                <w:rFonts w:hint="eastAsia"/>
                <w:color w:val="000000"/>
                <w:sz w:val="32"/>
                <w:szCs w:val="32"/>
                <w:lang w:val="en-US" w:eastAsia="zh-CN"/>
              </w:rPr>
              <w:t>2021</w:t>
            </w:r>
            <w:r>
              <w:rPr>
                <w:color w:val="000000"/>
                <w:sz w:val="32"/>
                <w:szCs w:val="32"/>
              </w:rPr>
              <w:t>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项目（政策）</w:t>
            </w:r>
          </w:p>
          <w:p>
            <w:pPr>
              <w:widowControl/>
              <w:jc w:val="center"/>
              <w:textAlignment w:val="center"/>
              <w:rPr>
                <w:color w:val="000000"/>
              </w:rPr>
            </w:pPr>
            <w:r>
              <w:rPr>
                <w:color w:val="000000"/>
                <w:kern w:val="0"/>
                <w:szCs w:val="21"/>
                <w:lang w:bidi="ar"/>
              </w:rPr>
              <w:t>名称</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稻田养些项目</w:t>
            </w:r>
            <w:r>
              <w:rPr>
                <w:color w:val="000000"/>
              </w:rPr>
              <w:t>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center"/>
              <w:rPr>
                <w:color w:val="000000"/>
              </w:rPr>
            </w:pPr>
            <w:r>
              <w:rPr>
                <w:rFonts w:hint="eastAsia"/>
                <w:color w:val="000000"/>
              </w:rPr>
              <w:t>桓仁满族自治县农业发展服务中心本级-</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w:t>
            </w:r>
            <w:r>
              <w:rPr>
                <w:color w:val="000000"/>
                <w:kern w:val="0"/>
                <w:szCs w:val="21"/>
              </w:rPr>
              <w:t xml:space="preserve"> 月  -   </w:t>
            </w:r>
            <w:r>
              <w:rPr>
                <w:rFonts w:hint="eastAsia"/>
                <w:color w:val="000000"/>
                <w:kern w:val="0"/>
                <w:szCs w:val="21"/>
                <w:lang w:val="en-US" w:eastAsia="zh-CN"/>
              </w:rPr>
              <w:t>2021</w:t>
            </w:r>
            <w:r>
              <w:rPr>
                <w:color w:val="000000"/>
                <w:kern w:val="0"/>
                <w:szCs w:val="21"/>
              </w:rPr>
              <w:t xml:space="preserve"> 年  </w:t>
            </w:r>
            <w:r>
              <w:rPr>
                <w:rFonts w:hint="eastAsia"/>
                <w:color w:val="000000"/>
                <w:kern w:val="0"/>
                <w:szCs w:val="21"/>
                <w:lang w:val="en-US" w:eastAsia="zh-CN"/>
              </w:rPr>
              <w:t>12</w:t>
            </w:r>
            <w:r>
              <w:rPr>
                <w:color w:val="000000"/>
                <w:kern w:val="0"/>
                <w:szCs w:val="21"/>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年初</w:t>
            </w:r>
          </w:p>
          <w:p>
            <w:pPr>
              <w:jc w:val="center"/>
            </w:pPr>
            <w: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全年预算数（A）</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pPr>
            <w:r>
              <w:t>得分</w:t>
            </w:r>
          </w:p>
          <w:p>
            <w:pPr>
              <w:jc w:val="center"/>
            </w:pPr>
            <w: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both"/>
              <w:rPr>
                <w:rFonts w:hint="default" w:eastAsia="宋体"/>
                <w:color w:val="000000"/>
                <w:lang w:val="en-US" w:eastAsia="zh-CN"/>
              </w:rPr>
            </w:pPr>
            <w:r>
              <w:rPr>
                <w:color w:val="000000"/>
              </w:rPr>
              <w:t>　</w:t>
            </w:r>
            <w:r>
              <w:rPr>
                <w:rFonts w:hint="eastAsia"/>
                <w:color w:val="000000"/>
                <w:lang w:val="en-US" w:eastAsia="zh-CN"/>
              </w:rPr>
              <w:t>70</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70</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70</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color w:val="000000"/>
              </w:rPr>
            </w:pPr>
            <w:r>
              <w:rPr>
                <w:color w:val="000000"/>
                <w:kern w:val="0"/>
                <w:szCs w:val="21"/>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lang w:val="en-US" w:eastAsia="zh-CN"/>
              </w:rPr>
              <w:t>70</w:t>
            </w:r>
            <w:r>
              <w:rPr>
                <w:color w:val="000000"/>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70</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lang w:val="en-US" w:eastAsia="zh-CN"/>
              </w:rPr>
            </w:pPr>
            <w:r>
              <w:rPr>
                <w:color w:val="000000"/>
              </w:rPr>
              <w:t>　</w:t>
            </w:r>
            <w:r>
              <w:rPr>
                <w:rFonts w:hint="eastAsia"/>
                <w:color w:val="000000"/>
                <w:lang w:val="en-US" w:eastAsia="zh-CN"/>
              </w:rPr>
              <w:t>70</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rFonts w:hint="eastAsia"/>
                <w:kern w:val="0"/>
                <w:szCs w:val="21"/>
                <w:lang w:bidi="ar"/>
              </w:rPr>
              <w:t>上级</w:t>
            </w:r>
            <w:r>
              <w:rPr>
                <w:kern w:val="0"/>
                <w:szCs w:val="21"/>
                <w:lang w:bidi="ar"/>
              </w:rPr>
              <w:t>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bookmarkStart w:id="0" w:name="_GoBack"/>
            <w:bookmarkEnd w:id="0"/>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pPr>
            <w:r>
              <w:rPr>
                <w:kern w:val="0"/>
                <w:szCs w:val="21"/>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rFonts w:hint="eastAsia"/>
                <w:color w:val="000000"/>
              </w:rPr>
              <w:t>推广稻田蟹养殖成功经验，发展县域稻田蟹养殖面积3000亩.</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rFonts w:hint="eastAsia"/>
                <w:color w:val="000000"/>
              </w:rPr>
              <w:t>发展县域稻田蟹养殖面积3000亩.</w:t>
            </w:r>
            <w:r>
              <w:rPr>
                <w:color w:val="000000"/>
              </w:rPr>
              <w:t>　</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r>
              <w:rPr>
                <w:color w:val="000000"/>
              </w:rPr>
              <w:t>……</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color w:val="000000"/>
              </w:rPr>
              <w:t>绩效</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color w:val="000000"/>
              </w:rPr>
              <w:t>绩效</w:t>
            </w:r>
          </w:p>
          <w:p>
            <w:pPr>
              <w:jc w:val="center"/>
              <w:rPr>
                <w:color w:val="000000"/>
              </w:rPr>
            </w:pPr>
            <w:r>
              <w:rPr>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一级</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二级</w:t>
            </w:r>
          </w:p>
          <w:p>
            <w:pPr>
              <w:jc w:val="center"/>
              <w:rPr>
                <w:color w:val="000000"/>
              </w:rPr>
            </w:pPr>
            <w:r>
              <w:rPr>
                <w:color w:val="000000"/>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三级</w:t>
            </w:r>
          </w:p>
          <w:p>
            <w:pPr>
              <w:jc w:val="center"/>
              <w:rPr>
                <w:color w:val="000000"/>
              </w:rPr>
            </w:pPr>
            <w:r>
              <w:rPr>
                <w:color w:val="000000"/>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年度</w:t>
            </w:r>
          </w:p>
          <w:p>
            <w:pPr>
              <w:jc w:val="center"/>
              <w:rPr>
                <w:color w:val="000000"/>
              </w:rPr>
            </w:pPr>
            <w:r>
              <w:rPr>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全年</w:t>
            </w:r>
          </w:p>
          <w:p>
            <w:pPr>
              <w:jc w:val="center"/>
              <w:rPr>
                <w:color w:val="000000"/>
              </w:rPr>
            </w:pPr>
            <w:r>
              <w:rPr>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未完成原因分析</w:t>
            </w:r>
          </w:p>
          <w:p>
            <w:pPr>
              <w:widowControl/>
              <w:jc w:val="center"/>
              <w:textAlignment w:val="center"/>
              <w:rPr>
                <w:color w:val="000000"/>
              </w:rPr>
            </w:pPr>
            <w:r>
              <w:rPr>
                <w:color w:val="000000"/>
                <w:kern w:val="0"/>
                <w:szCs w:val="21"/>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p>
            <w:pPr>
              <w:jc w:val="center"/>
              <w:rPr>
                <w:color w:val="000000"/>
              </w:rPr>
            </w:pPr>
          </w:p>
          <w:p>
            <w:pPr>
              <w:jc w:val="center"/>
              <w:rPr>
                <w:color w:val="000000"/>
              </w:rPr>
            </w:pPr>
            <w:r>
              <w:rPr>
                <w:color w:val="000000"/>
              </w:rPr>
              <w:t>改进</w:t>
            </w:r>
          </w:p>
          <w:p>
            <w:pPr>
              <w:jc w:val="center"/>
              <w:rPr>
                <w:color w:val="000000"/>
              </w:rPr>
            </w:pPr>
            <w:r>
              <w:rPr>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运算</w:t>
            </w:r>
          </w:p>
          <w:p>
            <w:pPr>
              <w:jc w:val="center"/>
              <w:rPr>
                <w:color w:val="000000"/>
              </w:rPr>
            </w:pPr>
            <w:r>
              <w:rPr>
                <w:color w:val="000000"/>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经费</w:t>
            </w:r>
          </w:p>
          <w:p>
            <w:pPr>
              <w:widowControl/>
              <w:jc w:val="center"/>
              <w:textAlignment w:val="center"/>
              <w:rPr>
                <w:color w:val="000000"/>
              </w:rPr>
            </w:pPr>
            <w:r>
              <w:rPr>
                <w:color w:val="000000"/>
                <w:kern w:val="0"/>
                <w:szCs w:val="21"/>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制度</w:t>
            </w:r>
          </w:p>
          <w:p>
            <w:pPr>
              <w:widowControl/>
              <w:jc w:val="center"/>
              <w:textAlignment w:val="center"/>
              <w:rPr>
                <w:color w:val="000000"/>
              </w:rPr>
            </w:pPr>
            <w:r>
              <w:rPr>
                <w:color w:val="000000"/>
                <w:kern w:val="0"/>
                <w:szCs w:val="21"/>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人员</w:t>
            </w:r>
          </w:p>
          <w:p>
            <w:pPr>
              <w:widowControl/>
              <w:jc w:val="center"/>
              <w:textAlignment w:val="center"/>
              <w:rPr>
                <w:color w:val="000000"/>
              </w:rPr>
            </w:pPr>
            <w:r>
              <w:rPr>
                <w:color w:val="000000"/>
                <w:kern w:val="0"/>
                <w:szCs w:val="21"/>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rPr>
            </w:pPr>
            <w:r>
              <w:rPr>
                <w:color w:val="000000"/>
                <w:kern w:val="0"/>
                <w:szCs w:val="21"/>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eastAsia="宋体"/>
                <w:color w:val="000000"/>
                <w:kern w:val="0"/>
                <w:szCs w:val="21"/>
                <w:lang w:eastAsia="zh-CN" w:bidi="ar"/>
              </w:rPr>
            </w:pPr>
            <w:r>
              <w:rPr>
                <w:color w:val="000000"/>
                <w:kern w:val="0"/>
                <w:szCs w:val="21"/>
                <w:lang w:bidi="ar"/>
              </w:rPr>
              <w:t>原因</w:t>
            </w:r>
          </w:p>
          <w:p>
            <w:pPr>
              <w:widowControl/>
              <w:jc w:val="center"/>
              <w:textAlignment w:val="center"/>
              <w:rPr>
                <w:color w:val="000000"/>
              </w:rPr>
            </w:pPr>
            <w:r>
              <w:rPr>
                <w:color w:val="000000"/>
                <w:kern w:val="0"/>
                <w:szCs w:val="21"/>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产出</w:t>
            </w:r>
          </w:p>
          <w:p>
            <w:pPr>
              <w:jc w:val="center"/>
              <w:rPr>
                <w:color w:val="000000"/>
              </w:rPr>
            </w:pPr>
            <w:r>
              <w:rPr>
                <w:color w:val="000000"/>
              </w:rPr>
              <w:t>指标</w:t>
            </w:r>
          </w:p>
          <w:p>
            <w:pPr>
              <w:jc w:val="center"/>
              <w:rPr>
                <w:color w:val="000000"/>
              </w:rPr>
            </w:pPr>
          </w:p>
          <w:p>
            <w:pPr>
              <w:jc w:val="center"/>
              <w:rPr>
                <w:color w:val="000000"/>
              </w:rPr>
            </w:pPr>
          </w:p>
          <w:p>
            <w:pPr>
              <w:jc w:val="center"/>
              <w:rPr>
                <w:color w:val="000000"/>
              </w:rPr>
            </w:pPr>
            <w:r>
              <w:rPr>
                <w:color w:val="000000"/>
              </w:rPr>
              <w:t>产出</w:t>
            </w:r>
          </w:p>
          <w:p>
            <w:pPr>
              <w:jc w:val="center"/>
              <w:rPr>
                <w:color w:val="000000"/>
              </w:rPr>
            </w:pPr>
            <w:r>
              <w:rPr>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数量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rFonts w:hint="eastAsia"/>
                <w:color w:val="000000"/>
              </w:rPr>
              <w:t>展示示范面积</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eastAsia="仿宋_GB2312"/>
                <w:szCs w:val="21"/>
              </w:rPr>
            </w:pPr>
            <w:r>
              <w:rPr>
                <w:rFonts w:eastAsia="仿宋_GB2312"/>
                <w:szCs w:val="21"/>
              </w:rPr>
              <w:t>“≥”</w:t>
            </w:r>
          </w:p>
          <w:p>
            <w:pPr>
              <w:widowControl/>
              <w:ind w:firstLine="308" w:firstLineChars="0"/>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r>
              <w:rPr>
                <w:rFonts w:eastAsia="仿宋_GB2312"/>
                <w:szCs w:val="21"/>
              </w:rPr>
              <w:t>“≥”</w:t>
            </w:r>
          </w:p>
          <w:p>
            <w:pPr>
              <w:widowControl/>
              <w:ind w:firstLine="278" w:firstLineChars="0"/>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ind w:firstLine="323" w:firstLineChars="0"/>
              <w:jc w:val="left"/>
              <w:rPr>
                <w:rFonts w:eastAsia="仿宋_GB2312"/>
                <w:szCs w:val="21"/>
              </w:rPr>
            </w:pPr>
            <w:r>
              <w:rPr>
                <w:rFonts w:eastAsia="仿宋_GB2312"/>
                <w:szCs w:val="21"/>
              </w:rPr>
              <w:t>“=</w:t>
            </w:r>
          </w:p>
          <w:p>
            <w:pPr>
              <w:widowControl/>
              <w:jc w:val="left"/>
              <w:rPr>
                <w:rFonts w:eastAsia="仿宋_GB2312"/>
                <w:szCs w:val="21"/>
              </w:rPr>
            </w:pPr>
          </w:p>
          <w:p>
            <w:pPr>
              <w:widowControl/>
              <w:jc w:val="left"/>
              <w:rPr>
                <w:rFonts w:eastAsia="仿宋_GB2312"/>
                <w:szCs w:val="21"/>
              </w:rPr>
            </w:pPr>
          </w:p>
          <w:p>
            <w:pPr>
              <w:widowControl/>
              <w:jc w:val="left"/>
              <w:rPr>
                <w:rFonts w:eastAsia="仿宋_GB2312"/>
                <w:szCs w:val="21"/>
              </w:rPr>
            </w:pPr>
          </w:p>
          <w:p>
            <w:pPr>
              <w:widowControl/>
              <w:jc w:val="center"/>
              <w:rPr>
                <w:rFonts w:eastAsia="仿宋_GB2312"/>
                <w:szCs w:val="21"/>
              </w:rPr>
            </w:pP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rFonts w:eastAsia="仿宋_GB2312"/>
                <w:szCs w:val="21"/>
              </w:rPr>
            </w:pPr>
            <w:r>
              <w:rPr>
                <w:rFonts w:eastAsia="仿宋_GB2312"/>
                <w:szCs w:val="21"/>
              </w:rPr>
              <w:t>“＜”</w:t>
            </w:r>
          </w:p>
          <w:p>
            <w:pPr>
              <w:widowControl/>
              <w:jc w:val="center"/>
              <w:rPr>
                <w:kern w:val="0"/>
                <w:szCs w:val="21"/>
              </w:rPr>
            </w:pPr>
            <w:r>
              <w:rPr>
                <w:rFonts w:eastAsia="仿宋_GB2312"/>
                <w:szCs w:val="21"/>
              </w:rPr>
              <w:t>“＞”</w:t>
            </w:r>
          </w:p>
          <w:p>
            <w:pPr>
              <w:jc w:val="center"/>
              <w:rPr>
                <w:color w:val="000000"/>
              </w:rPr>
            </w:pPr>
          </w:p>
          <w:p>
            <w:pPr>
              <w:bidi w:val="0"/>
              <w:ind w:firstLine="218" w:firstLineChars="0"/>
              <w:jc w:val="left"/>
              <w:rPr>
                <w:rFonts w:eastAsia="仿宋_GB2312"/>
                <w:szCs w:val="21"/>
              </w:rPr>
            </w:pPr>
            <w:r>
              <w:rPr>
                <w:rFonts w:eastAsia="仿宋_GB2312"/>
                <w:szCs w:val="21"/>
              </w:rPr>
              <w:t>“≥”</w: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jc w:val="center"/>
              <w:rPr>
                <w:lang w:val="en-US" w:eastAsia="zh-CN"/>
              </w:rPr>
            </w:pPr>
            <w:r>
              <w:rPr>
                <w:rFonts w:eastAsia="仿宋_GB2312"/>
                <w:szCs w:val="21"/>
              </w:rPr>
              <w:t>“≥”</w:t>
            </w: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3000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亩</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3000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13</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13</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质量</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成果质量达标率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时效</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资金支付及时率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13</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13</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成本</w:t>
            </w:r>
          </w:p>
          <w:p>
            <w:pPr>
              <w:jc w:val="center"/>
              <w:rPr>
                <w:color w:val="000000"/>
              </w:rPr>
            </w:pPr>
            <w:r>
              <w:rPr>
                <w:color w:val="000000"/>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成本控制率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12</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效益</w:t>
            </w:r>
          </w:p>
          <w:p>
            <w:pPr>
              <w:jc w:val="center"/>
              <w:rPr>
                <w:color w:val="000000"/>
              </w:rPr>
            </w:pPr>
            <w:r>
              <w:rPr>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提高村民收入</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360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万元</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365</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101%</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减少化肥、农药使用量</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吨</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30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15</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服务对象满意率</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98</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both"/>
              <w:rPr>
                <w:color w:val="000000"/>
              </w:rPr>
            </w:pP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rPr>
            </w:pPr>
            <w:r>
              <w:rPr>
                <w:color w:val="000000"/>
                <w:kern w:val="0"/>
                <w:szCs w:val="21"/>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产出、效益、满意度指标自评得分小计</w:t>
            </w:r>
          </w:p>
          <w:p>
            <w:pPr>
              <w:jc w:val="center"/>
              <w:rPr>
                <w:color w:val="000000"/>
              </w:rPr>
            </w:pPr>
            <w:r>
              <w:rPr>
                <w:color w:val="000000"/>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237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预算执行率得分</w:t>
            </w:r>
          </w:p>
          <w:p>
            <w:pPr>
              <w:jc w:val="center"/>
              <w:rPr>
                <w:color w:val="000000"/>
              </w:rPr>
            </w:pPr>
            <w:r>
              <w:rPr>
                <w:color w:val="000000"/>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52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color w:val="000000"/>
              </w:rPr>
            </w:pPr>
            <w:r>
              <w:rPr>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r>
      <w:tr>
        <w:tblPrEx>
          <w:tblCellMar>
            <w:top w:w="0" w:type="dxa"/>
            <w:left w:w="0" w:type="dxa"/>
            <w:bottom w:w="0" w:type="dxa"/>
            <w:right w:w="0" w:type="dxa"/>
          </w:tblCellMar>
        </w:tblPrEx>
        <w:trPr>
          <w:trHeight w:val="747" w:hRule="atLeast"/>
          <w:jc w:val="center"/>
        </w:trPr>
        <w:tc>
          <w:tcPr>
            <w:tcW w:w="77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结果应用建议</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完善制度设计，建议进行</w:t>
            </w:r>
            <w:r>
              <w:rPr>
                <w:color w:val="000000"/>
                <w:kern w:val="0"/>
                <w:szCs w:val="21"/>
                <w:lang w:bidi="ar"/>
              </w:rPr>
              <w:t>政策调整</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w:t>
            </w:r>
            <w:r>
              <w:rPr>
                <w:color w:val="000000"/>
                <w:kern w:val="0"/>
                <w:szCs w:val="21"/>
                <w:lang w:bidi="ar"/>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主管</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kern w:val="0"/>
                <w:szCs w:val="21"/>
                <w:lang w:bidi="ar"/>
              </w:rPr>
            </w:pPr>
            <w:r>
              <w:rPr>
                <w:color w:val="000000"/>
                <w:kern w:val="0"/>
                <w:szCs w:val="21"/>
                <w:lang w:bidi="ar"/>
              </w:rPr>
              <w:t>意见</w:t>
            </w:r>
          </w:p>
          <w:p>
            <w:pPr>
              <w:widowControl/>
              <w:jc w:val="center"/>
              <w:textAlignment w:val="center"/>
              <w:rPr>
                <w:color w:val="000000"/>
              </w:rPr>
            </w:pPr>
            <w:r>
              <w:rPr>
                <w:color w:val="000000"/>
                <w:kern w:val="0"/>
                <w:szCs w:val="21"/>
                <w:lang w:bidi="ar"/>
              </w:rPr>
              <w:t>（请在相应选项</w:t>
            </w:r>
            <w:r>
              <w:rPr>
                <w:rFonts w:hint="eastAsia"/>
                <w:color w:val="000000"/>
                <w:szCs w:val="21"/>
                <w:lang w:eastAsia="zh-CN"/>
              </w:rPr>
              <w:t>□</w:t>
            </w:r>
            <w:r>
              <w:rPr>
                <w:color w:val="000000"/>
                <w:szCs w:val="21"/>
              </w:rPr>
              <w:t>内</w:t>
            </w:r>
            <w:r>
              <w:rPr>
                <w:color w:val="000000"/>
                <w:kern w:val="0"/>
                <w:szCs w:val="21"/>
                <w:lang w:bidi="ar"/>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color w:val="000000"/>
                <w:kern w:val="0"/>
                <w:szCs w:val="21"/>
                <w:lang w:bidi="ar"/>
              </w:rPr>
            </w:pPr>
          </w:p>
          <w:p>
            <w:pPr>
              <w:rPr>
                <w:rFonts w:hint="eastAsia" w:eastAsia="宋体"/>
                <w:color w:val="000000"/>
                <w:kern w:val="0"/>
                <w:szCs w:val="21"/>
                <w:lang w:eastAsia="zh-CN" w:bidi="ar"/>
              </w:rPr>
            </w:pPr>
          </w:p>
          <w:p>
            <w:pPr>
              <w:rPr>
                <w:rFonts w:hint="eastAsia" w:eastAsia="宋体"/>
                <w:color w:val="000000"/>
                <w:kern w:val="0"/>
                <w:szCs w:val="21"/>
                <w:lang w:eastAsia="zh-CN" w:bidi="ar"/>
              </w:rPr>
            </w:pPr>
            <w:r>
              <w:rPr>
                <w:color w:val="000000"/>
                <w:kern w:val="0"/>
                <w:szCs w:val="21"/>
                <w:lang w:bidi="ar"/>
              </w:rPr>
              <w:t xml:space="preserve">              </w:t>
            </w:r>
          </w:p>
          <w:p>
            <w:pPr>
              <w:rPr>
                <w:rFonts w:hint="eastAsia" w:eastAsia="宋体"/>
                <w:color w:val="000000"/>
                <w:kern w:val="0"/>
                <w:szCs w:val="21"/>
                <w:lang w:eastAsia="zh-CN" w:bidi="ar"/>
              </w:rPr>
            </w:pPr>
            <w:r>
              <w:rPr>
                <w:color w:val="000000"/>
                <w:kern w:val="0"/>
                <w:szCs w:val="21"/>
                <w:lang w:bidi="ar"/>
              </w:rPr>
              <w:t xml:space="preserve">                         主管部门公章                                                                                                                          </w:t>
            </w:r>
          </w:p>
          <w:p>
            <w:pPr>
              <w:rPr>
                <w:rFonts w:hint="eastAsia" w:eastAsia="宋体"/>
                <w:color w:val="000000"/>
                <w:kern w:val="0"/>
                <w:szCs w:val="21"/>
                <w:lang w:eastAsia="zh-CN" w:bidi="ar"/>
              </w:rPr>
            </w:pPr>
            <w:r>
              <w:rPr>
                <w:color w:val="000000"/>
                <w:kern w:val="0"/>
                <w:szCs w:val="21"/>
                <w:lang w:bidi="ar"/>
              </w:rPr>
              <w:t xml:space="preserve">                                      </w:t>
            </w:r>
          </w:p>
          <w:p>
            <w:pPr>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kern w:val="0"/>
                <w:szCs w:val="21"/>
                <w:lang w:bidi="ar"/>
              </w:rPr>
            </w:pPr>
            <w:r>
              <w:rPr>
                <w:color w:val="000000"/>
                <w:kern w:val="0"/>
                <w:szCs w:val="21"/>
                <w:lang w:bidi="ar"/>
              </w:rPr>
              <w:t>财政</w:t>
            </w:r>
          </w:p>
          <w:p>
            <w:pPr>
              <w:widowControl/>
              <w:jc w:val="center"/>
              <w:textAlignment w:val="center"/>
              <w:rPr>
                <w:rFonts w:hint="eastAsia" w:eastAsia="宋体"/>
                <w:color w:val="000000"/>
                <w:kern w:val="0"/>
                <w:szCs w:val="21"/>
                <w:lang w:eastAsia="zh-CN" w:bidi="ar"/>
              </w:rPr>
            </w:pPr>
            <w:r>
              <w:rPr>
                <w:color w:val="000000"/>
                <w:kern w:val="0"/>
                <w:szCs w:val="21"/>
                <w:lang w:bidi="ar"/>
              </w:rPr>
              <w:t>部门</w:t>
            </w:r>
          </w:p>
          <w:p>
            <w:pPr>
              <w:widowControl/>
              <w:jc w:val="center"/>
              <w:textAlignment w:val="center"/>
              <w:rPr>
                <w:color w:val="000000"/>
                <w:kern w:val="0"/>
                <w:szCs w:val="21"/>
                <w:lang w:bidi="ar"/>
              </w:rPr>
            </w:pPr>
            <w:r>
              <w:rPr>
                <w:color w:val="000000"/>
                <w:kern w:val="0"/>
                <w:szCs w:val="21"/>
                <w:lang w:bidi="ar"/>
              </w:rPr>
              <w:t>审核</w:t>
            </w:r>
          </w:p>
          <w:p>
            <w:pPr>
              <w:widowControl/>
              <w:jc w:val="center"/>
              <w:textAlignment w:val="center"/>
              <w:rPr>
                <w:color w:val="000000"/>
              </w:rPr>
            </w:pPr>
            <w:r>
              <w:rPr>
                <w:color w:val="000000"/>
                <w:kern w:val="0"/>
                <w:szCs w:val="21"/>
                <w:lang w:bidi="ar"/>
              </w:rPr>
              <w:t>意见</w:t>
            </w:r>
          </w:p>
        </w:tc>
        <w:tc>
          <w:tcPr>
            <w:tcW w:w="4500" w:type="dxa"/>
            <w:gridSpan w:val="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rPr>
            </w:pPr>
            <w:r>
              <w:rPr>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eastAsia="宋体"/>
                <w:color w:val="000000"/>
                <w:kern w:val="0"/>
                <w:szCs w:val="21"/>
                <w:lang w:eastAsia="zh-CN" w:bidi="ar"/>
              </w:rPr>
            </w:pPr>
            <w:r>
              <w:rPr>
                <w:color w:val="000000"/>
                <w:kern w:val="0"/>
                <w:szCs w:val="21"/>
                <w:lang w:bidi="ar"/>
              </w:rPr>
              <w:t>总体意见：</w:t>
            </w: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color w:val="000000"/>
                <w:kern w:val="0"/>
                <w:szCs w:val="21"/>
                <w:lang w:bidi="ar"/>
              </w:rPr>
            </w:pPr>
          </w:p>
          <w:p>
            <w:pPr>
              <w:widowControl/>
              <w:jc w:val="left"/>
              <w:textAlignment w:val="top"/>
              <w:rPr>
                <w:color w:val="000000"/>
                <w:kern w:val="0"/>
                <w:szCs w:val="21"/>
                <w:lang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r>
              <w:rPr>
                <w:rFonts w:hint="eastAsia" w:hAnsi="宋体"/>
                <w:color w:val="000000"/>
                <w:kern w:val="0"/>
                <w:szCs w:val="21"/>
                <w:lang w:bidi="ar"/>
              </w:rPr>
              <w:t>财政部门</w:t>
            </w:r>
            <w:r>
              <w:rPr>
                <w:rFonts w:hAnsi="宋体"/>
                <w:color w:val="000000"/>
                <w:kern w:val="0"/>
                <w:szCs w:val="21"/>
                <w:lang w:bidi="ar"/>
              </w:rPr>
              <w:t>公章</w:t>
            </w:r>
            <w:r>
              <w:rPr>
                <w:color w:val="000000"/>
                <w:kern w:val="0"/>
                <w:szCs w:val="21"/>
                <w:lang w:bidi="ar"/>
              </w:rPr>
              <w:t xml:space="preserve">                                                                                                                          </w:t>
            </w:r>
          </w:p>
          <w:p>
            <w:pPr>
              <w:widowControl/>
              <w:jc w:val="left"/>
              <w:textAlignment w:val="top"/>
              <w:rPr>
                <w:rFonts w:hint="eastAsia" w:eastAsia="宋体"/>
                <w:color w:val="000000"/>
                <w:kern w:val="0"/>
                <w:szCs w:val="21"/>
                <w:lang w:eastAsia="zh-CN" w:bidi="ar"/>
              </w:rPr>
            </w:pPr>
            <w:r>
              <w:rPr>
                <w:color w:val="000000"/>
                <w:kern w:val="0"/>
                <w:szCs w:val="21"/>
                <w:lang w:bidi="ar"/>
              </w:rPr>
              <w:t xml:space="preserve">                                      </w:t>
            </w:r>
          </w:p>
          <w:p>
            <w:pPr>
              <w:widowControl/>
              <w:jc w:val="left"/>
              <w:textAlignment w:val="top"/>
              <w:rPr>
                <w:color w:val="000000"/>
              </w:rPr>
            </w:pPr>
            <w:r>
              <w:rPr>
                <w:color w:val="000000"/>
                <w:kern w:val="0"/>
                <w:szCs w:val="21"/>
                <w:lang w:bidi="ar"/>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noWrap w:val="0"/>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sym w:font="Wingdings 2" w:char="0052"/>
            </w:r>
            <w:r>
              <w:rPr>
                <w:color w:val="000000"/>
                <w:szCs w:val="21"/>
              </w:rPr>
              <w:t>建议继续全额安排</w:t>
            </w:r>
          </w:p>
        </w:tc>
        <w:tc>
          <w:tcPr>
            <w:tcW w:w="3997" w:type="dxa"/>
            <w:gridSpan w:val="11"/>
            <w:vMerge w:val="continue"/>
            <w:tcBorders>
              <w:top w:val="single" w:color="auto" w:sz="4" w:space="0"/>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szCs w:val="21"/>
              </w:rPr>
              <w:t>建议继续安排，</w:t>
            </w:r>
            <w:r>
              <w:rPr>
                <w:color w:val="000000"/>
                <w:kern w:val="0"/>
                <w:szCs w:val="21"/>
                <w:lang w:bidi="ar"/>
              </w:rPr>
              <w:t>按规定调整下一年度预算金额</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jc w:val="left"/>
              <w:rPr>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szCs w:val="21"/>
              </w:rPr>
            </w:pPr>
            <w:r>
              <w:rPr>
                <w:rFonts w:hint="eastAsia"/>
                <w:color w:val="000000"/>
                <w:szCs w:val="21"/>
                <w:lang w:eastAsia="zh-CN"/>
              </w:rPr>
              <w:t>□</w:t>
            </w:r>
            <w:r>
              <w:rPr>
                <w:color w:val="000000"/>
                <w:kern w:val="0"/>
                <w:szCs w:val="21"/>
                <w:lang w:bidi="ar"/>
              </w:rPr>
              <w:t>改进预算项目管理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jc w:val="left"/>
              <w:rPr>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规范财政资金管理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进行</w:t>
            </w:r>
            <w:r>
              <w:rPr>
                <w:color w:val="000000"/>
                <w:kern w:val="0"/>
                <w:szCs w:val="21"/>
                <w:lang w:bidi="ar"/>
              </w:rPr>
              <w:t>政策调整</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政策到期重新发布</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kern w:val="0"/>
                <w:szCs w:val="21"/>
                <w:lang w:bidi="ar"/>
              </w:rPr>
              <w:t>调整公共服务标准</w:t>
            </w:r>
          </w:p>
        </w:tc>
        <w:tc>
          <w:tcPr>
            <w:tcW w:w="3997" w:type="dxa"/>
            <w:gridSpan w:val="11"/>
            <w:vMerge w:val="continue"/>
            <w:tcBorders>
              <w:left w:val="nil"/>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left"/>
              <w:rPr>
                <w:color w:val="000000"/>
              </w:rPr>
            </w:pPr>
            <w:r>
              <w:rPr>
                <w:rFonts w:hint="eastAsia"/>
                <w:color w:val="000000"/>
                <w:szCs w:val="21"/>
                <w:lang w:eastAsia="zh-CN"/>
              </w:rPr>
              <w:t>□</w:t>
            </w:r>
            <w:r>
              <w:rPr>
                <w:color w:val="000000"/>
                <w:szCs w:val="21"/>
              </w:rPr>
              <w:t>其他意见</w:t>
            </w:r>
          </w:p>
        </w:tc>
        <w:tc>
          <w:tcPr>
            <w:tcW w:w="3997" w:type="dxa"/>
            <w:gridSpan w:val="11"/>
            <w:vMerge w:val="continue"/>
            <w:tcBorders>
              <w:left w:val="nil"/>
              <w:bottom w:val="single" w:color="000000" w:sz="4" w:space="0"/>
              <w:right w:val="single" w:color="auto" w:sz="4" w:space="0"/>
            </w:tcBorders>
            <w:noWrap w:val="0"/>
            <w:tcMar>
              <w:top w:w="15" w:type="dxa"/>
              <w:left w:w="15" w:type="dxa"/>
              <w:bottom w:w="0" w:type="dxa"/>
              <w:right w:w="15" w:type="dxa"/>
            </w:tcMar>
            <w:vAlign w:val="top"/>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2"/>
            <w:noWrap w:val="0"/>
            <w:tcMar>
              <w:top w:w="15" w:type="dxa"/>
              <w:left w:w="15" w:type="dxa"/>
              <w:bottom w:w="0" w:type="dxa"/>
              <w:right w:w="15" w:type="dxa"/>
            </w:tcMar>
            <w:vAlign w:val="top"/>
          </w:tcPr>
          <w:p>
            <w:pPr>
              <w:widowControl/>
              <w:jc w:val="left"/>
              <w:textAlignment w:val="center"/>
              <w:rPr>
                <w:color w:val="000000"/>
                <w:kern w:val="0"/>
                <w:sz w:val="18"/>
                <w:szCs w:val="18"/>
                <w:lang w:bidi="ar"/>
              </w:rPr>
            </w:pPr>
            <w:r>
              <w:rPr>
                <w:color w:val="000000"/>
                <w:kern w:val="0"/>
                <w:sz w:val="18"/>
                <w:szCs w:val="18"/>
                <w:lang w:bidi="ar"/>
              </w:rPr>
              <w:t>注：1.项目预算金额以万元为单位,保留两位小数。</w:t>
            </w:r>
          </w:p>
          <w:p>
            <w:pPr>
              <w:widowControl/>
              <w:jc w:val="left"/>
              <w:textAlignment w:val="center"/>
              <w:rPr>
                <w:rFonts w:hint="eastAsia" w:eastAsia="宋体"/>
                <w:color w:val="000000"/>
                <w:kern w:val="0"/>
                <w:sz w:val="18"/>
                <w:szCs w:val="18"/>
                <w:lang w:eastAsia="zh-CN" w:bidi="ar"/>
              </w:rPr>
            </w:pPr>
            <w:r>
              <w:rPr>
                <w:color w:val="000000"/>
                <w:kern w:val="0"/>
                <w:sz w:val="18"/>
                <w:szCs w:val="18"/>
                <w:lang w:bidi="ar"/>
              </w:rPr>
              <w:t xml:space="preserve">    2.未完成原因中可以同时勾选多项原因，并在原因说明中逐项进行说明。</w:t>
            </w:r>
          </w:p>
          <w:p>
            <w:pPr>
              <w:widowControl/>
              <w:jc w:val="left"/>
              <w:textAlignment w:val="center"/>
              <w:rPr>
                <w:color w:val="000000"/>
              </w:rPr>
            </w:pPr>
            <w:r>
              <w:rPr>
                <w:color w:val="000000"/>
                <w:kern w:val="0"/>
                <w:sz w:val="18"/>
                <w:szCs w:val="18"/>
                <w:lang w:bidi="ar"/>
              </w:rPr>
              <w:t xml:space="preserve">   </w:t>
            </w:r>
          </w:p>
        </w:tc>
      </w:tr>
    </w:tbl>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spacing w:line="584" w:lineRule="exact"/>
        <w:rPr>
          <w:rFonts w:hint="eastAsia"/>
          <w:b/>
          <w:bCs/>
          <w:color w:val="000000"/>
          <w:sz w:val="44"/>
          <w:szCs w:val="44"/>
          <w:highlight w:val="yellow"/>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pPr>
        <w:jc w:val="left"/>
        <w:rPr>
          <w:rFonts w:hint="eastAsia" w:ascii="仿宋_GB2312" w:eastAsia="仿宋_GB2312"/>
          <w:spacing w:val="0"/>
          <w:kern w:val="0"/>
          <w:sz w:val="28"/>
          <w:szCs w:val="28"/>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ODA4N2JmODRjYjJhZDViOWU1MmEwYjkxMTk1M2EifQ=="/>
  </w:docVars>
  <w:rsids>
    <w:rsidRoot w:val="248B350F"/>
    <w:rsid w:val="09583A2B"/>
    <w:rsid w:val="0EA625FF"/>
    <w:rsid w:val="11A06161"/>
    <w:rsid w:val="19DA1FB6"/>
    <w:rsid w:val="2230273B"/>
    <w:rsid w:val="248B350F"/>
    <w:rsid w:val="268D436B"/>
    <w:rsid w:val="36EC7EB3"/>
    <w:rsid w:val="3AA20326"/>
    <w:rsid w:val="439F2E39"/>
    <w:rsid w:val="6B66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1076</Words>
  <Characters>1222</Characters>
  <Lines>0</Lines>
  <Paragraphs>0</Paragraphs>
  <TotalTime>3</TotalTime>
  <ScaleCrop>false</ScaleCrop>
  <LinksUpToDate>false</LinksUpToDate>
  <CharactersWithSpaces>1745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2022-10-10T05:56:00Z</dcterms:created>
  <dc:creator>dell</dc:creator>
  <cp:lastModifiedBy>dell</cp:lastModifiedBy>
  <dcterms:modified xsi:type="dcterms:W3CDTF">2022-12-29T06:23:59Z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72230727C1164634A9CABC4B16FE89E5</vt:lpwstr>
  </property>
</Properties>
</file>