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最低生活保障</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民政局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2523</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2523</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2523</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2523</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2523</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2523</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保障困难群体基本生活，维护社会稳定</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低保对象全部及时足额发放</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rFonts w:hint="eastAsia" w:eastAsia="宋体"/>
                <w:color w:val="000000"/>
                <w:lang w:val="en-US" w:eastAsia="zh-CN"/>
              </w:rPr>
            </w:pPr>
            <w:r>
              <w:rPr>
                <w:rFonts w:hint="eastAsia"/>
                <w:color w:val="000000"/>
                <w:lang w:val="en-US" w:eastAsia="zh-CN"/>
              </w:rPr>
              <w:t>低保对象人数</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23"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293"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3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widowControl/>
              <w:jc w:val="center"/>
              <w:rPr>
                <w:rFonts w:eastAsia="仿宋_GB2312"/>
                <w:szCs w:val="21"/>
              </w:rPr>
            </w:pPr>
            <w:r>
              <w:rPr>
                <w:rFonts w:eastAsia="仿宋_GB2312"/>
                <w:szCs w:val="21"/>
              </w:rPr>
              <w:t>“≥”</w:t>
            </w:r>
          </w:p>
          <w:p>
            <w:pPr>
              <w:bidi w:val="0"/>
              <w:jc w:val="left"/>
              <w:rPr>
                <w:lang w:val="en-US" w:eastAsia="zh-CN"/>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rPr>
                <w:lang w:val="en-US" w:eastAsia="zh-CN"/>
              </w:rPr>
            </w:pPr>
          </w:p>
          <w:p>
            <w:pPr>
              <w:bidi w:val="0"/>
              <w:ind w:firstLine="353" w:firstLineChars="0"/>
              <w:jc w:val="left"/>
              <w:rPr>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3267</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人</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3267</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低保对象准确率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低保发放及时率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城市低保标准</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0.78</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万元/年</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0.78</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困难群体生活水平提升率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6</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6</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政策持续性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低保对象满意度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bookmarkStart w:id="0" w:name="_GoBack"/>
            <w:bookmarkEnd w:id="0"/>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5B25963"/>
    <w:rsid w:val="2230273B"/>
    <w:rsid w:val="233F0005"/>
    <w:rsid w:val="248B350F"/>
    <w:rsid w:val="268D436B"/>
    <w:rsid w:val="290007D9"/>
    <w:rsid w:val="362021B5"/>
    <w:rsid w:val="37B07132"/>
    <w:rsid w:val="3E596B92"/>
    <w:rsid w:val="40AB528F"/>
    <w:rsid w:val="50E87140"/>
    <w:rsid w:val="5A19422E"/>
    <w:rsid w:val="74DC5231"/>
    <w:rsid w:val="7EEA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1048</Words>
  <Characters>1186</Characters>
  <Lines>0</Lines>
  <Paragraphs>0</Paragraphs>
  <TotalTime>1</TotalTime>
  <ScaleCrop>false</ScaleCrop>
  <LinksUpToDate>false</LinksUpToDate>
  <CharactersWithSpaces>1709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2022-12-29T07:57:12Z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