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桓仁</w:t>
      </w:r>
      <w:r>
        <w:rPr>
          <w:rFonts w:hint="eastAsia" w:ascii="宋体" w:hAnsi="宋体"/>
          <w:b/>
          <w:sz w:val="52"/>
          <w:szCs w:val="52"/>
          <w:lang w:eastAsia="zh-CN"/>
        </w:rPr>
        <w:t>满族自治</w:t>
      </w:r>
      <w:r>
        <w:rPr>
          <w:rFonts w:hint="eastAsia" w:ascii="宋体" w:hAnsi="宋体"/>
          <w:b/>
          <w:sz w:val="52"/>
          <w:szCs w:val="52"/>
        </w:rPr>
        <w:t>县大雅河水利枢纽</w:t>
      </w:r>
    </w:p>
    <w:p>
      <w:pPr>
        <w:spacing w:line="540" w:lineRule="exact"/>
        <w:jc w:val="center"/>
        <w:rPr>
          <w:rFonts w:hint="eastAsia" w:ascii="宋体" w:hAnsi="宋体"/>
          <w:b/>
          <w:sz w:val="52"/>
          <w:szCs w:val="52"/>
        </w:rPr>
      </w:pPr>
      <w:r>
        <w:rPr>
          <w:rFonts w:hint="eastAsia" w:ascii="宋体" w:hAnsi="宋体"/>
          <w:b/>
          <w:sz w:val="52"/>
          <w:szCs w:val="52"/>
        </w:rPr>
        <w:t>工程建设局2017年度部门决算</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both"/>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桓仁县大雅河水利枢纽工程建设局概况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第二部分    桓仁县大雅河水利枢纽工程建设局2017年度部门决算报表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2017年度收入支出决算总表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二、2017</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三、2017</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2017年度财政拨款收入支出决算表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2017年度财政专户管理资金收入支出决算表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201</w:t>
      </w:r>
      <w:r>
        <w:rPr>
          <w:rFonts w:hint="eastAsia" w:ascii="仿宋_GB2312" w:eastAsia="仿宋_GB2312"/>
          <w:sz w:val="32"/>
          <w:szCs w:val="32"/>
        </w:rPr>
        <w:t>7</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第三部分    桓仁县大雅河水利枢纽工程建设局2017年度部门决算情况说明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第一部分 桓仁县大雅河水利枢纽工程建设局概况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480" w:lineRule="auto"/>
        <w:ind w:firstLine="640" w:firstLineChars="200"/>
        <w:rPr>
          <w:rFonts w:hint="eastAsia" w:ascii="仿宋_GB2312" w:hAnsi="宋体" w:eastAsia="仿宋_GB2312" w:cs="宋体"/>
          <w:kern w:val="0"/>
          <w:sz w:val="32"/>
          <w:szCs w:val="32"/>
        </w:rPr>
      </w:pPr>
      <w:r>
        <w:rPr>
          <w:rFonts w:hint="eastAsia" w:ascii="仿宋_GB2312" w:hAnsi="黑体" w:eastAsia="仿宋_GB2312"/>
          <w:sz w:val="32"/>
          <w:szCs w:val="32"/>
        </w:rPr>
        <w:t>（一）</w:t>
      </w:r>
      <w:r>
        <w:rPr>
          <w:rFonts w:hint="eastAsia" w:ascii="仿宋_GB2312" w:hAnsi="宋体" w:eastAsia="仿宋_GB2312" w:cs="宋体"/>
          <w:color w:val="000000"/>
          <w:kern w:val="0"/>
          <w:sz w:val="32"/>
          <w:szCs w:val="32"/>
        </w:rPr>
        <w:t>负责大雅河流域水利工程的前期工作和工程建设工作，负责大雅河水利枢纽工程对外联络工作。</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（二）起草财政、财务、会计管理的地方性法规、规章草案。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三）承担县本级各项财政收支管理的责任；负责编制年度县本级预算草案并组织执行；受县政府委托，向县人民代表大会报告全县和县本级年度财政预算（草案）及其执行情况，向县人大常委会报告财政决算；组织制定经费开支标准、定额，负责审核批复部门（单位）的年度预决算；完善转移支付制度；指导县（区）、乡（镇）财政管理工作。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（四）负责政府非税收入管理，按规定管理行政事业性收费、政府性基金及其他非税收入；管理财政票据；研究拟订全县彩票管理政策和办法，按规定管理彩票资金。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（五）组织制定全县财政国库管理和国库集中收付制度，指导和监督全县财政国库业务。</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（六）贯彻执行国家税收法律、行政法规及有关政策并组织实施。</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（七）负责制定县政府采购制度，监督管理采购活动。</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（八）负责制定全县行政事业单位国有资产管理的规章制度，管理行政事业单位国有资产，研究制定需要全县统一规定的开支标准和支出政策。</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九）负责审核和汇总编制全县国有资本经营预决算草案，制定国有资本经营预算的制度和办法，收取县本级企业国有资本收益，贯彻国家企业财务制度，拟订并组织执行全县企业财务管理法规和制度，按规定管理金融类企业国有资产和资产评估工作。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（十）负责办理和监督县财政的经济发展支出、中央和省、县政府性投资项目的财政</w:t>
      </w:r>
      <w:r>
        <w:rPr>
          <w:rFonts w:hint="eastAsia" w:ascii="仿宋_GB2312" w:hAnsi="宋体" w:eastAsia="仿宋_GB2312" w:cs="宋体"/>
          <w:color w:val="000000"/>
          <w:kern w:val="0"/>
          <w:sz w:val="32"/>
          <w:szCs w:val="32"/>
          <w:lang w:eastAsia="zh-CN"/>
        </w:rPr>
        <w:t>拨</w:t>
      </w:r>
      <w:bookmarkStart w:id="0" w:name="_GoBack"/>
      <w:bookmarkEnd w:id="0"/>
      <w:r>
        <w:rPr>
          <w:rFonts w:hint="eastAsia" w:ascii="仿宋_GB2312" w:hAnsi="宋体" w:eastAsia="仿宋_GB2312" w:cs="宋体"/>
          <w:color w:val="000000"/>
          <w:kern w:val="0"/>
          <w:sz w:val="32"/>
          <w:szCs w:val="32"/>
        </w:rPr>
        <w:t xml:space="preserve">款，参与拟订县建设投资的有关政策，制定基本建设财务制度，负责有关政策性补贴和专项储备资金财政管理工作；组织审查财政性投资工程预（结）算、竣工决算；承担国家赔偿费用管理工作；负责农业综合开发管理工作。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（十一）会同有关部门拟订全县社会保障资金（基金）的财务管理制度，编制县本级社会保障预决算草案，会同有关部门管理县财政社会保障和就业及医疗卫生支出。</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十二）贯彻执行国家关于政府内债管理的制度和政策，拟订全县政府性债务管理制度和办法，防范财政风险；管理政府外债，制定基本管理制度；按规定管理外国政府和国际金融组织贷（赠）款，参与涉外债务谈判。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（十三）监督和规范会计行为，制定全县会计管理制度并组织实施，指导和管理社会审计。</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（十四）监督检查财税法规、政策的执行情况和财政资金使用管理情况，反映财政收支管理中的重大问题，提出加强财政管理的政策建议。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（十五）承办县政府交办的其他事项。</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纳入桓仁县大雅河水利枢纽工程建设局2017年部门决算编制范围的二级预算单位包括：</w:t>
      </w:r>
    </w:p>
    <w:p>
      <w:pPr>
        <w:spacing w:line="540" w:lineRule="exact"/>
        <w:jc w:val="center"/>
        <w:rPr>
          <w:rFonts w:hint="eastAsia" w:ascii="宋体" w:hAnsi="宋体" w:eastAsia="宋体"/>
          <w:b w:val="0"/>
          <w:bCs/>
          <w:sz w:val="36"/>
          <w:szCs w:val="36"/>
          <w:lang w:eastAsia="zh-CN"/>
        </w:rPr>
      </w:pPr>
      <w:r>
        <w:rPr>
          <w:rFonts w:hint="eastAsia" w:ascii="宋体" w:hAnsi="宋体"/>
          <w:b w:val="0"/>
          <w:bCs/>
          <w:sz w:val="36"/>
          <w:szCs w:val="36"/>
          <w:lang w:eastAsia="zh-CN"/>
        </w:rPr>
        <w:t>无</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both"/>
        <w:rPr>
          <w:rFonts w:hint="eastAsia" w:ascii="宋体" w:hAnsi="宋体"/>
          <w:b/>
          <w:sz w:val="36"/>
          <w:szCs w:val="36"/>
        </w:rPr>
      </w:pPr>
    </w:p>
    <w:p>
      <w:pPr>
        <w:spacing w:line="540" w:lineRule="exact"/>
        <w:jc w:val="both"/>
        <w:rPr>
          <w:rFonts w:hint="eastAsia" w:ascii="宋体" w:hAnsi="宋体"/>
          <w:b/>
          <w:sz w:val="36"/>
          <w:szCs w:val="36"/>
        </w:rPr>
      </w:pPr>
    </w:p>
    <w:p>
      <w:pPr>
        <w:spacing w:line="540" w:lineRule="exact"/>
        <w:jc w:val="both"/>
        <w:rPr>
          <w:rFonts w:hint="eastAsia" w:ascii="宋体" w:hAnsi="宋体"/>
          <w:b/>
          <w:sz w:val="36"/>
          <w:szCs w:val="36"/>
        </w:rPr>
      </w:pPr>
    </w:p>
    <w:p>
      <w:pPr>
        <w:numPr>
          <w:ilvl w:val="0"/>
          <w:numId w:val="2"/>
        </w:numPr>
        <w:rPr>
          <w:rFonts w:hint="eastAsia" w:ascii="宋体" w:hAnsi="宋体"/>
          <w:b/>
          <w:sz w:val="36"/>
          <w:szCs w:val="36"/>
          <w:lang w:eastAsia="zh-CN"/>
        </w:rPr>
      </w:pPr>
      <w:r>
        <w:rPr>
          <w:rFonts w:hint="eastAsia" w:ascii="宋体" w:hAnsi="宋体"/>
          <w:b/>
          <w:sz w:val="36"/>
          <w:szCs w:val="36"/>
        </w:rPr>
        <w:t>桓仁县大雅河水利枢纽工程建设局2017年度部门决算公开报</w:t>
      </w:r>
      <w:r>
        <w:rPr>
          <w:rFonts w:hint="eastAsia" w:ascii="宋体" w:hAnsi="宋体"/>
          <w:b/>
          <w:sz w:val="36"/>
          <w:szCs w:val="36"/>
          <w:lang w:eastAsia="zh-CN"/>
        </w:rPr>
        <w:t>表</w:t>
      </w:r>
    </w:p>
    <w:p>
      <w:pPr>
        <w:numPr>
          <w:ilvl w:val="0"/>
          <w:numId w:val="0"/>
        </w:numPr>
        <w:rPr>
          <w:rFonts w:hint="eastAsia" w:ascii="宋体" w:hAnsi="宋体"/>
          <w:b/>
          <w:sz w:val="36"/>
          <w:szCs w:val="36"/>
          <w:lang w:val="en-US" w:eastAsia="zh-CN"/>
        </w:rPr>
      </w:pPr>
    </w:p>
    <w:p>
      <w:pPr>
        <w:numPr>
          <w:ilvl w:val="0"/>
          <w:numId w:val="0"/>
        </w:numPr>
        <w:rPr>
          <w:rFonts w:hint="eastAsia" w:ascii="宋体" w:hAnsi="宋体"/>
          <w:b/>
          <w:sz w:val="36"/>
          <w:szCs w:val="36"/>
          <w:lang w:val="en-US" w:eastAsia="zh-CN"/>
        </w:rPr>
      </w:pPr>
    </w:p>
    <w:p>
      <w:pPr>
        <w:numPr>
          <w:ilvl w:val="0"/>
          <w:numId w:val="0"/>
        </w:numPr>
        <w:jc w:val="center"/>
        <w:rPr>
          <w:rFonts w:hint="eastAsia" w:ascii="宋体" w:hAnsi="宋体"/>
          <w:b w:val="0"/>
          <w:bCs/>
          <w:sz w:val="36"/>
          <w:szCs w:val="36"/>
          <w:lang w:val="en-US" w:eastAsia="zh-CN"/>
        </w:rPr>
      </w:pPr>
      <w:r>
        <w:rPr>
          <w:rFonts w:hint="eastAsia" w:ascii="宋体" w:hAnsi="宋体" w:eastAsia="宋体" w:cs="Times New Roman"/>
          <w:b w:val="0"/>
          <w:bCs/>
          <w:kern w:val="2"/>
          <w:sz w:val="36"/>
          <w:szCs w:val="36"/>
          <w:lang w:val="en-US" w:eastAsia="zh-CN" w:bidi="ar-SA"/>
        </w:rPr>
        <w:object>
          <v:shape id="_x0000_i1025" o:spt="75" type="#_x0000_t75" style="height:66pt;width:72.75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p>
      <w:pPr>
        <w:numPr>
          <w:ilvl w:val="0"/>
          <w:numId w:val="0"/>
        </w:numPr>
        <w:jc w:val="center"/>
        <w:rPr>
          <w:rFonts w:hint="eastAsia" w:ascii="宋体" w:hAnsi="宋体"/>
          <w:b w:val="0"/>
          <w:bCs/>
          <w:sz w:val="36"/>
          <w:szCs w:val="36"/>
          <w:lang w:val="en-US" w:eastAsia="zh-CN"/>
        </w:rPr>
      </w:pPr>
    </w:p>
    <w:p>
      <w:pPr>
        <w:numPr>
          <w:ilvl w:val="0"/>
          <w:numId w:val="0"/>
        </w:numPr>
        <w:jc w:val="center"/>
        <w:rPr>
          <w:rFonts w:hint="eastAsia" w:ascii="宋体" w:hAnsi="宋体"/>
          <w:b w:val="0"/>
          <w:bCs/>
          <w:sz w:val="36"/>
          <w:szCs w:val="36"/>
          <w:lang w:val="en-US" w:eastAsia="zh-CN"/>
        </w:rPr>
      </w:pPr>
    </w:p>
    <w:p>
      <w:pPr>
        <w:spacing w:line="540" w:lineRule="exact"/>
        <w:jc w:val="center"/>
        <w:rPr>
          <w:rFonts w:hint="eastAsia" w:ascii="宋体" w:hAnsi="宋体"/>
          <w:b/>
          <w:sz w:val="36"/>
          <w:szCs w:val="36"/>
        </w:rPr>
      </w:pPr>
      <w:r>
        <w:rPr>
          <w:rFonts w:hint="eastAsia" w:ascii="宋体" w:hAnsi="宋体"/>
          <w:b/>
          <w:sz w:val="36"/>
          <w:szCs w:val="36"/>
        </w:rPr>
        <w:t>第三部分 桓仁县大雅河水利枢纽工程建设局2017年度部门决算情况说明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（一）收入总计15019.28万元，包括：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1.财政拨款收入10019.28万元，其中：公共预算财政拨款收入19.28万元，政府性基金收入1000</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8.上年结转和结余5000万元，主要是</w:t>
      </w:r>
      <w:r>
        <w:rPr>
          <w:rFonts w:hint="eastAsia" w:ascii="仿宋_GB2312" w:hAnsi="宋体" w:eastAsia="仿宋_GB2312"/>
          <w:sz w:val="32"/>
          <w:szCs w:val="32"/>
          <w:lang w:eastAsia="zh-CN"/>
        </w:rPr>
        <w:t>项目支出结转结余</w:t>
      </w:r>
      <w:r>
        <w:rPr>
          <w:rFonts w:hint="eastAsia" w:ascii="仿宋_GB2312" w:hAnsi="宋体" w:eastAsia="仿宋_GB2312"/>
          <w:sz w:val="32"/>
          <w:szCs w:val="32"/>
        </w:rPr>
        <w:t>原因形成的结余。</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（二）支出总计5019.28万元，包括：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1.基本支出19.28万元，主要是为保障机构正常运转、完成日常工作任务而发生的各项支出，其中：工资福利支出15.35万元，对个人和家庭的补助支出2.84万元，商品和服务支出1.09万元。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2.项目支出5000万元，主要包括水利工程等业务支出。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（三）年末结转和结余1000</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跨年度项目没有完工形成项目结转等</w:t>
      </w:r>
      <w:r>
        <w:rPr>
          <w:rFonts w:hint="eastAsia" w:ascii="仿宋_GB2312" w:hAnsi="宋体" w:eastAsia="仿宋_GB2312"/>
          <w:sz w:val="32"/>
          <w:szCs w:val="32"/>
        </w:rPr>
        <w:t>。</w:t>
      </w:r>
    </w:p>
    <w:p>
      <w:pPr>
        <w:ind w:firstLine="660"/>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（四）收支增减变化情况说明</w:t>
      </w:r>
    </w:p>
    <w:p>
      <w:pPr>
        <w:ind w:firstLine="66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1.收入增减变化情况。收入总计</w:t>
      </w:r>
      <w:r>
        <w:rPr>
          <w:rFonts w:hint="eastAsia" w:eastAsia="仿宋_GB2312" w:cs="Times New Roman"/>
          <w:sz w:val="32"/>
          <w:szCs w:val="32"/>
          <w:highlight w:val="none"/>
          <w:lang w:val="en-US" w:eastAsia="zh-CN"/>
        </w:rPr>
        <w:t>15019.28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，比上年减少</w:t>
      </w:r>
      <w:r>
        <w:rPr>
          <w:rFonts w:hint="eastAsia" w:eastAsia="仿宋_GB2312" w:cs="Times New Roman"/>
          <w:sz w:val="32"/>
          <w:szCs w:val="32"/>
          <w:highlight w:val="none"/>
          <w:lang w:val="en-US" w:eastAsia="zh-CN"/>
        </w:rPr>
        <w:t>340.13</w:t>
      </w:r>
      <w:r>
        <w:rPr>
          <w:rFonts w:hint="default" w:ascii="Times New Roman" w:hAnsi="Times New Roman" w:eastAsia="仿宋_GB2312" w:cs="Times New Roman"/>
          <w:sz w:val="32"/>
          <w:szCs w:val="32"/>
          <w:highlight w:val="none"/>
          <w:lang w:val="en-US" w:eastAsia="zh-CN"/>
        </w:rPr>
        <w:t>万元。收入减少的主要因素是</w:t>
      </w:r>
      <w:r>
        <w:rPr>
          <w:rFonts w:hint="eastAsia" w:eastAsia="仿宋_GB2312" w:cs="Times New Roman"/>
          <w:sz w:val="32"/>
          <w:szCs w:val="32"/>
          <w:highlight w:val="none"/>
          <w:lang w:val="en-US" w:eastAsia="zh-CN"/>
        </w:rPr>
        <w:t>：上年地方重大水利工程结转结余338万元、工资福利支出减少2.13万元</w:t>
      </w:r>
      <w:r>
        <w:rPr>
          <w:rFonts w:hint="default" w:ascii="Times New Roman" w:hAnsi="Times New Roman" w:eastAsia="仿宋_GB2312" w:cs="Times New Roman"/>
          <w:sz w:val="32"/>
          <w:szCs w:val="32"/>
          <w:highlight w:val="none"/>
          <w:lang w:val="en-US" w:eastAsia="zh-CN"/>
        </w:rPr>
        <w:t>。</w:t>
      </w:r>
    </w:p>
    <w:p>
      <w:pPr>
        <w:ind w:firstLine="6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2.支出增减变化情况。支出总计</w:t>
      </w:r>
      <w:r>
        <w:rPr>
          <w:rFonts w:hint="eastAsia" w:eastAsia="仿宋_GB2312" w:cs="Times New Roman"/>
          <w:sz w:val="32"/>
          <w:szCs w:val="32"/>
          <w:highlight w:val="none"/>
          <w:lang w:val="en-US" w:eastAsia="zh-CN"/>
        </w:rPr>
        <w:t>5019.28</w:t>
      </w:r>
      <w:r>
        <w:rPr>
          <w:rFonts w:hint="default" w:ascii="Times New Roman" w:hAnsi="Times New Roman" w:eastAsia="仿宋_GB2312" w:cs="Times New Roman"/>
          <w:sz w:val="32"/>
          <w:szCs w:val="32"/>
          <w:highlight w:val="none"/>
          <w:lang w:val="en-US" w:eastAsia="zh-CN"/>
        </w:rPr>
        <w:t>万元，比上年</w:t>
      </w:r>
      <w:r>
        <w:rPr>
          <w:rFonts w:hint="eastAsia" w:eastAsia="仿宋_GB2312" w:cs="Times New Roman"/>
          <w:sz w:val="32"/>
          <w:szCs w:val="32"/>
          <w:highlight w:val="none"/>
          <w:lang w:val="en-US" w:eastAsia="zh-CN"/>
        </w:rPr>
        <w:t>减少5340.13</w:t>
      </w:r>
      <w:r>
        <w:rPr>
          <w:rFonts w:hint="default" w:ascii="Times New Roman" w:hAnsi="Times New Roman" w:eastAsia="仿宋_GB2312" w:cs="Times New Roman"/>
          <w:sz w:val="32"/>
          <w:szCs w:val="32"/>
          <w:highlight w:val="none"/>
          <w:lang w:val="en-US" w:eastAsia="zh-CN"/>
        </w:rPr>
        <w:t>万元。</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lang w:val="en-US" w:eastAsia="zh-CN"/>
        </w:rPr>
        <w:t>的主要因素</w:t>
      </w:r>
      <w:r>
        <w:rPr>
          <w:rFonts w:hint="eastAsia" w:ascii="仿宋_GB2312" w:hAnsi="宋体" w:eastAsia="仿宋_GB2312"/>
          <w:sz w:val="32"/>
          <w:szCs w:val="32"/>
        </w:rPr>
        <w:t>是</w:t>
      </w:r>
      <w:r>
        <w:rPr>
          <w:rFonts w:hint="eastAsia" w:ascii="仿宋_GB2312" w:hAnsi="宋体" w:eastAsia="仿宋_GB2312"/>
          <w:sz w:val="32"/>
          <w:szCs w:val="32"/>
          <w:lang w:eastAsia="zh-CN"/>
        </w:rPr>
        <w:t>地方重大水利工程跨年度项目没有完工</w:t>
      </w:r>
      <w:r>
        <w:rPr>
          <w:rFonts w:hint="eastAsia" w:ascii="仿宋_GB2312" w:hAnsi="宋体" w:eastAsia="仿宋_GB2312"/>
          <w:sz w:val="32"/>
          <w:szCs w:val="32"/>
          <w:lang w:val="en-US" w:eastAsia="zh-CN"/>
        </w:rPr>
        <w:t>。</w:t>
      </w:r>
    </w:p>
    <w:p>
      <w:pPr>
        <w:spacing w:line="540" w:lineRule="exact"/>
        <w:ind w:firstLine="660"/>
        <w:rPr>
          <w:rFonts w:hint="eastAsia" w:ascii="仿宋_GB2312" w:hAnsi="宋体" w:eastAsia="仿宋_GB2312"/>
          <w:sz w:val="32"/>
          <w:szCs w:val="32"/>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桓仁县大雅河水利枢纽工程建设局2017年整体财政拨款支出情况，既包括使用当年财政拨款发生的支出，也包括使用以前年度财政拨款结转和结余资金发生的支出。2017年度财政拨款支出5019.28万元，其中：基本支出19.28万元，项目支出5000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2017年度财政拨款支出5019.28万元，按支出功能分类科目分，包括一般公共服务支出0万元，科学技术支出0万元，社会保障和就业支出1.28万元，医疗卫生支出0.72万元，节能环保支出0万元，农林水支出5015.87万元，交通运输支出0万元，资源勘探信息等支出0万元，国土资源气象等支出0万元，住房保障支出1.42万元，其他支出0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1.一般公共服务支出0万元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2.科学技术支出0万元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3.社会保障和就业支出1.28万元，包括：</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（1）归口管理的行政单位离退休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机关事业单位基本养老保险缴费支出</w:t>
      </w:r>
      <w:r>
        <w:rPr>
          <w:rFonts w:hint="eastAsia" w:ascii="仿宋_GB2312" w:hAnsi="宋体" w:eastAsia="仿宋_GB2312"/>
          <w:sz w:val="32"/>
          <w:szCs w:val="32"/>
          <w:lang w:val="en-US" w:eastAsia="zh-CN"/>
        </w:rPr>
        <w:t>0.92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机关事业单位人员基本养老保险缴费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3）伤残抚恤0.36万元，主要是公伤人员补助支出。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4.医疗卫生支出0.72万元，包括：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（1）行政单位医疗0万元。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（2）事业单位医疗0.72万元，主要是</w:t>
      </w:r>
      <w:r>
        <w:rPr>
          <w:rFonts w:hint="eastAsia" w:ascii="仿宋_GB2312" w:hAnsi="宋体" w:eastAsia="仿宋_GB2312"/>
          <w:sz w:val="32"/>
          <w:szCs w:val="32"/>
          <w:lang w:eastAsia="zh-CN"/>
        </w:rPr>
        <w:t>事业单位医疗保险</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（3）其他医疗卫生支出0万元。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5.节能环保支出0万元。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6.农林水事务支出5015.87万元，包括：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1）水利工程运行与维护15.87万元，主要是单位人员支出。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（2）地方重大水利工程建设5000万元，主要是大雅河水利枢纽工程建设项目支出。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7.交通运输支出0万元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8.资源勘探信息等支出0万元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9.国土资源气象等事务支出0万元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10.住房保障支出1.42万元，包括：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住房公积金1.42万元，主要是</w:t>
      </w:r>
      <w:r>
        <w:rPr>
          <w:rFonts w:hint="eastAsia" w:ascii="仿宋_GB2312" w:hAnsi="宋体" w:eastAsia="仿宋_GB2312"/>
          <w:sz w:val="32"/>
          <w:szCs w:val="32"/>
          <w:lang w:eastAsia="zh-CN"/>
        </w:rPr>
        <w:t>单位人员住房公积金</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11. 其他支出0万元</w:t>
      </w:r>
      <w:r>
        <w:rPr>
          <w:rFonts w:hint="eastAsia" w:ascii="仿宋_GB2312" w:hAnsi="宋体" w:eastAsia="仿宋_GB2312"/>
          <w:sz w:val="32"/>
          <w:szCs w:val="32"/>
          <w:lang w:eastAsia="zh-CN"/>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rPr>
        <w:t>2017年度公共预算财政拨款安排的“三公”经费支出0万元，其中：因公出国（境）费0万元，公务接待费0万元，公务用车购置及运行维护费0万元。2017年度“三公”经费支出比2017年初预算少（多）支出0万元。比2016年决算减少（增加）0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增减变化的原因是无此项支出。</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2017年参加出国（境）团组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2.公务接待费0万元，主要用于等，2017年国内公务接待累计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3.公务用车购置及运行维护费0万元，其中：公务用车购置费0万元，公务用车运行维护费0万元。2017年购置公务用车0辆，年末公务用车保有量0辆。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2017年大雅河水利枢纽</w:t>
      </w:r>
      <w:r>
        <w:rPr>
          <w:rFonts w:hint="eastAsia" w:ascii="仿宋_GB2312" w:hAnsi="黑体" w:eastAsia="仿宋_GB2312"/>
          <w:sz w:val="32"/>
          <w:szCs w:val="32"/>
          <w:lang w:eastAsia="zh-CN"/>
        </w:rPr>
        <w:t>工程</w:t>
      </w:r>
      <w:r>
        <w:rPr>
          <w:rFonts w:hint="eastAsia" w:ascii="仿宋_GB2312" w:hAnsi="黑体" w:eastAsia="仿宋_GB2312"/>
          <w:sz w:val="32"/>
          <w:szCs w:val="32"/>
        </w:rPr>
        <w:t>建设局机关运行经费支出0万元，比2016年增加（减少）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万元，增长（降低）</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原因是事业单位无此项支出。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2017年大雅河水利枢纽</w:t>
      </w:r>
      <w:r>
        <w:rPr>
          <w:rFonts w:hint="eastAsia" w:ascii="仿宋_GB2312" w:hAnsi="黑体" w:eastAsia="仿宋_GB2312"/>
          <w:sz w:val="32"/>
          <w:szCs w:val="32"/>
          <w:lang w:eastAsia="zh-CN"/>
        </w:rPr>
        <w:t>工程</w:t>
      </w:r>
      <w:r>
        <w:rPr>
          <w:rFonts w:hint="eastAsia" w:ascii="仿宋_GB2312" w:hAnsi="黑体" w:eastAsia="仿宋_GB2312"/>
          <w:sz w:val="32"/>
          <w:szCs w:val="32"/>
        </w:rPr>
        <w:t>建设局政府采购支出总额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截至2017年12月31日，大雅河水利枢纽</w:t>
      </w:r>
      <w:r>
        <w:rPr>
          <w:rFonts w:hint="eastAsia" w:ascii="仿宋_GB2312" w:hAnsi="黑体" w:eastAsia="仿宋_GB2312"/>
          <w:sz w:val="32"/>
          <w:szCs w:val="32"/>
          <w:lang w:eastAsia="zh-CN"/>
        </w:rPr>
        <w:t>工程</w:t>
      </w:r>
      <w:r>
        <w:rPr>
          <w:rFonts w:hint="eastAsia" w:ascii="仿宋_GB2312" w:hAnsi="黑体" w:eastAsia="仿宋_GB2312"/>
          <w:sz w:val="32"/>
          <w:szCs w:val="32"/>
        </w:rPr>
        <w:t>建设局共有车辆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根据财政预算管理要求，我局组织对2017年度预算项目支出全面开展绩效自评，共涉及预算支出项目</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仿宋_GB2312" w:hAnsi="宋体" w:eastAsia="仿宋_GB2312" w:cs="宋体"/>
          <w:sz w:val="32"/>
          <w:szCs w:val="32"/>
          <w:lang w:eastAsia="zh-CN"/>
        </w:rPr>
        <w:t>无</w:t>
      </w:r>
      <w:r>
        <w:rPr>
          <w:rFonts w:hint="eastAsia" w:ascii="仿宋_GB2312" w:hAnsi="宋体" w:eastAsia="仿宋_GB2312" w:cs="宋体"/>
          <w:sz w:val="32"/>
          <w:szCs w:val="32"/>
        </w:rPr>
        <w:t>。</w:t>
      </w: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p>
      <w:pPr>
        <w:numPr>
          <w:ilvl w:val="0"/>
          <w:numId w:val="0"/>
        </w:numPr>
        <w:jc w:val="left"/>
        <w:rPr>
          <w:rFonts w:hint="eastAsia" w:ascii="宋体" w:hAnsi="宋体"/>
          <w:b w:val="0"/>
          <w:bCs/>
          <w:sz w:val="36"/>
          <w:szCs w:val="36"/>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08A62"/>
    <w:multiLevelType w:val="singleLevel"/>
    <w:tmpl w:val="B5108A62"/>
    <w:lvl w:ilvl="0" w:tentative="0">
      <w:start w:val="2"/>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520636"/>
    <w:rsid w:val="785572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2018-08-23T08:31:00Z</dcterms:created>
  <dc:creator>Administrator</dc:creator>
  <cp:lastModifiedBy>Administrator</cp:lastModifiedBy>
  <dcterms:modified xsi:type="dcterms:W3CDTF">2021-07-30T01:58:40Z</dcterms:modified>
  <dc:title>桓仁满族自治县大雅河水利枢纽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9A2F315675F74D95A5354E68BE407BAB</vt:lpwstr>
  </property>
</Properties>
</file>