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32"/>
          <w:szCs w:val="32"/>
        </w:rPr>
      </w:pPr>
    </w:p>
    <w:p>
      <w:pPr>
        <w:jc w:val="center"/>
        <w:rPr>
          <w:rFonts w:ascii="宋体"/>
          <w:sz w:val="32"/>
          <w:szCs w:val="32"/>
        </w:rPr>
      </w:pPr>
    </w:p>
    <w:p>
      <w:pPr>
        <w:jc w:val="center"/>
        <w:rPr>
          <w:rFonts w:ascii="宋体"/>
          <w:sz w:val="32"/>
          <w:szCs w:val="32"/>
        </w:rPr>
      </w:pPr>
    </w:p>
    <w:p>
      <w:pPr>
        <w:jc w:val="center"/>
        <w:rPr>
          <w:rFonts w:ascii="宋体"/>
          <w:sz w:val="32"/>
          <w:szCs w:val="32"/>
        </w:rPr>
      </w:pPr>
    </w:p>
    <w:p>
      <w:pPr>
        <w:jc w:val="center"/>
        <w:rPr>
          <w:rFonts w:ascii="宋体"/>
          <w:sz w:val="32"/>
          <w:szCs w:val="32"/>
        </w:rPr>
      </w:pPr>
    </w:p>
    <w:p>
      <w:pPr>
        <w:jc w:val="center"/>
        <w:rPr>
          <w:rFonts w:ascii="宋体"/>
          <w:sz w:val="32"/>
          <w:szCs w:val="32"/>
        </w:rPr>
      </w:pPr>
    </w:p>
    <w:p>
      <w:pPr>
        <w:spacing w:line="560" w:lineRule="exact"/>
        <w:jc w:val="center"/>
        <w:rPr>
          <w:rFonts w:hint="eastAsia" w:ascii="仿宋" w:hAnsi="仿宋" w:eastAsia="仿宋"/>
          <w:sz w:val="32"/>
          <w:szCs w:val="32"/>
        </w:rPr>
      </w:pPr>
      <w:r>
        <w:rPr>
          <w:rFonts w:hint="eastAsia" w:ascii="仿宋" w:hAnsi="仿宋" w:eastAsia="仿宋"/>
          <w:sz w:val="32"/>
          <w:szCs w:val="32"/>
          <w:lang w:val="en-US" w:eastAsia="zh-CN"/>
        </w:rPr>
        <w:t>桓</w:t>
      </w:r>
      <w:r>
        <w:rPr>
          <w:rFonts w:hint="eastAsia" w:ascii="仿宋" w:hAnsi="仿宋" w:eastAsia="仿宋"/>
          <w:sz w:val="32"/>
          <w:szCs w:val="32"/>
        </w:rPr>
        <w:t>财〔</w:t>
      </w:r>
      <w:r>
        <w:rPr>
          <w:rFonts w:ascii="仿宋" w:hAnsi="仿宋" w:eastAsia="仿宋"/>
          <w:sz w:val="32"/>
          <w:szCs w:val="32"/>
        </w:rPr>
        <w:t>2019</w:t>
      </w:r>
      <w:r>
        <w:rPr>
          <w:rFonts w:hint="eastAsia" w:ascii="仿宋" w:hAnsi="仿宋" w:eastAsia="仿宋"/>
          <w:sz w:val="32"/>
          <w:szCs w:val="32"/>
        </w:rPr>
        <w:t>〕</w:t>
      </w:r>
      <w:r>
        <w:rPr>
          <w:rFonts w:hint="eastAsia" w:ascii="仿宋" w:hAnsi="仿宋" w:eastAsia="仿宋"/>
          <w:sz w:val="32"/>
          <w:szCs w:val="32"/>
          <w:lang w:val="en-US" w:eastAsia="zh-CN"/>
        </w:rPr>
        <w:t>67</w:t>
      </w:r>
      <w:r>
        <w:rPr>
          <w:rFonts w:hint="eastAsia" w:ascii="仿宋" w:hAnsi="仿宋" w:eastAsia="仿宋"/>
          <w:sz w:val="32"/>
          <w:szCs w:val="32"/>
        </w:rPr>
        <w:t>号</w:t>
      </w:r>
    </w:p>
    <w:p>
      <w:pPr>
        <w:spacing w:line="560" w:lineRule="exact"/>
        <w:jc w:val="center"/>
        <w:rPr>
          <w:rFonts w:hint="eastAsia" w:ascii="仿宋" w:hAnsi="仿宋" w:eastAsia="仿宋"/>
          <w:sz w:val="32"/>
          <w:szCs w:val="32"/>
        </w:rPr>
      </w:pPr>
    </w:p>
    <w:p>
      <w:pPr>
        <w:spacing w:line="560" w:lineRule="exact"/>
        <w:rPr>
          <w:rFonts w:ascii="宋体"/>
          <w:sz w:val="32"/>
          <w:szCs w:val="32"/>
        </w:rPr>
      </w:pPr>
    </w:p>
    <w:p>
      <w:pPr>
        <w:spacing w:line="560" w:lineRule="exact"/>
        <w:jc w:val="center"/>
        <w:rPr>
          <w:rFonts w:ascii="宋体"/>
          <w:b/>
          <w:sz w:val="44"/>
          <w:szCs w:val="44"/>
        </w:rPr>
      </w:pPr>
      <w:r>
        <w:rPr>
          <w:rFonts w:hint="eastAsia" w:ascii="宋体" w:hAnsi="宋体"/>
          <w:b/>
          <w:sz w:val="44"/>
          <w:szCs w:val="44"/>
        </w:rPr>
        <w:t>关于加强</w:t>
      </w:r>
      <w:r>
        <w:rPr>
          <w:rFonts w:hint="eastAsia" w:ascii="宋体" w:hAnsi="宋体"/>
          <w:b/>
          <w:sz w:val="44"/>
          <w:szCs w:val="44"/>
          <w:lang w:val="en-US" w:eastAsia="zh-CN"/>
        </w:rPr>
        <w:t>桓仁满族自治县</w:t>
      </w:r>
      <w:r>
        <w:rPr>
          <w:rFonts w:hint="eastAsia" w:ascii="宋体" w:hAnsi="宋体"/>
          <w:b/>
          <w:sz w:val="44"/>
          <w:szCs w:val="44"/>
        </w:rPr>
        <w:t>财政局法制审核</w:t>
      </w:r>
    </w:p>
    <w:p>
      <w:pPr>
        <w:spacing w:line="560" w:lineRule="exact"/>
        <w:jc w:val="center"/>
        <w:rPr>
          <w:rFonts w:ascii="宋体"/>
          <w:b/>
          <w:sz w:val="44"/>
          <w:szCs w:val="44"/>
        </w:rPr>
      </w:pPr>
      <w:r>
        <w:rPr>
          <w:rFonts w:hint="eastAsia" w:ascii="宋体" w:hAnsi="宋体"/>
          <w:b/>
          <w:sz w:val="44"/>
          <w:szCs w:val="44"/>
        </w:rPr>
        <w:t>队伍建设及法制人员定期培训制度工作的通知</w:t>
      </w:r>
    </w:p>
    <w:p>
      <w:pPr>
        <w:spacing w:line="560" w:lineRule="exact"/>
        <w:rPr>
          <w:rFonts w:ascii="宋体"/>
          <w:sz w:val="44"/>
          <w:szCs w:val="44"/>
        </w:rPr>
      </w:pPr>
    </w:p>
    <w:p>
      <w:pPr>
        <w:spacing w:line="560" w:lineRule="exact"/>
        <w:rPr>
          <w:rFonts w:hint="eastAsia" w:ascii="仿宋_GB2312" w:eastAsia="仿宋_GB2312"/>
          <w:sz w:val="32"/>
          <w:szCs w:val="32"/>
          <w:lang w:val="en-US" w:eastAsia="zh-CN"/>
        </w:rPr>
      </w:pPr>
      <w:r>
        <w:rPr>
          <w:rFonts w:hint="eastAsia" w:ascii="仿宋_GB2312" w:eastAsia="仿宋_GB2312"/>
          <w:sz w:val="32"/>
          <w:szCs w:val="32"/>
        </w:rPr>
        <w:t>局内各</w:t>
      </w:r>
      <w:r>
        <w:rPr>
          <w:rFonts w:hint="eastAsia" w:ascii="仿宋_GB2312" w:eastAsia="仿宋_GB2312"/>
          <w:sz w:val="32"/>
          <w:szCs w:val="32"/>
          <w:lang w:val="en-US" w:eastAsia="zh-CN"/>
        </w:rPr>
        <w:t>股室、公共财政服务中心、国有资产事务管理中心：</w:t>
      </w:r>
    </w:p>
    <w:p>
      <w:pPr>
        <w:spacing w:line="56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为深入贯彻《法治政府建设实施纲要</w:t>
      </w:r>
      <w:r>
        <w:rPr>
          <w:rFonts w:ascii="仿宋" w:hAnsi="仿宋" w:eastAsia="仿宋"/>
          <w:sz w:val="32"/>
          <w:szCs w:val="32"/>
        </w:rPr>
        <w:t>(2015—2020</w:t>
      </w:r>
      <w:r>
        <w:rPr>
          <w:rFonts w:hint="eastAsia" w:ascii="仿宋" w:hAnsi="仿宋" w:eastAsia="仿宋"/>
          <w:sz w:val="32"/>
          <w:szCs w:val="32"/>
        </w:rPr>
        <w:t>年</w:t>
      </w:r>
      <w:r>
        <w:rPr>
          <w:rFonts w:ascii="仿宋" w:hAnsi="仿宋" w:eastAsia="仿宋"/>
          <w:sz w:val="32"/>
          <w:szCs w:val="32"/>
        </w:rPr>
        <w:t>)</w:t>
      </w:r>
      <w:r>
        <w:rPr>
          <w:rFonts w:hint="eastAsia" w:ascii="仿宋" w:hAnsi="仿宋" w:eastAsia="仿宋"/>
          <w:sz w:val="32"/>
          <w:szCs w:val="32"/>
        </w:rPr>
        <w:t>》和《国务院办公厅关于全面推行行政执法公示制度执法全过程记录制度重大执法决定法制审核制度的指导意见》（国办发〔</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118</w:t>
      </w:r>
      <w:r>
        <w:rPr>
          <w:rFonts w:hint="eastAsia" w:ascii="仿宋" w:hAnsi="仿宋" w:eastAsia="仿宋"/>
          <w:sz w:val="32"/>
          <w:szCs w:val="32"/>
        </w:rPr>
        <w:t>号）的精神，严格实施重大执法决定法制审核制度，按照《辽宁省人民政府办公厅关于印发辽宁省全面推行行政执法公示制度执法全过程记录制度重大执法决定法制审核制度实施方案的通知》（辽政办发〔</w:t>
      </w:r>
      <w:r>
        <w:rPr>
          <w:rFonts w:ascii="仿宋" w:hAnsi="仿宋" w:eastAsia="仿宋"/>
          <w:sz w:val="32"/>
          <w:szCs w:val="32"/>
        </w:rPr>
        <w:t>2019</w:t>
      </w:r>
      <w:r>
        <w:rPr>
          <w:rFonts w:hint="eastAsia" w:ascii="仿宋" w:hAnsi="仿宋" w:eastAsia="仿宋"/>
          <w:sz w:val="32"/>
          <w:szCs w:val="32"/>
        </w:rPr>
        <w:t>〕</w:t>
      </w:r>
      <w:r>
        <w:rPr>
          <w:rFonts w:ascii="仿宋" w:hAnsi="仿宋" w:eastAsia="仿宋"/>
          <w:sz w:val="32"/>
          <w:szCs w:val="32"/>
        </w:rPr>
        <w:t>13</w:t>
      </w:r>
      <w:r>
        <w:rPr>
          <w:rFonts w:hint="eastAsia" w:ascii="仿宋" w:hAnsi="仿宋" w:eastAsia="仿宋"/>
          <w:sz w:val="32"/>
          <w:szCs w:val="32"/>
        </w:rPr>
        <w:t>号）、《本溪市人民政府办公室关于印发本溪市全面推行行政执法公示制度执法全过程记录制度重大执法决定法制审核制度实施方案的通知》（本政办发〔</w:t>
      </w:r>
      <w:r>
        <w:rPr>
          <w:rFonts w:ascii="仿宋" w:hAnsi="仿宋" w:eastAsia="仿宋"/>
          <w:sz w:val="32"/>
          <w:szCs w:val="32"/>
        </w:rPr>
        <w:t>2019</w:t>
      </w:r>
      <w:r>
        <w:rPr>
          <w:rFonts w:hint="eastAsia" w:ascii="仿宋" w:hAnsi="仿宋" w:eastAsia="仿宋"/>
          <w:sz w:val="32"/>
          <w:szCs w:val="32"/>
        </w:rPr>
        <w:t>〕</w:t>
      </w:r>
      <w:r>
        <w:rPr>
          <w:rFonts w:ascii="仿宋" w:hAnsi="仿宋" w:eastAsia="仿宋"/>
          <w:sz w:val="32"/>
          <w:szCs w:val="32"/>
        </w:rPr>
        <w:t>16</w:t>
      </w:r>
      <w:r>
        <w:rPr>
          <w:rFonts w:hint="eastAsia" w:ascii="仿宋" w:hAnsi="仿宋" w:eastAsia="仿宋"/>
          <w:sz w:val="32"/>
          <w:szCs w:val="32"/>
        </w:rPr>
        <w:t>号）和《本溪市财政局推行行政执法公示制度</w:t>
      </w:r>
      <w:r>
        <w:rPr>
          <w:rFonts w:ascii="仿宋" w:hAnsi="仿宋" w:eastAsia="仿宋"/>
          <w:sz w:val="32"/>
          <w:szCs w:val="32"/>
        </w:rPr>
        <w:t xml:space="preserve"> </w:t>
      </w:r>
      <w:r>
        <w:rPr>
          <w:rFonts w:hint="eastAsia" w:ascii="仿宋" w:hAnsi="仿宋" w:eastAsia="仿宋"/>
          <w:sz w:val="32"/>
          <w:szCs w:val="32"/>
        </w:rPr>
        <w:t>执法全过程记录制度</w:t>
      </w:r>
      <w:r>
        <w:rPr>
          <w:rFonts w:ascii="仿宋" w:hAnsi="仿宋" w:eastAsia="仿宋"/>
          <w:sz w:val="32"/>
          <w:szCs w:val="32"/>
        </w:rPr>
        <w:t xml:space="preserve"> </w:t>
      </w:r>
      <w:r>
        <w:rPr>
          <w:rFonts w:hint="eastAsia" w:ascii="仿宋" w:hAnsi="仿宋" w:eastAsia="仿宋"/>
          <w:sz w:val="32"/>
          <w:szCs w:val="32"/>
        </w:rPr>
        <w:t>重大执法决定法制审核制度实施方案》（本财发〔</w:t>
      </w:r>
      <w:r>
        <w:rPr>
          <w:rFonts w:ascii="仿宋" w:hAnsi="仿宋" w:eastAsia="仿宋"/>
          <w:sz w:val="32"/>
          <w:szCs w:val="32"/>
        </w:rPr>
        <w:t>2019</w:t>
      </w:r>
      <w:r>
        <w:rPr>
          <w:rFonts w:hint="eastAsia" w:ascii="仿宋" w:hAnsi="仿宋" w:eastAsia="仿宋"/>
          <w:sz w:val="32"/>
          <w:szCs w:val="32"/>
        </w:rPr>
        <w:t>〕</w:t>
      </w:r>
      <w:r>
        <w:rPr>
          <w:rFonts w:ascii="仿宋" w:hAnsi="仿宋" w:eastAsia="仿宋"/>
          <w:sz w:val="32"/>
          <w:szCs w:val="32"/>
        </w:rPr>
        <w:t>65</w:t>
      </w:r>
      <w:r>
        <w:rPr>
          <w:rFonts w:hint="eastAsia" w:ascii="仿宋" w:hAnsi="仿宋" w:eastAsia="仿宋"/>
          <w:sz w:val="32"/>
          <w:szCs w:val="32"/>
        </w:rPr>
        <w:t>号）要求，经市财政局同意，现就加强法制审核队伍建设工作通知如下：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一、充分认识重大执法决定法制审核的意义，高度重视法制审核队伍建设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推行重大执法决定法制审核制度是党的十八届四中全会提出的全面推进依法治国、建设法治政府的重要任务措施，《法治政府建设与责任落实督察工作规定》中明确提出地方各级政府及部门要全面推行重大执法决定法制审核，确保行政机关依法履行法定职责，切实维护人民群众合法权益，推进严格规范公正文明执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重大执法决定法制审核，是指各级政府及行政机关（含法律法规授权的具有管理公共事务职能的组织，以及行政机关依照法律、法规或规章的规定委托的组织，下同）在依法作出行政许可、行政处罚、行政强制、行政征收征用、行政检查等重大行政执法决定之前，由该行政执法机关负责法制工作的机构（以下统称法制机构）对其合法性、适当性进行审核的行为。各行政执法科室（含市财政事务服务中心</w:t>
      </w:r>
      <w:r>
        <w:rPr>
          <w:rFonts w:ascii="仿宋" w:hAnsi="仿宋" w:eastAsia="仿宋"/>
          <w:sz w:val="32"/>
          <w:szCs w:val="32"/>
        </w:rPr>
        <w:t>,</w:t>
      </w:r>
      <w:r>
        <w:rPr>
          <w:rFonts w:hint="eastAsia" w:ascii="仿宋" w:hAnsi="仿宋" w:eastAsia="仿宋"/>
          <w:sz w:val="32"/>
          <w:szCs w:val="32"/>
        </w:rPr>
        <w:t>下同）要充分认识做好重大执法决定法制审核工作的重大意义，在健全法制审核制度基础上，切实加强法制机构和法制审核人员队伍建设，确保重大执法决定法制审核制度落到实处，促进严格规范公正文明执法。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二、明确法制审核人员配备要求，加强法制审核队伍建设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各级政府及所属部门法制机构是重大执法决定法制审核的主体，法制机构工作人员是重大执法决定的法制审核人员。做好重大执法决定法制审核工作必须有健全的法制机构、高素质的法制审核人员。局机关要加强法制机构建设，明确设置职能科室，并确保法制审核人员配置与法制审核工作任务相适应，原则上各级行政执法机关的法制审核人员按照不少于本机关执法人员总数</w:t>
      </w:r>
      <w:r>
        <w:rPr>
          <w:rFonts w:ascii="仿宋" w:hAnsi="仿宋" w:eastAsia="仿宋"/>
          <w:sz w:val="32"/>
          <w:szCs w:val="32"/>
        </w:rPr>
        <w:t>5%</w:t>
      </w:r>
      <w:r>
        <w:rPr>
          <w:rFonts w:hint="eastAsia" w:ascii="仿宋" w:hAnsi="仿宋" w:eastAsia="仿宋"/>
          <w:sz w:val="32"/>
          <w:szCs w:val="32"/>
        </w:rPr>
        <w:t>的比例配备。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法制审核人员编制在本级编制总额内统筹安排解决。为加强法制审核队伍建设，解决法制审核人员不足的问题，可以通过政府购买服务的方式，充分发挥法律顾问和公职律师的作用，协助做好法制审核工作。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三、明确法制审核队伍素质要求，提高法制审核人员业务素质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《中共中央办公厅</w:t>
      </w:r>
      <w:r>
        <w:rPr>
          <w:rFonts w:ascii="仿宋" w:hAnsi="仿宋" w:eastAsia="仿宋"/>
          <w:sz w:val="32"/>
          <w:szCs w:val="32"/>
        </w:rPr>
        <w:t xml:space="preserve">  </w:t>
      </w:r>
      <w:r>
        <w:rPr>
          <w:rFonts w:hint="eastAsia" w:ascii="仿宋" w:hAnsi="仿宋" w:eastAsia="仿宋"/>
          <w:sz w:val="32"/>
          <w:szCs w:val="32"/>
        </w:rPr>
        <w:t>国务院办公厅印发〈关于完善国家统一法律职业资格制度的意见〉的通知》（厅字〔</w:t>
      </w:r>
      <w:r>
        <w:rPr>
          <w:rFonts w:ascii="仿宋" w:hAnsi="仿宋" w:eastAsia="仿宋"/>
          <w:sz w:val="32"/>
          <w:szCs w:val="32"/>
        </w:rPr>
        <w:t>2015</w:t>
      </w:r>
      <w:r>
        <w:rPr>
          <w:rFonts w:hint="eastAsia" w:ascii="仿宋" w:hAnsi="仿宋" w:eastAsia="仿宋"/>
          <w:sz w:val="32"/>
          <w:szCs w:val="32"/>
        </w:rPr>
        <w:t>〕</w:t>
      </w:r>
      <w:r>
        <w:rPr>
          <w:rFonts w:ascii="仿宋" w:hAnsi="仿宋" w:eastAsia="仿宋"/>
          <w:sz w:val="32"/>
          <w:szCs w:val="32"/>
        </w:rPr>
        <w:t>25</w:t>
      </w:r>
      <w:r>
        <w:rPr>
          <w:rFonts w:hint="eastAsia" w:ascii="仿宋" w:hAnsi="仿宋" w:eastAsia="仿宋"/>
          <w:sz w:val="32"/>
          <w:szCs w:val="32"/>
        </w:rPr>
        <w:t>号）要求，拟从事行政处罚决定审核的人员应当取得国家统一法律职业资格。局机关和市财政事务服务中心要根据实际，明确具备国家法律职业资格人员占法制审核人员的比例，科学设定法制审核人员招录和选配的标准，配备充实政治素质高、业务能力强、具有法律专业背景的法制审核人员，逐步实现从事法制审核工作的人员具有国家统一法律职业资格。局机关和市财政事务服务中心可聘用律师或专家协助开展法制审核工作，解决法制审核人员能力不足的问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要建立健全法制审核人员定期培训制度，不断优化知识结构，增强其法学理论研究和综合运用能力。鼓励从事法制审核的人员参加国家统一法律职业资格考试，取得职业资格。</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四、明确法制审核工作要求，提高法制审核质量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实施重大执法决定法制审核就是要实现执法监督关口前移，从源头上规范行政执法行为，有效避免违法和不当行为发生。各行政执法科室要严格落实重大执法决定法制审核制度。从事法制审核工作人员在对执法决定进行审核过程中，要明确审核标准，规范审核程序，强化审核责任，严格依法提出审核意见。各行政执法科室要尊重法制机构的审核意见，依法作出决定，确保行政执法机关作出的每一项重大执法决定都合法适当，提高行政执法的公正性和权威性。</w:t>
      </w:r>
    </w:p>
    <w:p>
      <w:pPr>
        <w:spacing w:line="560" w:lineRule="exact"/>
        <w:rPr>
          <w:rFonts w:eastAsia="仿宋"/>
          <w:sz w:val="32"/>
          <w:szCs w:val="32"/>
        </w:rPr>
      </w:pPr>
      <w:r>
        <w:rPr>
          <w:rFonts w:eastAsia="仿宋"/>
          <w:sz w:val="32"/>
          <w:szCs w:val="32"/>
        </w:rPr>
        <w:t> </w:t>
      </w:r>
    </w:p>
    <w:p>
      <w:pPr>
        <w:spacing w:line="560" w:lineRule="exact"/>
        <w:ind w:firstLine="640" w:firstLineChars="200"/>
        <w:rPr>
          <w:rFonts w:eastAsia="仿宋"/>
          <w:sz w:val="32"/>
          <w:szCs w:val="32"/>
        </w:rPr>
      </w:pPr>
      <w:r>
        <w:rPr>
          <w:rFonts w:hint="eastAsia" w:eastAsia="仿宋"/>
          <w:sz w:val="32"/>
          <w:szCs w:val="32"/>
        </w:rPr>
        <w:t>附件：</w:t>
      </w:r>
      <w:r>
        <w:rPr>
          <w:rFonts w:hint="eastAsia" w:eastAsia="仿宋"/>
          <w:sz w:val="32"/>
          <w:szCs w:val="32"/>
          <w:lang w:val="en-US" w:eastAsia="zh-CN"/>
        </w:rPr>
        <w:t>桓仁满族自治县</w:t>
      </w:r>
      <w:r>
        <w:rPr>
          <w:rFonts w:hint="eastAsia" w:eastAsia="仿宋"/>
          <w:sz w:val="32"/>
          <w:szCs w:val="32"/>
        </w:rPr>
        <w:t>财政局法制审核人员定期培训制度</w:t>
      </w: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jc w:val="center"/>
        <w:rPr>
          <w:rFonts w:ascii="仿宋" w:hAnsi="仿宋" w:eastAsia="仿宋"/>
          <w:sz w:val="32"/>
          <w:szCs w:val="32"/>
        </w:rPr>
      </w:pPr>
      <w:r>
        <w:rPr>
          <w:rFonts w:eastAsia="仿宋"/>
          <w:sz w:val="32"/>
          <w:szCs w:val="32"/>
        </w:rPr>
        <w:t xml:space="preserve">                       </w:t>
      </w:r>
      <w:r>
        <w:rPr>
          <w:rFonts w:hint="eastAsia" w:eastAsia="仿宋"/>
          <w:sz w:val="32"/>
          <w:szCs w:val="32"/>
          <w:lang w:val="en-US" w:eastAsia="zh-CN"/>
        </w:rPr>
        <w:t>桓仁满族自治县财政局</w:t>
      </w:r>
      <w:bookmarkStart w:id="0" w:name="_GoBack"/>
      <w:bookmarkEnd w:id="0"/>
      <w:r>
        <w:rPr>
          <w:rFonts w:hint="eastAsia" w:eastAsia="仿宋"/>
          <w:sz w:val="32"/>
          <w:szCs w:val="32"/>
          <w:lang w:val="en-US" w:eastAsia="zh-CN"/>
        </w:rPr>
        <w:br w:type="textWrapping"/>
      </w:r>
      <w:r>
        <w:rPr>
          <w:rFonts w:ascii="仿宋" w:hAnsi="仿宋" w:eastAsia="仿宋"/>
          <w:sz w:val="32"/>
          <w:szCs w:val="32"/>
        </w:rPr>
        <w:t xml:space="preserve">                        2019</w:t>
      </w:r>
      <w:r>
        <w:rPr>
          <w:rFonts w:hint="eastAsia" w:ascii="仿宋" w:hAnsi="仿宋" w:eastAsia="仿宋"/>
          <w:sz w:val="32"/>
          <w:szCs w:val="32"/>
        </w:rPr>
        <w:t>年</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20</w:t>
      </w:r>
      <w:r>
        <w:rPr>
          <w:rFonts w:hint="eastAsia" w:ascii="仿宋" w:hAnsi="仿宋" w:eastAsia="仿宋"/>
          <w:sz w:val="32"/>
          <w:szCs w:val="32"/>
        </w:rPr>
        <w:t>日</w:t>
      </w:r>
    </w:p>
    <w:p>
      <w:pPr>
        <w:spacing w:line="560" w:lineRule="exact"/>
        <w:rPr>
          <w:rFonts w:ascii="黑体" w:hAnsi="黑体" w:eastAsia="黑体"/>
          <w:sz w:val="32"/>
          <w:szCs w:val="32"/>
        </w:rPr>
        <w:sectPr>
          <w:footerReference r:id="rId3" w:type="default"/>
          <w:pgSz w:w="11906" w:h="16838"/>
          <w:pgMar w:top="2098" w:right="1474" w:bottom="1871" w:left="1587" w:header="851" w:footer="1474" w:gutter="0"/>
          <w:pgNumType w:fmt="numberInDash"/>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附件</w:t>
      </w:r>
    </w:p>
    <w:p>
      <w:pPr>
        <w:rPr>
          <w:rFonts w:ascii="黑体" w:hAnsi="黑体" w:eastAsia="黑体"/>
          <w:szCs w:val="21"/>
        </w:rPr>
      </w:pPr>
    </w:p>
    <w:p>
      <w:pPr>
        <w:jc w:val="center"/>
        <w:rPr>
          <w:rFonts w:hint="eastAsia" w:ascii="宋体" w:hAnsi="宋体"/>
          <w:sz w:val="44"/>
          <w:szCs w:val="44"/>
        </w:rPr>
      </w:pPr>
      <w:r>
        <w:rPr>
          <w:rFonts w:hint="eastAsia" w:ascii="宋体" w:hAnsi="宋体"/>
          <w:sz w:val="44"/>
          <w:szCs w:val="44"/>
          <w:lang w:val="en-US" w:eastAsia="zh-CN"/>
        </w:rPr>
        <w:t>桓仁满族自治县</w:t>
      </w:r>
      <w:r>
        <w:rPr>
          <w:rFonts w:hint="eastAsia" w:ascii="宋体" w:hAnsi="宋体"/>
          <w:sz w:val="44"/>
          <w:szCs w:val="44"/>
        </w:rPr>
        <w:t>财政局法制审核人员</w:t>
      </w:r>
    </w:p>
    <w:p>
      <w:pPr>
        <w:jc w:val="center"/>
        <w:rPr>
          <w:rFonts w:ascii="宋体"/>
          <w:sz w:val="44"/>
          <w:szCs w:val="44"/>
        </w:rPr>
      </w:pPr>
      <w:r>
        <w:rPr>
          <w:rFonts w:hint="eastAsia" w:ascii="宋体" w:hAnsi="宋体"/>
          <w:sz w:val="44"/>
          <w:szCs w:val="44"/>
        </w:rPr>
        <w:t>定期培训制度</w:t>
      </w:r>
    </w:p>
    <w:p>
      <w:pPr>
        <w:rPr>
          <w:rFonts w:ascii="仿宋" w:hAnsi="仿宋" w:eastAsia="仿宋"/>
          <w:sz w:val="24"/>
          <w:szCs w:val="24"/>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黑体" w:hAnsi="黑体" w:eastAsia="黑体"/>
          <w:sz w:val="32"/>
          <w:szCs w:val="32"/>
        </w:rPr>
        <w:t>第一条</w:t>
      </w:r>
      <w:r>
        <w:rPr>
          <w:rFonts w:ascii="仿宋" w:hAnsi="仿宋" w:eastAsia="仿宋"/>
          <w:sz w:val="32"/>
          <w:szCs w:val="32"/>
        </w:rPr>
        <w:t xml:space="preserve">  </w:t>
      </w:r>
      <w:r>
        <w:rPr>
          <w:rFonts w:hint="eastAsia" w:ascii="仿宋" w:hAnsi="仿宋" w:eastAsia="仿宋"/>
          <w:sz w:val="32"/>
          <w:szCs w:val="32"/>
        </w:rPr>
        <w:t>为认真落实推进行政执法“三项制度”改革，切实提高行政执法机关法制审核人员法律素养和业务能力，保障法制审核人员正确运用法律、法规、规章履行职责，结合我局实际，制定本制度。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黑体" w:hAnsi="黑体" w:eastAsia="黑体"/>
          <w:sz w:val="32"/>
          <w:szCs w:val="32"/>
        </w:rPr>
        <w:t>第二条</w:t>
      </w:r>
      <w:r>
        <w:rPr>
          <w:rFonts w:ascii="仿宋" w:hAnsi="仿宋" w:eastAsia="仿宋"/>
          <w:sz w:val="32"/>
          <w:szCs w:val="32"/>
        </w:rPr>
        <w:t xml:space="preserve">  </w:t>
      </w:r>
      <w:r>
        <w:rPr>
          <w:rFonts w:hint="eastAsia" w:ascii="仿宋" w:hAnsi="仿宋" w:eastAsia="仿宋"/>
          <w:sz w:val="32"/>
          <w:szCs w:val="32"/>
        </w:rPr>
        <w:t>本制度适用于局机关和市财政事务服务中心从事重大执法决定的法制审核人员。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黑体" w:hAnsi="黑体" w:eastAsia="黑体"/>
          <w:sz w:val="32"/>
          <w:szCs w:val="32"/>
        </w:rPr>
        <w:t>第三条</w:t>
      </w:r>
      <w:r>
        <w:rPr>
          <w:rFonts w:ascii="仿宋" w:hAnsi="仿宋" w:eastAsia="仿宋"/>
          <w:b/>
          <w:sz w:val="32"/>
          <w:szCs w:val="32"/>
        </w:rPr>
        <w:t xml:space="preserve">  </w:t>
      </w:r>
      <w:r>
        <w:rPr>
          <w:rFonts w:hint="eastAsia" w:ascii="仿宋" w:hAnsi="仿宋" w:eastAsia="仿宋"/>
          <w:sz w:val="32"/>
          <w:szCs w:val="32"/>
        </w:rPr>
        <w:t>法制审核人员为局机关和市财政事务服务中心法制机构的工作人员，在进行重大执法决定审核时应该恪尽职守，秉公办事，清正廉洁，严格执法。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黑体" w:hAnsi="黑体" w:eastAsia="黑体"/>
          <w:sz w:val="32"/>
          <w:szCs w:val="32"/>
        </w:rPr>
        <w:t>第四条</w:t>
      </w:r>
      <w:r>
        <w:rPr>
          <w:rFonts w:ascii="仿宋" w:hAnsi="仿宋" w:eastAsia="仿宋"/>
          <w:b/>
          <w:sz w:val="32"/>
          <w:szCs w:val="32"/>
        </w:rPr>
        <w:t xml:space="preserve">  </w:t>
      </w:r>
      <w:r>
        <w:rPr>
          <w:rFonts w:hint="eastAsia" w:ascii="仿宋" w:hAnsi="仿宋" w:eastAsia="仿宋"/>
          <w:sz w:val="32"/>
          <w:szCs w:val="32"/>
        </w:rPr>
        <w:t>局机关要定期组织开展法制审核人员培训。</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32"/>
        </w:rPr>
      </w:pPr>
      <w:r>
        <w:rPr>
          <w:rFonts w:hint="eastAsia" w:ascii="黑体" w:hAnsi="黑体" w:eastAsia="黑体"/>
          <w:sz w:val="32"/>
          <w:szCs w:val="32"/>
        </w:rPr>
        <w:t>第五条</w:t>
      </w:r>
      <w:r>
        <w:rPr>
          <w:rFonts w:ascii="仿宋" w:hAnsi="仿宋" w:eastAsia="仿宋"/>
          <w:b/>
          <w:sz w:val="32"/>
          <w:szCs w:val="32"/>
        </w:rPr>
        <w:t xml:space="preserve">  </w:t>
      </w:r>
      <w:r>
        <w:rPr>
          <w:rFonts w:hint="eastAsia" w:ascii="仿宋" w:hAnsi="仿宋" w:eastAsia="仿宋" w:cs="Times New Roman"/>
          <w:sz w:val="32"/>
          <w:szCs w:val="32"/>
        </w:rPr>
        <w:t>法制审核人员学习培训内容包括：</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（一）</w:t>
      </w:r>
      <w:r>
        <w:rPr>
          <w:rFonts w:hint="eastAsia" w:ascii="仿宋" w:hAnsi="仿宋" w:eastAsia="仿宋"/>
          <w:sz w:val="32"/>
          <w:szCs w:val="32"/>
        </w:rPr>
        <w:t>党的路线、方针、政策，中央领导关于依法治国的重要论述；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（二）宪法以及国家相关基本法律知识；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（三）《行政处罚法》《行政许可法》《行政强制法》《行政诉讼法》《行政复议法》《国家赔偿法》等公共法律知识；</w:t>
      </w:r>
    </w:p>
    <w:p>
      <w:pPr>
        <w:pStyle w:val="4"/>
        <w:keepNext w:val="0"/>
        <w:keepLines w:val="0"/>
        <w:pageBreakBefore w:val="0"/>
        <w:kinsoku/>
        <w:wordWrap/>
        <w:overflowPunct/>
        <w:topLinePunct w:val="0"/>
        <w:autoSpaceDE/>
        <w:autoSpaceDN/>
        <w:bidi w:val="0"/>
        <w:adjustRightInd/>
        <w:snapToGrid/>
        <w:spacing w:line="520" w:lineRule="exact"/>
        <w:ind w:firstLine="604"/>
        <w:jc w:val="both"/>
        <w:textAlignment w:val="auto"/>
        <w:rPr>
          <w:rFonts w:ascii="仿宋" w:hAnsi="仿宋" w:eastAsia="仿宋" w:cs="Times New Roman"/>
          <w:sz w:val="32"/>
          <w:szCs w:val="32"/>
        </w:rPr>
      </w:pPr>
      <w:r>
        <w:rPr>
          <w:rFonts w:hint="eastAsia" w:ascii="仿宋" w:hAnsi="仿宋" w:eastAsia="仿宋"/>
          <w:sz w:val="32"/>
          <w:szCs w:val="32"/>
        </w:rPr>
        <w:t>（四）</w:t>
      </w:r>
      <w:r>
        <w:rPr>
          <w:rFonts w:hint="eastAsia" w:ascii="仿宋" w:hAnsi="仿宋" w:eastAsia="仿宋" w:cs="Times New Roman"/>
          <w:sz w:val="32"/>
          <w:szCs w:val="32"/>
        </w:rPr>
        <w:t>新颁布的法律、法规、规章；</w:t>
      </w:r>
    </w:p>
    <w:p>
      <w:pPr>
        <w:pStyle w:val="4"/>
        <w:keepNext w:val="0"/>
        <w:keepLines w:val="0"/>
        <w:pageBreakBefore w:val="0"/>
        <w:kinsoku/>
        <w:wordWrap/>
        <w:overflowPunct/>
        <w:topLinePunct w:val="0"/>
        <w:autoSpaceDE/>
        <w:autoSpaceDN/>
        <w:bidi w:val="0"/>
        <w:adjustRightInd/>
        <w:snapToGrid/>
        <w:spacing w:line="520" w:lineRule="exact"/>
        <w:ind w:firstLine="604"/>
        <w:jc w:val="both"/>
        <w:textAlignment w:val="auto"/>
        <w:rPr>
          <w:rFonts w:ascii="仿宋" w:hAnsi="仿宋" w:eastAsia="仿宋"/>
          <w:sz w:val="32"/>
          <w:szCs w:val="32"/>
        </w:rPr>
      </w:pPr>
      <w:r>
        <w:rPr>
          <w:rFonts w:hint="eastAsia" w:ascii="仿宋" w:hAnsi="仿宋" w:eastAsia="仿宋"/>
          <w:sz w:val="32"/>
          <w:szCs w:val="32"/>
        </w:rPr>
        <w:t>（五）全国人大常委会出台的最新立法解释；</w:t>
      </w:r>
    </w:p>
    <w:p>
      <w:pPr>
        <w:pStyle w:val="4"/>
        <w:keepNext w:val="0"/>
        <w:keepLines w:val="0"/>
        <w:pageBreakBefore w:val="0"/>
        <w:kinsoku/>
        <w:wordWrap/>
        <w:overflowPunct/>
        <w:topLinePunct w:val="0"/>
        <w:autoSpaceDE/>
        <w:autoSpaceDN/>
        <w:bidi w:val="0"/>
        <w:adjustRightInd/>
        <w:snapToGrid/>
        <w:spacing w:line="520" w:lineRule="exact"/>
        <w:ind w:firstLine="604"/>
        <w:jc w:val="both"/>
        <w:textAlignment w:val="auto"/>
        <w:rPr>
          <w:rFonts w:ascii="仿宋" w:hAnsi="仿宋" w:eastAsia="仿宋"/>
          <w:sz w:val="32"/>
          <w:szCs w:val="32"/>
        </w:rPr>
      </w:pPr>
      <w:r>
        <w:rPr>
          <w:rFonts w:hint="eastAsia" w:ascii="仿宋" w:hAnsi="仿宋" w:eastAsia="仿宋"/>
          <w:sz w:val="32"/>
          <w:szCs w:val="32"/>
        </w:rPr>
        <w:t>（六）最高人民法院和最高人民检察院最新出台的司法解释；</w:t>
      </w:r>
    </w:p>
    <w:p>
      <w:pPr>
        <w:pStyle w:val="4"/>
        <w:keepNext w:val="0"/>
        <w:keepLines w:val="0"/>
        <w:pageBreakBefore w:val="0"/>
        <w:kinsoku/>
        <w:wordWrap/>
        <w:overflowPunct/>
        <w:topLinePunct w:val="0"/>
        <w:autoSpaceDE/>
        <w:autoSpaceDN/>
        <w:bidi w:val="0"/>
        <w:adjustRightInd/>
        <w:snapToGrid/>
        <w:spacing w:line="520" w:lineRule="exact"/>
        <w:ind w:firstLine="604"/>
        <w:jc w:val="both"/>
        <w:textAlignment w:val="auto"/>
        <w:rPr>
          <w:rFonts w:ascii="仿宋" w:hAnsi="仿宋" w:eastAsia="仿宋"/>
          <w:sz w:val="32"/>
          <w:szCs w:val="32"/>
        </w:rPr>
      </w:pPr>
      <w:r>
        <w:rPr>
          <w:rFonts w:hint="eastAsia" w:ascii="仿宋" w:hAnsi="仿宋" w:eastAsia="仿宋"/>
          <w:sz w:val="32"/>
          <w:szCs w:val="32"/>
        </w:rPr>
        <w:t>（七）法律文书的运用与制作；</w:t>
      </w:r>
    </w:p>
    <w:p>
      <w:pPr>
        <w:pStyle w:val="4"/>
        <w:keepNext w:val="0"/>
        <w:keepLines w:val="0"/>
        <w:pageBreakBefore w:val="0"/>
        <w:kinsoku/>
        <w:wordWrap/>
        <w:overflowPunct/>
        <w:topLinePunct w:val="0"/>
        <w:autoSpaceDE/>
        <w:autoSpaceDN/>
        <w:bidi w:val="0"/>
        <w:adjustRightInd/>
        <w:snapToGrid/>
        <w:spacing w:line="520" w:lineRule="exact"/>
        <w:ind w:firstLine="604"/>
        <w:jc w:val="both"/>
        <w:textAlignment w:val="auto"/>
        <w:rPr>
          <w:rFonts w:ascii="仿宋" w:hAnsi="仿宋" w:eastAsia="仿宋"/>
          <w:sz w:val="32"/>
          <w:szCs w:val="32"/>
        </w:rPr>
      </w:pPr>
      <w:r>
        <w:rPr>
          <w:rFonts w:hint="eastAsia" w:ascii="仿宋" w:hAnsi="仿宋" w:eastAsia="仿宋"/>
          <w:sz w:val="32"/>
          <w:szCs w:val="32"/>
        </w:rPr>
        <w:t>（八）典型案例解剖、分析；</w:t>
      </w:r>
    </w:p>
    <w:p>
      <w:pPr>
        <w:pStyle w:val="4"/>
        <w:keepNext w:val="0"/>
        <w:keepLines w:val="0"/>
        <w:pageBreakBefore w:val="0"/>
        <w:kinsoku/>
        <w:wordWrap/>
        <w:overflowPunct/>
        <w:topLinePunct w:val="0"/>
        <w:autoSpaceDE/>
        <w:autoSpaceDN/>
        <w:bidi w:val="0"/>
        <w:adjustRightInd/>
        <w:snapToGrid/>
        <w:spacing w:line="520" w:lineRule="exact"/>
        <w:ind w:firstLine="604"/>
        <w:jc w:val="both"/>
        <w:textAlignment w:val="auto"/>
        <w:rPr>
          <w:rFonts w:ascii="仿宋" w:hAnsi="仿宋" w:eastAsia="仿宋"/>
          <w:sz w:val="32"/>
          <w:szCs w:val="32"/>
        </w:rPr>
      </w:pPr>
      <w:r>
        <w:rPr>
          <w:rFonts w:hint="eastAsia" w:ascii="仿宋" w:hAnsi="仿宋" w:eastAsia="仿宋"/>
          <w:sz w:val="32"/>
          <w:szCs w:val="32"/>
        </w:rPr>
        <w:t>（九）必须具备的其他有关知识。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黑体" w:hAnsi="黑体" w:eastAsia="黑体"/>
          <w:sz w:val="32"/>
          <w:szCs w:val="32"/>
        </w:rPr>
        <w:t>第六条</w:t>
      </w:r>
      <w:r>
        <w:rPr>
          <w:rFonts w:ascii="仿宋" w:hAnsi="仿宋" w:eastAsia="仿宋"/>
          <w:b/>
          <w:sz w:val="32"/>
          <w:szCs w:val="32"/>
        </w:rPr>
        <w:t xml:space="preserve">  </w:t>
      </w:r>
      <w:r>
        <w:rPr>
          <w:rFonts w:hint="eastAsia" w:ascii="仿宋" w:hAnsi="仿宋" w:eastAsia="仿宋"/>
          <w:sz w:val="32"/>
          <w:szCs w:val="32"/>
        </w:rPr>
        <w:t>法制审核人员培训采取集中授课与自主学习相结合的方式进行。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集中授课主要采取专题讲座、案例教学、交流研讨、座谈调研等多种形式进行，重点对公共法律知识、执法实务等内容学习，提升业务水平，解决处理实际问题能力。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自主学习主要采取个人参加系统轮训、网络学习的方式进行，重点对本系统执行的法律法规等内容学习，全面掌握本系统的法律法规规章及有关政策。</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_GB2312"/>
          <w:sz w:val="32"/>
          <w:szCs w:val="32"/>
        </w:rPr>
      </w:pPr>
      <w:r>
        <w:rPr>
          <w:rFonts w:hint="eastAsia" w:ascii="黑体" w:hAnsi="黑体" w:eastAsia="黑体" w:cs="仿宋_GB2312"/>
          <w:sz w:val="32"/>
          <w:szCs w:val="32"/>
        </w:rPr>
        <w:t>第七条</w:t>
      </w:r>
      <w:r>
        <w:rPr>
          <w:rFonts w:ascii="仿宋" w:hAnsi="仿宋" w:eastAsia="仿宋" w:cs="仿宋_GB2312"/>
          <w:sz w:val="32"/>
          <w:szCs w:val="32"/>
        </w:rPr>
        <w:t xml:space="preserve">  </w:t>
      </w:r>
      <w:r>
        <w:rPr>
          <w:rFonts w:hint="eastAsia" w:ascii="仿宋" w:hAnsi="仿宋" w:eastAsia="仿宋" w:cs="仿宋_GB2312"/>
          <w:sz w:val="32"/>
          <w:szCs w:val="32"/>
        </w:rPr>
        <w:t>法制审核人员每年学法培训不少于</w:t>
      </w:r>
      <w:r>
        <w:rPr>
          <w:rFonts w:ascii="仿宋" w:hAnsi="仿宋" w:eastAsia="仿宋" w:cs="仿宋_GB2312"/>
          <w:sz w:val="32"/>
          <w:szCs w:val="32"/>
        </w:rPr>
        <w:t>7</w:t>
      </w:r>
      <w:r>
        <w:rPr>
          <w:rFonts w:hint="eastAsia" w:ascii="仿宋" w:hAnsi="仿宋" w:eastAsia="仿宋" w:cs="仿宋_GB2312"/>
          <w:sz w:val="32"/>
          <w:szCs w:val="32"/>
        </w:rPr>
        <w:t>日，主要采取参加系统轮训、相关部门集中培训、网络学习和集中学习的方式进行，其中集中学习不少于</w:t>
      </w:r>
      <w:r>
        <w:rPr>
          <w:rFonts w:ascii="仿宋" w:hAnsi="仿宋" w:eastAsia="仿宋" w:cs="仿宋_GB2312"/>
          <w:sz w:val="32"/>
          <w:szCs w:val="32"/>
        </w:rPr>
        <w:t>5</w:t>
      </w:r>
      <w:r>
        <w:rPr>
          <w:rFonts w:hint="eastAsia" w:ascii="仿宋" w:hAnsi="仿宋" w:eastAsia="仿宋" w:cs="仿宋_GB2312"/>
          <w:sz w:val="32"/>
          <w:szCs w:val="32"/>
        </w:rPr>
        <w:t>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法制审核人员培训要积极推行、案例教学等多种培训方式，不断提高法制审核人员法律素养和业务能力。</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sz w:val="32"/>
          <w:szCs w:val="32"/>
        </w:rPr>
      </w:pPr>
      <w:r>
        <w:rPr>
          <w:rFonts w:ascii="黑体" w:hAnsi="黑体" w:eastAsia="黑体"/>
          <w:sz w:val="32"/>
          <w:szCs w:val="32"/>
        </w:rPr>
        <w:t xml:space="preserve">    </w:t>
      </w:r>
      <w:r>
        <w:rPr>
          <w:rFonts w:hint="eastAsia" w:ascii="黑体" w:hAnsi="黑体" w:eastAsia="黑体"/>
          <w:sz w:val="32"/>
          <w:szCs w:val="32"/>
        </w:rPr>
        <w:t>第八条</w:t>
      </w:r>
      <w:r>
        <w:rPr>
          <w:rFonts w:ascii="仿宋" w:hAnsi="仿宋" w:eastAsia="仿宋"/>
          <w:sz w:val="32"/>
          <w:szCs w:val="32"/>
        </w:rPr>
        <w:t xml:space="preserve">  </w:t>
      </w:r>
      <w:r>
        <w:rPr>
          <w:rFonts w:hint="eastAsia" w:ascii="仿宋" w:hAnsi="仿宋" w:eastAsia="仿宋"/>
          <w:sz w:val="32"/>
          <w:szCs w:val="32"/>
        </w:rPr>
        <w:t>建立法制审核工作人员培训档案。</w:t>
      </w:r>
    </w:p>
    <w:p>
      <w:pPr>
        <w:keepNext w:val="0"/>
        <w:keepLines w:val="0"/>
        <w:pageBreakBefore w:val="0"/>
        <w:kinsoku/>
        <w:wordWrap/>
        <w:overflowPunct/>
        <w:topLinePunct w:val="0"/>
        <w:autoSpaceDE/>
        <w:autoSpaceDN/>
        <w:bidi w:val="0"/>
        <w:adjustRightInd/>
        <w:snapToGrid/>
        <w:spacing w:line="520" w:lineRule="exact"/>
        <w:textAlignment w:val="auto"/>
        <w:rPr>
          <w:rFonts w:eastAsia="仿宋"/>
          <w:sz w:val="32"/>
          <w:szCs w:val="32"/>
        </w:rPr>
      </w:pPr>
      <w:r>
        <w:rPr>
          <w:rFonts w:ascii="黑体" w:hAnsi="黑体" w:eastAsia="黑体"/>
          <w:sz w:val="32"/>
          <w:szCs w:val="32"/>
        </w:rPr>
        <w:t xml:space="preserve">    </w:t>
      </w:r>
      <w:r>
        <w:rPr>
          <w:rFonts w:hint="eastAsia" w:ascii="黑体" w:hAnsi="黑体" w:eastAsia="黑体"/>
          <w:sz w:val="32"/>
          <w:szCs w:val="32"/>
        </w:rPr>
        <w:t>第九条</w:t>
      </w:r>
      <w:r>
        <w:rPr>
          <w:rFonts w:ascii="仿宋" w:hAnsi="仿宋" w:eastAsia="仿宋"/>
          <w:sz w:val="32"/>
          <w:szCs w:val="32"/>
        </w:rPr>
        <w:t xml:space="preserve">  </w:t>
      </w:r>
      <w:r>
        <w:rPr>
          <w:rFonts w:hint="eastAsia" w:ascii="仿宋" w:hAnsi="仿宋" w:eastAsia="仿宋"/>
          <w:sz w:val="32"/>
          <w:szCs w:val="32"/>
        </w:rPr>
        <w:t>支持鼓励法制审核人员参加法律学历教育和法律职业资格考试。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黑体" w:hAnsi="黑体" w:eastAsia="黑体"/>
          <w:sz w:val="32"/>
          <w:szCs w:val="32"/>
        </w:rPr>
        <w:t>第十条</w:t>
      </w:r>
      <w:r>
        <w:rPr>
          <w:rFonts w:ascii="仿宋" w:hAnsi="仿宋" w:eastAsia="仿宋"/>
          <w:sz w:val="32"/>
          <w:szCs w:val="32"/>
        </w:rPr>
        <w:t xml:space="preserve">  </w:t>
      </w:r>
      <w:r>
        <w:rPr>
          <w:rFonts w:hint="eastAsia" w:ascii="仿宋" w:hAnsi="仿宋" w:eastAsia="仿宋"/>
          <w:sz w:val="32"/>
          <w:szCs w:val="32"/>
        </w:rPr>
        <w:t>通过督导的形式对法制审核人员的教育培训效果进行检查，确保培训质量和效果。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sz w:val="32"/>
          <w:szCs w:val="32"/>
        </w:rPr>
        <w:t>第十一条</w:t>
      </w:r>
      <w:r>
        <w:rPr>
          <w:rFonts w:ascii="仿宋" w:hAnsi="仿宋" w:eastAsia="仿宋"/>
          <w:sz w:val="32"/>
          <w:szCs w:val="32"/>
        </w:rPr>
        <w:t xml:space="preserve">  </w:t>
      </w:r>
      <w:r>
        <w:rPr>
          <w:rFonts w:hint="eastAsia" w:ascii="仿宋" w:hAnsi="仿宋" w:eastAsia="仿宋"/>
          <w:sz w:val="32"/>
          <w:szCs w:val="32"/>
        </w:rPr>
        <w:t>本制度自</w:t>
      </w:r>
      <w:r>
        <w:rPr>
          <w:rFonts w:ascii="仿宋" w:hAnsi="仿宋" w:eastAsia="仿宋"/>
          <w:sz w:val="32"/>
          <w:szCs w:val="32"/>
        </w:rPr>
        <w:t>2019</w:t>
      </w:r>
      <w:r>
        <w:rPr>
          <w:rFonts w:hint="eastAsia" w:ascii="仿宋" w:hAnsi="仿宋" w:eastAsia="仿宋"/>
          <w:sz w:val="32"/>
          <w:szCs w:val="32"/>
        </w:rPr>
        <w:t>年</w:t>
      </w:r>
      <w:r>
        <w:rPr>
          <w:rFonts w:ascii="仿宋" w:hAnsi="仿宋" w:eastAsia="仿宋"/>
          <w:sz w:val="32"/>
          <w:szCs w:val="32"/>
        </w:rPr>
        <w:t>9</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日起施行。</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pict>
          <v:line id="直接连接符 2" o:spid="_x0000_s1027" o:spt="20" style="position:absolute;left:0pt;margin-left:-0.75pt;margin-top:10.95pt;height:0.05pt;width:441pt;z-index:251658240;mso-width-relative:page;mso-height-relative:page;" o:preferrelative="t" coordsize="21600,21600">
            <v:path arrowok="t"/>
            <v:fill focussize="0,0"/>
            <v:stroke weight="1pt" miterlimit="2"/>
            <v:imagedata o:title=""/>
            <o:lock v:ext="edit"/>
          </v:line>
        </w:pic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lang w:val="en-US"/>
        </w:rPr>
        <w:pict>
          <v:line id="直接连接符 4" o:spid="_x0000_s1028" o:spt="20" style="position:absolute;left:0pt;margin-left:-0.75pt;margin-top:34.9pt;height:0.05pt;width:441pt;z-index:251659264;mso-width-relative:page;mso-height-relative:page;" o:preferrelative="t" coordsize="21600,21600">
            <v:path arrowok="t"/>
            <v:fill focussize="0,0"/>
            <v:stroke weight="1pt" miterlimit="2"/>
            <v:imagedata o:title=""/>
            <o:lock v:ext="edit"/>
          </v:line>
        </w:pict>
      </w:r>
      <w:r>
        <w:rPr>
          <w:rFonts w:hint="eastAsia" w:ascii="仿宋" w:hAnsi="仿宋" w:eastAsia="仿宋" w:cs="仿宋"/>
          <w:sz w:val="32"/>
          <w:szCs w:val="32"/>
          <w:lang w:val="en-US" w:eastAsia="zh-CN"/>
        </w:rPr>
        <w:t>桓仁满族自治县财政局办公室拟文</w:t>
      </w:r>
      <w:r>
        <w:rPr>
          <w:rFonts w:hint="eastAsia" w:ascii="仿宋" w:hAnsi="仿宋" w:eastAsia="仿宋" w:cs="仿宋"/>
          <w:sz w:val="32"/>
          <w:szCs w:val="32"/>
        </w:rPr>
        <w:t xml:space="preserve">      2019年8月20日印发</w:t>
      </w:r>
    </w:p>
    <w:sectPr>
      <w:pgSz w:w="11906" w:h="16838"/>
      <w:pgMar w:top="1871" w:right="1474" w:bottom="1871" w:left="1587"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o:preferrelative="t" stroked="f" coordsize="21600,21600">
          <v:path/>
          <v:fill on="f" focussize="0,0"/>
          <v:stroke on="f" joinstyle="miter"/>
          <v:imagedata o:title=""/>
          <o:lock v:ext="edit"/>
          <v:textbox inset="0mm,0mm,0mm,0mm" style="mso-fit-shape-to-text:t;">
            <w:txbxContent>
              <w:p>
                <w:pPr>
                  <w:pStyle w:val="2"/>
                  <w:ind w:left="420" w:leftChars="200" w:right="420" w:rightChars="200"/>
                  <w:jc w:val="cente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6 -</w:t>
                </w:r>
                <w:r>
                  <w:rPr>
                    <w:rFonts w:ascii="仿宋_GB2312" w:hAnsi="仿宋_GB2312" w:eastAsia="仿宋_GB2312" w:cs="仿宋_GB2312"/>
                    <w:sz w:val="28"/>
                    <w:szCs w:val="28"/>
                  </w:rPr>
                  <w:fldChar w:fldCharType="end"/>
                </w: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E4B"/>
    <w:rsid w:val="000D3428"/>
    <w:rsid w:val="0010667E"/>
    <w:rsid w:val="0029201E"/>
    <w:rsid w:val="00422576"/>
    <w:rsid w:val="00491C1D"/>
    <w:rsid w:val="004E2AA9"/>
    <w:rsid w:val="0054740B"/>
    <w:rsid w:val="005C08B0"/>
    <w:rsid w:val="00615E4B"/>
    <w:rsid w:val="0061607A"/>
    <w:rsid w:val="006A6B28"/>
    <w:rsid w:val="00712FCD"/>
    <w:rsid w:val="007443E1"/>
    <w:rsid w:val="00801C2B"/>
    <w:rsid w:val="008855DC"/>
    <w:rsid w:val="008F252F"/>
    <w:rsid w:val="009358A4"/>
    <w:rsid w:val="00963A52"/>
    <w:rsid w:val="00A46BA7"/>
    <w:rsid w:val="00AD5EDE"/>
    <w:rsid w:val="00B33E25"/>
    <w:rsid w:val="00CB5F41"/>
    <w:rsid w:val="00D76B11"/>
    <w:rsid w:val="00DC3278"/>
    <w:rsid w:val="00F00B73"/>
    <w:rsid w:val="00F316E0"/>
    <w:rsid w:val="00FB4CA8"/>
    <w:rsid w:val="1DDB380A"/>
    <w:rsid w:val="3BA433C9"/>
    <w:rsid w:val="65FE3D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99" w:name="header"/>
    <w:lsdException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customStyle="1" w:styleId="8">
    <w:name w:val="Footer Char"/>
    <w:basedOn w:val="6"/>
    <w:link w:val="2"/>
    <w:locked/>
    <w:uiPriority w:val="99"/>
    <w:rPr>
      <w:rFonts w:cs="Times New Roman"/>
      <w:sz w:val="18"/>
      <w:szCs w:val="18"/>
    </w:rPr>
  </w:style>
  <w:style w:type="character" w:customStyle="1" w:styleId="9">
    <w:name w:val="Header Char"/>
    <w:basedOn w:val="6"/>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419</Words>
  <Characters>2390</Characters>
  <Lines>0</Lines>
  <Paragraphs>0</Paragraphs>
  <TotalTime>13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2019-08-26T08:38:00Z</dcterms:created>
  <dc:creator>Lenovo</dc:creator>
  <cp:lastModifiedBy>时光</cp:lastModifiedBy>
  <cp:lastPrinted>2020-11-17T05:47:28Z</cp:lastPrinted>
  <dcterms:modified xsi:type="dcterms:W3CDTF">2020-11-17T05:51:02Z</dcterms:modified>
  <dc:title>本溪市人民政府办公室关于本溪市</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